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6.xml" ContentType="application/vnd.openxmlformats-officedocument.drawingml.chartshapes+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7.xml" ContentType="application/vnd.openxmlformats-officedocument.drawingml.chartshapes+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8.xml" ContentType="application/vnd.openxmlformats-officedocument.drawingml.chartshapes+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9.xml" ContentType="application/vnd.openxmlformats-officedocument.drawingml.chartshapes+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0.xml" ContentType="application/vnd.openxmlformats-officedocument.drawingml.chartshapes+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1.xml" ContentType="application/vnd.openxmlformats-officedocument.drawingml.chartshapes+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2.xml" ContentType="application/vnd.openxmlformats-officedocument.drawingml.chartshapes+xml"/>
  <Override PartName="/word/charts/chart16.xml" ContentType="application/vnd.openxmlformats-officedocument.drawingml.chart+xml"/>
  <Override PartName="/word/drawings/drawing13.xml" ContentType="application/vnd.openxmlformats-officedocument.drawingml.chartshapes+xml"/>
  <Override PartName="/word/charts/chart17.xml" ContentType="application/vnd.openxmlformats-officedocument.drawingml.chart+xml"/>
  <Override PartName="/word/drawings/drawing14.xml" ContentType="application/vnd.openxmlformats-officedocument.drawingml.chartshapes+xml"/>
  <Override PartName="/word/charts/chart18.xml" ContentType="application/vnd.openxmlformats-officedocument.drawingml.chart+xml"/>
  <Override PartName="/word/drawings/drawing15.xml" ContentType="application/vnd.openxmlformats-officedocument.drawingml.chartshapes+xml"/>
  <Override PartName="/word/charts/chart19.xml" ContentType="application/vnd.openxmlformats-officedocument.drawingml.chart+xml"/>
  <Override PartName="/word/drawings/drawing16.xml" ContentType="application/vnd.openxmlformats-officedocument.drawingml.chartshapes+xml"/>
  <Override PartName="/word/charts/chart20.xml" ContentType="application/vnd.openxmlformats-officedocument.drawingml.chart+xml"/>
  <Override PartName="/word/drawings/drawing17.xml" ContentType="application/vnd.openxmlformats-officedocument.drawingml.chartshapes+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theme/themeOverride11.xml" ContentType="application/vnd.openxmlformats-officedocument.themeOverride+xml"/>
  <Override PartName="/word/charts/chart23.xml" ContentType="application/vnd.openxmlformats-officedocument.drawingml.chart+xml"/>
  <Override PartName="/word/theme/themeOverride12.xml" ContentType="application/vnd.openxmlformats-officedocument.themeOverride+xml"/>
  <Override PartName="/word/charts/chart24.xml" ContentType="application/vnd.openxmlformats-officedocument.drawingml.chart+xml"/>
  <Override PartName="/word/theme/themeOverride13.xml" ContentType="application/vnd.openxmlformats-officedocument.themeOverride+xml"/>
  <Override PartName="/word/charts/chart25.xml" ContentType="application/vnd.openxmlformats-officedocument.drawingml.chart+xml"/>
  <Override PartName="/word/theme/themeOverride14.xml" ContentType="application/vnd.openxmlformats-officedocument.themeOverride+xml"/>
  <Override PartName="/word/charts/chart26.xml" ContentType="application/vnd.openxmlformats-officedocument.drawingml.chart+xml"/>
  <Override PartName="/word/theme/themeOverride15.xml" ContentType="application/vnd.openxmlformats-officedocument.themeOverride+xml"/>
  <Override PartName="/word/charts/chart27.xml" ContentType="application/vnd.openxmlformats-officedocument.drawingml.chart+xml"/>
  <Override PartName="/word/theme/themeOverride16.xml" ContentType="application/vnd.openxmlformats-officedocument.themeOverride+xml"/>
  <Override PartName="/word/charts/chart28.xml" ContentType="application/vnd.openxmlformats-officedocument.drawingml.chart+xml"/>
  <Override PartName="/word/theme/themeOverride17.xml" ContentType="application/vnd.openxmlformats-officedocument.themeOverride+xml"/>
  <Override PartName="/word/charts/chart29.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3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9.xml" ContentType="application/vnd.openxmlformats-officedocument.themeOverride+xml"/>
  <Override PartName="/word/charts/chart31.xml" ContentType="application/vnd.openxmlformats-officedocument.drawingml.chart+xml"/>
  <Override PartName="/word/theme/themeOverride20.xml" ContentType="application/vnd.openxmlformats-officedocument.themeOverride+xml"/>
  <Override PartName="/word/drawings/drawing19.xml" ContentType="application/vnd.openxmlformats-officedocument.drawingml.chartshapes+xml"/>
  <Override PartName="/word/charts/chart32.xml" ContentType="application/vnd.openxmlformats-officedocument.drawingml.chart+xml"/>
  <Override PartName="/word/theme/themeOverride21.xml" ContentType="application/vnd.openxmlformats-officedocument.themeOverride+xml"/>
  <Override PartName="/word/drawings/drawing20.xml" ContentType="application/vnd.openxmlformats-officedocument.drawingml.chartshapes+xml"/>
  <Override PartName="/word/charts/chart33.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21.xml" ContentType="application/vnd.openxmlformats-officedocument.drawingml.chartshapes+xml"/>
  <Override PartName="/word/charts/chart34.xml" ContentType="application/vnd.openxmlformats-officedocument.drawingml.chart+xml"/>
  <Override PartName="/word/theme/themeOverride22.xml" ContentType="application/vnd.openxmlformats-officedocument.themeOverride+xml"/>
  <Override PartName="/word/drawings/drawing22.xml" ContentType="application/vnd.openxmlformats-officedocument.drawingml.chartshapes+xml"/>
  <Override PartName="/word/charts/chart35.xml" ContentType="application/vnd.openxmlformats-officedocument.drawingml.chart+xml"/>
  <Override PartName="/word/theme/themeOverride23.xml" ContentType="application/vnd.openxmlformats-officedocument.themeOverride+xml"/>
  <Override PartName="/word/drawings/drawing23.xml" ContentType="application/vnd.openxmlformats-officedocument.drawingml.chartshapes+xml"/>
  <Override PartName="/word/charts/chart36.xml" ContentType="application/vnd.openxmlformats-officedocument.drawingml.chart+xml"/>
  <Override PartName="/word/theme/themeOverride24.xml" ContentType="application/vnd.openxmlformats-officedocument.themeOverride+xml"/>
  <Override PartName="/word/charts/chart37.xml" ContentType="application/vnd.openxmlformats-officedocument.drawingml.chart+xml"/>
  <Override PartName="/word/theme/themeOverride25.xml" ContentType="application/vnd.openxmlformats-officedocument.themeOverride+xml"/>
  <Override PartName="/word/charts/chart38.xml" ContentType="application/vnd.openxmlformats-officedocument.drawingml.chart+xml"/>
  <Override PartName="/word/theme/themeOverride26.xml" ContentType="application/vnd.openxmlformats-officedocument.themeOverride+xml"/>
  <Override PartName="/word/drawings/drawing24.xml" ContentType="application/vnd.openxmlformats-officedocument.drawingml.chartshapes+xml"/>
  <Override PartName="/word/charts/chart39.xml" ContentType="application/vnd.openxmlformats-officedocument.drawingml.chart+xml"/>
  <Override PartName="/word/theme/themeOverride27.xml" ContentType="application/vnd.openxmlformats-officedocument.themeOverride+xml"/>
  <Override PartName="/word/drawings/drawing25.xml" ContentType="application/vnd.openxmlformats-officedocument.drawingml.chartshapes+xml"/>
  <Override PartName="/word/charts/chart40.xml" ContentType="application/vnd.openxmlformats-officedocument.drawingml.chart+xml"/>
  <Override PartName="/word/theme/themeOverride28.xml" ContentType="application/vnd.openxmlformats-officedocument.themeOverride+xml"/>
  <Override PartName="/word/charts/chart4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30.xml" ContentType="application/vnd.openxmlformats-officedocument.themeOverride+xml"/>
  <Override PartName="/word/drawings/drawing26.xml" ContentType="application/vnd.openxmlformats-officedocument.drawingml.chartshapes+xml"/>
  <Override PartName="/word/charts/chart43.xml" ContentType="application/vnd.openxmlformats-officedocument.drawingml.chart+xml"/>
  <Override PartName="/word/theme/themeOverride31.xml" ContentType="application/vnd.openxmlformats-officedocument.themeOverride+xml"/>
  <Override PartName="/word/drawings/drawing27.xml" ContentType="application/vnd.openxmlformats-officedocument.drawingml.chartshapes+xml"/>
  <Override PartName="/word/charts/chart44.xml" ContentType="application/vnd.openxmlformats-officedocument.drawingml.chart+xml"/>
  <Override PartName="/word/theme/themeOverride32.xml" ContentType="application/vnd.openxmlformats-officedocument.themeOverride+xml"/>
  <Override PartName="/word/drawings/drawing28.xml" ContentType="application/vnd.openxmlformats-officedocument.drawingml.chartshapes+xml"/>
  <Override PartName="/word/charts/chart45.xml" ContentType="application/vnd.openxmlformats-officedocument.drawingml.chart+xml"/>
  <Override PartName="/word/theme/themeOverride33.xml" ContentType="application/vnd.openxmlformats-officedocument.themeOverride+xml"/>
  <Override PartName="/word/drawings/drawing29.xml" ContentType="application/vnd.openxmlformats-officedocument.drawingml.chartshapes+xml"/>
  <Override PartName="/word/charts/chart46.xml" ContentType="application/vnd.openxmlformats-officedocument.drawingml.chart+xml"/>
  <Override PartName="/word/theme/themeOverride34.xml" ContentType="application/vnd.openxmlformats-officedocument.themeOverride+xml"/>
  <Override PartName="/word/charts/chart47.xml" ContentType="application/vnd.openxmlformats-officedocument.drawingml.chart+xml"/>
  <Override PartName="/word/theme/themeOverride35.xml" ContentType="application/vnd.openxmlformats-officedocument.themeOverride+xml"/>
  <Override PartName="/word/charts/chart48.xml" ContentType="application/vnd.openxmlformats-officedocument.drawingml.chart+xml"/>
  <Override PartName="/word/theme/themeOverride36.xml" ContentType="application/vnd.openxmlformats-officedocument.themeOverride+xml"/>
  <Override PartName="/word/charts/chart49.xml" ContentType="application/vnd.openxmlformats-officedocument.drawingml.chart+xml"/>
  <Override PartName="/word/theme/themeOverride37.xml" ContentType="application/vnd.openxmlformats-officedocument.themeOverride+xml"/>
  <Override PartName="/word/charts/chart50.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39.xml" ContentType="application/vnd.openxmlformats-officedocument.themeOverride+xml"/>
  <Override PartName="/word/drawings/drawing30.xml" ContentType="application/vnd.openxmlformats-officedocument.drawingml.chartshapes+xml"/>
  <Override PartName="/word/charts/chart52.xml" ContentType="application/vnd.openxmlformats-officedocument.drawingml.chart+xml"/>
  <Override PartName="/word/theme/themeOverride40.xml" ContentType="application/vnd.openxmlformats-officedocument.themeOverride+xml"/>
  <Override PartName="/word/charts/chart53.xml" ContentType="application/vnd.openxmlformats-officedocument.drawingml.chart+xml"/>
  <Override PartName="/word/theme/themeOverride41.xml" ContentType="application/vnd.openxmlformats-officedocument.themeOverride+xml"/>
  <Override PartName="/word/charts/chart54.xml" ContentType="application/vnd.openxmlformats-officedocument.drawingml.chart+xml"/>
  <Override PartName="/word/theme/themeOverride42.xml" ContentType="application/vnd.openxmlformats-officedocument.themeOverride+xml"/>
  <Override PartName="/word/charts/chart5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A55777" w14:textId="77777777" w:rsidR="004378BE" w:rsidRPr="00D3756D" w:rsidRDefault="004378BE" w:rsidP="004378BE">
      <w:pPr>
        <w:spacing w:line="360" w:lineRule="auto"/>
        <w:ind w:left="-630"/>
        <w:rPr>
          <w:rFonts w:cs="Sylfaen"/>
          <w:b/>
          <w:sz w:val="20"/>
          <w:szCs w:val="20"/>
        </w:rPr>
      </w:pPr>
      <w:bookmarkStart w:id="0" w:name="_Toc107052575"/>
      <w:bookmarkStart w:id="1" w:name="_Toc265687172"/>
      <w:bookmarkStart w:id="2" w:name="_Toc296702337"/>
      <w:bookmarkStart w:id="3" w:name="_Toc519513604"/>
      <w:r w:rsidRPr="00D3756D">
        <w:rPr>
          <w:rFonts w:cs="Sylfaen"/>
          <w:b/>
          <w:noProof/>
          <w:sz w:val="20"/>
          <w:szCs w:val="20"/>
        </w:rPr>
        <w:drawing>
          <wp:anchor distT="0" distB="0" distL="114300" distR="114300" simplePos="0" relativeHeight="251694592" behindDoc="0" locked="0" layoutInCell="1" allowOverlap="1" wp14:anchorId="4DA2A13B" wp14:editId="73102833">
            <wp:simplePos x="0" y="0"/>
            <wp:positionH relativeFrom="page">
              <wp:align>left</wp:align>
            </wp:positionH>
            <wp:positionV relativeFrom="paragraph">
              <wp:posOffset>-533400</wp:posOffset>
            </wp:positionV>
            <wp:extent cx="7753350" cy="1428750"/>
            <wp:effectExtent l="0" t="0" r="0" b="0"/>
            <wp:wrapNone/>
            <wp:docPr id="2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53350" cy="14287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3F190F40" w14:textId="77777777" w:rsidR="004378BE" w:rsidRPr="00D3756D" w:rsidRDefault="004378BE" w:rsidP="004378BE">
      <w:pPr>
        <w:spacing w:line="360" w:lineRule="auto"/>
        <w:ind w:firstLine="720"/>
        <w:rPr>
          <w:rFonts w:cs="Sylfaen"/>
          <w:b/>
          <w:sz w:val="20"/>
          <w:szCs w:val="20"/>
        </w:rPr>
      </w:pPr>
    </w:p>
    <w:p w14:paraId="3F6AEBBC" w14:textId="77777777" w:rsidR="004378BE" w:rsidRPr="00D3756D" w:rsidRDefault="004378BE" w:rsidP="004378BE">
      <w:pPr>
        <w:spacing w:line="360" w:lineRule="auto"/>
        <w:ind w:firstLine="720"/>
        <w:rPr>
          <w:rFonts w:cs="Sylfaen"/>
          <w:b/>
          <w:sz w:val="20"/>
          <w:szCs w:val="20"/>
        </w:rPr>
      </w:pPr>
      <w:r w:rsidRPr="00D3756D">
        <w:rPr>
          <w:rFonts w:cs="Sylfaen"/>
          <w:b/>
          <w:sz w:val="20"/>
          <w:szCs w:val="20"/>
        </w:rPr>
        <w:t xml:space="preserve"> </w:t>
      </w:r>
    </w:p>
    <w:p w14:paraId="03E2564E" w14:textId="77777777" w:rsidR="004378BE" w:rsidRPr="00D3756D" w:rsidRDefault="004378BE" w:rsidP="004378BE">
      <w:pPr>
        <w:spacing w:line="360" w:lineRule="auto"/>
        <w:rPr>
          <w:rFonts w:cs="Sylfaen"/>
          <w:b/>
          <w:sz w:val="20"/>
          <w:szCs w:val="20"/>
        </w:rPr>
      </w:pPr>
    </w:p>
    <w:p w14:paraId="1D159AFF" w14:textId="77777777" w:rsidR="004378BE" w:rsidRPr="00D3756D" w:rsidRDefault="004378BE" w:rsidP="004378BE">
      <w:pPr>
        <w:spacing w:line="360" w:lineRule="auto"/>
        <w:jc w:val="center"/>
        <w:rPr>
          <w:b/>
          <w:spacing w:val="24"/>
          <w:sz w:val="32"/>
          <w:szCs w:val="32"/>
          <w:lang w:val="hy-AM"/>
        </w:rPr>
      </w:pPr>
    </w:p>
    <w:p w14:paraId="60E7E600" w14:textId="77777777" w:rsidR="004378BE" w:rsidRPr="00D3756D" w:rsidRDefault="004378BE" w:rsidP="004378BE">
      <w:pPr>
        <w:spacing w:line="360" w:lineRule="auto"/>
        <w:jc w:val="center"/>
        <w:rPr>
          <w:b/>
          <w:spacing w:val="24"/>
          <w:sz w:val="32"/>
          <w:szCs w:val="32"/>
          <w:lang w:val="hy-AM"/>
        </w:rPr>
      </w:pPr>
    </w:p>
    <w:p w14:paraId="3B6F8523" w14:textId="77777777" w:rsidR="004378BE" w:rsidRPr="00D3756D" w:rsidRDefault="004378BE" w:rsidP="004378BE">
      <w:pPr>
        <w:spacing w:line="480" w:lineRule="auto"/>
        <w:jc w:val="center"/>
        <w:rPr>
          <w:b/>
          <w:color w:val="244061" w:themeColor="accent1" w:themeShade="80"/>
          <w:sz w:val="28"/>
          <w:lang w:val="hy-AM"/>
        </w:rPr>
      </w:pPr>
      <w:r w:rsidRPr="00D3756D">
        <w:rPr>
          <w:b/>
          <w:color w:val="244061" w:themeColor="accent1" w:themeShade="80"/>
          <w:sz w:val="28"/>
          <w:lang w:val="hy-AM"/>
        </w:rPr>
        <w:t>ՄԱԿՐՈՏՆՏԵՍԱԿԱՆ ԶԱՐԳԱՑՈՒՄՆԵՐ ԵՎ ԿԱՆԽԱՏԵՍՈՒՄՆԵՐ</w:t>
      </w:r>
    </w:p>
    <w:p w14:paraId="40536236" w14:textId="300EBF59" w:rsidR="004378BE" w:rsidRPr="002F7E2D" w:rsidRDefault="004378BE" w:rsidP="004378BE">
      <w:pPr>
        <w:spacing w:line="480" w:lineRule="auto"/>
        <w:jc w:val="center"/>
        <w:rPr>
          <w:b/>
          <w:color w:val="244061" w:themeColor="accent1" w:themeShade="80"/>
          <w:sz w:val="28"/>
        </w:rPr>
      </w:pPr>
      <w:r w:rsidRPr="00D3756D">
        <w:rPr>
          <w:b/>
          <w:color w:val="244061" w:themeColor="accent1" w:themeShade="80"/>
          <w:sz w:val="28"/>
          <w:lang w:val="hy-AM"/>
        </w:rPr>
        <w:t>202</w:t>
      </w:r>
      <w:r>
        <w:rPr>
          <w:b/>
          <w:color w:val="244061" w:themeColor="accent1" w:themeShade="80"/>
          <w:sz w:val="28"/>
          <w:lang w:val="hy-AM"/>
        </w:rPr>
        <w:t>2</w:t>
      </w:r>
      <w:r w:rsidRPr="00D3756D">
        <w:rPr>
          <w:b/>
          <w:color w:val="244061" w:themeColor="accent1" w:themeShade="80"/>
          <w:sz w:val="28"/>
          <w:lang w:val="hy-AM"/>
        </w:rPr>
        <w:t>-202</w:t>
      </w:r>
      <w:r>
        <w:rPr>
          <w:b/>
          <w:color w:val="244061" w:themeColor="accent1" w:themeShade="80"/>
          <w:sz w:val="28"/>
          <w:lang w:val="hy-AM"/>
        </w:rPr>
        <w:t>4</w:t>
      </w:r>
      <w:r w:rsidRPr="00D3756D">
        <w:rPr>
          <w:b/>
          <w:color w:val="244061" w:themeColor="accent1" w:themeShade="80"/>
          <w:sz w:val="28"/>
          <w:lang w:val="hy-AM"/>
        </w:rPr>
        <w:t xml:space="preserve"> ԹՎԱԿԱՆՆԵՐԻ ՄԺԾԾ</w:t>
      </w:r>
    </w:p>
    <w:p w14:paraId="59EB8AEE" w14:textId="77777777" w:rsidR="004378BE" w:rsidRPr="00D3756D" w:rsidRDefault="004378BE" w:rsidP="004378BE">
      <w:pPr>
        <w:spacing w:line="480" w:lineRule="auto"/>
        <w:jc w:val="center"/>
        <w:rPr>
          <w:b/>
          <w:color w:val="244061" w:themeColor="accent1" w:themeShade="80"/>
          <w:sz w:val="28"/>
          <w:lang w:val="hy-AM"/>
        </w:rPr>
      </w:pPr>
    </w:p>
    <w:p w14:paraId="3C3DBA15" w14:textId="77777777" w:rsidR="004378BE" w:rsidRPr="00D3756D" w:rsidRDefault="004378BE" w:rsidP="004378BE">
      <w:pPr>
        <w:jc w:val="center"/>
        <w:rPr>
          <w:b/>
          <w:sz w:val="20"/>
          <w:szCs w:val="20"/>
          <w:lang w:val="hy-AM"/>
        </w:rPr>
      </w:pPr>
    </w:p>
    <w:p w14:paraId="27188781" w14:textId="77777777" w:rsidR="004378BE" w:rsidRPr="00D3756D" w:rsidRDefault="004378BE" w:rsidP="004378BE">
      <w:pPr>
        <w:jc w:val="center"/>
        <w:rPr>
          <w:b/>
          <w:sz w:val="20"/>
          <w:szCs w:val="20"/>
          <w:lang w:val="hy-AM"/>
        </w:rPr>
      </w:pPr>
    </w:p>
    <w:p w14:paraId="73132B77" w14:textId="77777777" w:rsidR="004378BE" w:rsidRPr="00D3756D" w:rsidRDefault="004378BE" w:rsidP="004378BE">
      <w:pPr>
        <w:jc w:val="center"/>
        <w:rPr>
          <w:b/>
          <w:sz w:val="20"/>
          <w:szCs w:val="20"/>
        </w:rPr>
      </w:pPr>
      <w:r w:rsidRPr="00D3756D">
        <w:rPr>
          <w:noProof/>
        </w:rPr>
        <w:drawing>
          <wp:inline distT="0" distB="0" distL="0" distR="0" wp14:anchorId="4DE32F94" wp14:editId="1FA50EC5">
            <wp:extent cx="2511057" cy="1828800"/>
            <wp:effectExtent l="0" t="0" r="3810" b="0"/>
            <wp:docPr id="5" name="Picture 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No automatic alt text avail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1057" cy="1828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17758A2" w14:textId="77777777" w:rsidR="004378BE" w:rsidRPr="00D3756D" w:rsidRDefault="004378BE" w:rsidP="004378BE">
      <w:pPr>
        <w:jc w:val="center"/>
        <w:rPr>
          <w:b/>
          <w:sz w:val="20"/>
          <w:szCs w:val="20"/>
        </w:rPr>
      </w:pPr>
    </w:p>
    <w:p w14:paraId="1A9027FB" w14:textId="77777777" w:rsidR="004378BE" w:rsidRPr="00D3756D" w:rsidRDefault="004378BE" w:rsidP="004378BE">
      <w:pPr>
        <w:jc w:val="center"/>
        <w:rPr>
          <w:b/>
          <w:sz w:val="20"/>
          <w:szCs w:val="20"/>
        </w:rPr>
      </w:pPr>
    </w:p>
    <w:p w14:paraId="275A7598" w14:textId="77777777" w:rsidR="004378BE" w:rsidRPr="00D3756D" w:rsidRDefault="004378BE" w:rsidP="004378BE">
      <w:pPr>
        <w:jc w:val="center"/>
        <w:rPr>
          <w:b/>
          <w:sz w:val="20"/>
          <w:szCs w:val="20"/>
        </w:rPr>
      </w:pPr>
    </w:p>
    <w:p w14:paraId="545DFE8A" w14:textId="77777777" w:rsidR="004378BE" w:rsidRPr="00D3756D" w:rsidRDefault="004378BE" w:rsidP="004378BE">
      <w:pPr>
        <w:jc w:val="center"/>
        <w:rPr>
          <w:b/>
          <w:sz w:val="20"/>
          <w:szCs w:val="20"/>
        </w:rPr>
      </w:pPr>
    </w:p>
    <w:p w14:paraId="34FAE86C" w14:textId="77777777" w:rsidR="004378BE" w:rsidRPr="00D3756D" w:rsidRDefault="004378BE" w:rsidP="004378BE">
      <w:pPr>
        <w:jc w:val="center"/>
        <w:rPr>
          <w:b/>
          <w:sz w:val="20"/>
          <w:szCs w:val="20"/>
        </w:rPr>
      </w:pPr>
    </w:p>
    <w:p w14:paraId="18B34D7B" w14:textId="77777777" w:rsidR="004378BE" w:rsidRPr="00D3756D" w:rsidRDefault="004378BE" w:rsidP="004378BE">
      <w:pPr>
        <w:jc w:val="center"/>
        <w:rPr>
          <w:b/>
          <w:sz w:val="20"/>
          <w:szCs w:val="20"/>
        </w:rPr>
      </w:pPr>
    </w:p>
    <w:p w14:paraId="31B01DC8" w14:textId="77777777" w:rsidR="004378BE" w:rsidRPr="00D3756D" w:rsidRDefault="004378BE" w:rsidP="004378BE">
      <w:pPr>
        <w:spacing w:line="360" w:lineRule="auto"/>
        <w:jc w:val="center"/>
        <w:rPr>
          <w:rFonts w:cs="Sylfaen"/>
          <w:b/>
          <w:color w:val="1F497D"/>
          <w:sz w:val="32"/>
          <w:szCs w:val="32"/>
        </w:rPr>
      </w:pPr>
      <w:r w:rsidRPr="00D3756D">
        <w:rPr>
          <w:rFonts w:cs="Sylfaen"/>
          <w:b/>
          <w:color w:val="1F497D"/>
          <w:sz w:val="32"/>
          <w:szCs w:val="32"/>
        </w:rPr>
        <w:t>Մակրոտնտեսական քաղաքականության վարչություն</w:t>
      </w:r>
    </w:p>
    <w:p w14:paraId="4C73610A" w14:textId="77777777" w:rsidR="004378BE" w:rsidRPr="00D3756D" w:rsidRDefault="004378BE" w:rsidP="004378BE">
      <w:pPr>
        <w:spacing w:line="360" w:lineRule="auto"/>
        <w:jc w:val="center"/>
        <w:rPr>
          <w:rFonts w:cs="Sylfaen"/>
          <w:b/>
          <w:color w:val="1F497D"/>
          <w:sz w:val="20"/>
          <w:szCs w:val="20"/>
        </w:rPr>
      </w:pPr>
    </w:p>
    <w:p w14:paraId="015E9F3E" w14:textId="77777777" w:rsidR="004378BE" w:rsidRPr="00D3756D" w:rsidRDefault="004378BE" w:rsidP="004378BE">
      <w:pPr>
        <w:spacing w:line="360" w:lineRule="auto"/>
        <w:jc w:val="center"/>
        <w:rPr>
          <w:rFonts w:cs="Sylfaen"/>
          <w:b/>
          <w:color w:val="1F497D"/>
          <w:sz w:val="20"/>
          <w:szCs w:val="20"/>
        </w:rPr>
      </w:pPr>
    </w:p>
    <w:p w14:paraId="260FC280" w14:textId="77777777" w:rsidR="004378BE" w:rsidRPr="00D3756D" w:rsidRDefault="004378BE" w:rsidP="004378BE">
      <w:pPr>
        <w:spacing w:line="360" w:lineRule="auto"/>
        <w:jc w:val="center"/>
        <w:rPr>
          <w:rFonts w:cs="Sylfaen"/>
          <w:b/>
          <w:color w:val="1F497D"/>
          <w:sz w:val="20"/>
          <w:szCs w:val="20"/>
        </w:rPr>
      </w:pPr>
    </w:p>
    <w:p w14:paraId="45A56C16" w14:textId="384065D6" w:rsidR="004378BE" w:rsidRPr="00D3756D" w:rsidRDefault="004378BE" w:rsidP="004378BE">
      <w:pPr>
        <w:spacing w:line="360" w:lineRule="auto"/>
        <w:jc w:val="center"/>
        <w:rPr>
          <w:rFonts w:cs="Sylfaen"/>
          <w:b/>
          <w:color w:val="1F497D"/>
          <w:spacing w:val="20"/>
          <w:sz w:val="32"/>
          <w:szCs w:val="32"/>
          <w:lang w:val="hy-AM"/>
        </w:rPr>
      </w:pPr>
      <w:r w:rsidRPr="00D3756D">
        <w:rPr>
          <w:rFonts w:cs="Sylfaen"/>
          <w:b/>
          <w:color w:val="1F497D"/>
          <w:spacing w:val="20"/>
          <w:sz w:val="32"/>
          <w:szCs w:val="32"/>
        </w:rPr>
        <w:t>Երևան 20</w:t>
      </w:r>
      <w:r w:rsidRPr="00D3756D">
        <w:rPr>
          <w:rFonts w:cs="Sylfaen"/>
          <w:b/>
          <w:color w:val="1F497D"/>
          <w:spacing w:val="20"/>
          <w:sz w:val="32"/>
          <w:szCs w:val="32"/>
          <w:lang w:val="hy-AM"/>
        </w:rPr>
        <w:t>2</w:t>
      </w:r>
      <w:r>
        <w:rPr>
          <w:rFonts w:cs="Sylfaen"/>
          <w:b/>
          <w:color w:val="1F497D"/>
          <w:spacing w:val="20"/>
          <w:sz w:val="32"/>
          <w:szCs w:val="32"/>
          <w:lang w:val="hy-AM"/>
        </w:rPr>
        <w:t>1</w:t>
      </w:r>
    </w:p>
    <w:p w14:paraId="39F380D8" w14:textId="6707FD40" w:rsidR="004378BE" w:rsidRPr="00D3756D" w:rsidRDefault="004378BE" w:rsidP="004378BE">
      <w:pPr>
        <w:rPr>
          <w:rFonts w:cs="Arial"/>
          <w:b/>
          <w:lang w:val="hy-AM"/>
        </w:rPr>
      </w:pPr>
      <w:r w:rsidRPr="00D3756D">
        <w:rPr>
          <w:rFonts w:cs="Sylfaen"/>
          <w:b/>
          <w:spacing w:val="20"/>
          <w:sz w:val="32"/>
          <w:szCs w:val="32"/>
          <w:lang w:val="hy-AM"/>
        </w:rPr>
        <w:tab/>
      </w:r>
    </w:p>
    <w:p w14:paraId="11DC3D1C" w14:textId="7B2AB081" w:rsidR="00DA0E15" w:rsidRPr="004378BE" w:rsidRDefault="00362131">
      <w:pPr>
        <w:tabs>
          <w:tab w:val="left" w:pos="993"/>
        </w:tabs>
        <w:spacing w:line="360" w:lineRule="auto"/>
        <w:jc w:val="center"/>
        <w:rPr>
          <w:b/>
          <w:color w:val="365F91" w:themeColor="accent1" w:themeShade="BF"/>
          <w:sz w:val="24"/>
          <w:szCs w:val="24"/>
          <w:lang w:val="hy-AM"/>
        </w:rPr>
      </w:pPr>
      <w:r w:rsidRPr="004378BE">
        <w:rPr>
          <w:b/>
          <w:color w:val="365F91" w:themeColor="accent1" w:themeShade="BF"/>
          <w:sz w:val="24"/>
          <w:szCs w:val="24"/>
          <w:lang w:val="hy-AM"/>
        </w:rPr>
        <w:t>ԲՈՎԱՆԴԱԿՈՒԹՅՈՒՆ</w:t>
      </w:r>
    </w:p>
    <w:sdt>
      <w:sdtPr>
        <w:rPr>
          <w:rFonts w:eastAsiaTheme="minorEastAsia" w:cstheme="minorBidi"/>
          <w:b w:val="0"/>
          <w:bCs w:val="0"/>
          <w:color w:val="365F91" w:themeColor="accent1" w:themeShade="BF"/>
          <w:sz w:val="22"/>
          <w:szCs w:val="22"/>
          <w:lang w:bidi="ar-SA"/>
        </w:rPr>
        <w:id w:val="1531296690"/>
        <w:docPartObj>
          <w:docPartGallery w:val="Table of Contents"/>
          <w:docPartUnique/>
        </w:docPartObj>
      </w:sdtPr>
      <w:sdtContent>
        <w:p w14:paraId="49211132" w14:textId="77777777" w:rsidR="00DA0E15" w:rsidRPr="004378BE" w:rsidRDefault="00DA0E15">
          <w:pPr>
            <w:pStyle w:val="TOCHeading1"/>
            <w:rPr>
              <w:color w:val="365F91" w:themeColor="accent1" w:themeShade="BF"/>
            </w:rPr>
          </w:pPr>
        </w:p>
        <w:p w14:paraId="6C8DD3D0" w14:textId="16819267" w:rsidR="004378BE" w:rsidRPr="004378BE" w:rsidRDefault="0045493E">
          <w:pPr>
            <w:pStyle w:val="TOC1"/>
            <w:tabs>
              <w:tab w:val="right" w:leader="dot" w:pos="10024"/>
            </w:tabs>
            <w:rPr>
              <w:rFonts w:cstheme="minorBidi"/>
              <w:b w:val="0"/>
              <w:bCs w:val="0"/>
              <w:i w:val="0"/>
              <w:iCs w:val="0"/>
              <w:noProof/>
              <w:color w:val="365F91" w:themeColor="accent1" w:themeShade="BF"/>
              <w:sz w:val="22"/>
              <w:szCs w:val="22"/>
            </w:rPr>
          </w:pPr>
          <w:r w:rsidRPr="004378BE">
            <w:rPr>
              <w:rFonts w:ascii="GHEA Grapalat" w:hAnsi="GHEA Grapalat"/>
              <w:b w:val="0"/>
              <w:bCs w:val="0"/>
              <w:color w:val="365F91" w:themeColor="accent1" w:themeShade="BF"/>
            </w:rPr>
            <w:fldChar w:fldCharType="begin"/>
          </w:r>
          <w:r w:rsidR="00362131" w:rsidRPr="004378BE">
            <w:rPr>
              <w:rFonts w:ascii="GHEA Grapalat" w:hAnsi="GHEA Grapalat"/>
              <w:color w:val="365F91" w:themeColor="accent1" w:themeShade="BF"/>
            </w:rPr>
            <w:instrText xml:space="preserve"> TOC \o "1-3" \h \z \u </w:instrText>
          </w:r>
          <w:r w:rsidRPr="004378BE">
            <w:rPr>
              <w:rFonts w:ascii="GHEA Grapalat" w:hAnsi="GHEA Grapalat"/>
              <w:b w:val="0"/>
              <w:bCs w:val="0"/>
              <w:color w:val="365F91" w:themeColor="accent1" w:themeShade="BF"/>
            </w:rPr>
            <w:fldChar w:fldCharType="separate"/>
          </w:r>
          <w:hyperlink w:anchor="_Toc78536684" w:history="1">
            <w:r w:rsidR="004378BE" w:rsidRPr="004378BE">
              <w:rPr>
                <w:rStyle w:val="Hyperlink"/>
                <w:noProof/>
                <w:color w:val="365F91" w:themeColor="accent1" w:themeShade="BF"/>
                <w:lang w:val="hy-AM"/>
              </w:rPr>
              <w:t>ՄԱՍ I. ՀԱՐԿԱԲՅՈՒՋԵՏԱՅԻՆ ՔԱՂԱՔԱԿԱՆՈՒԹՅՈՒՆԸ</w:t>
            </w:r>
            <w:r w:rsidR="004378BE" w:rsidRPr="004378BE">
              <w:rPr>
                <w:noProof/>
                <w:webHidden/>
                <w:color w:val="365F91" w:themeColor="accent1" w:themeShade="BF"/>
              </w:rPr>
              <w:tab/>
            </w:r>
            <w:r w:rsidR="004378BE" w:rsidRPr="004378BE">
              <w:rPr>
                <w:noProof/>
                <w:webHidden/>
                <w:color w:val="365F91" w:themeColor="accent1" w:themeShade="BF"/>
              </w:rPr>
              <w:fldChar w:fldCharType="begin"/>
            </w:r>
            <w:r w:rsidR="004378BE" w:rsidRPr="004378BE">
              <w:rPr>
                <w:noProof/>
                <w:webHidden/>
                <w:color w:val="365F91" w:themeColor="accent1" w:themeShade="BF"/>
              </w:rPr>
              <w:instrText xml:space="preserve"> PAGEREF _Toc78536684 \h </w:instrText>
            </w:r>
            <w:r w:rsidR="004378BE" w:rsidRPr="004378BE">
              <w:rPr>
                <w:noProof/>
                <w:webHidden/>
                <w:color w:val="365F91" w:themeColor="accent1" w:themeShade="BF"/>
              </w:rPr>
            </w:r>
            <w:r w:rsidR="004378BE" w:rsidRPr="004378BE">
              <w:rPr>
                <w:noProof/>
                <w:webHidden/>
                <w:color w:val="365F91" w:themeColor="accent1" w:themeShade="BF"/>
              </w:rPr>
              <w:fldChar w:fldCharType="separate"/>
            </w:r>
            <w:r w:rsidR="004378BE" w:rsidRPr="004378BE">
              <w:rPr>
                <w:noProof/>
                <w:webHidden/>
                <w:color w:val="365F91" w:themeColor="accent1" w:themeShade="BF"/>
              </w:rPr>
              <w:t>3</w:t>
            </w:r>
            <w:r w:rsidR="004378BE" w:rsidRPr="004378BE">
              <w:rPr>
                <w:noProof/>
                <w:webHidden/>
                <w:color w:val="365F91" w:themeColor="accent1" w:themeShade="BF"/>
              </w:rPr>
              <w:fldChar w:fldCharType="end"/>
            </w:r>
          </w:hyperlink>
        </w:p>
        <w:p w14:paraId="1803B698" w14:textId="040E6FF8" w:rsidR="004378BE" w:rsidRPr="004378BE" w:rsidRDefault="004378BE">
          <w:pPr>
            <w:pStyle w:val="TOC2"/>
            <w:tabs>
              <w:tab w:val="right" w:leader="dot" w:pos="10024"/>
            </w:tabs>
            <w:rPr>
              <w:rFonts w:cstheme="minorBidi"/>
              <w:b w:val="0"/>
              <w:bCs w:val="0"/>
              <w:noProof/>
              <w:color w:val="365F91" w:themeColor="accent1" w:themeShade="BF"/>
            </w:rPr>
          </w:pPr>
          <w:hyperlink w:anchor="_Toc78536685" w:history="1">
            <w:r w:rsidRPr="004378BE">
              <w:rPr>
                <w:rStyle w:val="Hyperlink"/>
                <w:noProof/>
                <w:color w:val="365F91" w:themeColor="accent1" w:themeShade="BF"/>
              </w:rPr>
              <w:t>ԳԼՈՒԽ 1. ՄԱԿՐՈՏՆՏԵՍԱԿԱՆ ԿԱՆԽԱՏԵՍՈՒՄՆԵՐ</w:t>
            </w:r>
            <w:r w:rsidRPr="004378BE">
              <w:rPr>
                <w:noProof/>
                <w:webHidden/>
                <w:color w:val="365F91" w:themeColor="accent1" w:themeShade="BF"/>
              </w:rPr>
              <w:tab/>
            </w:r>
            <w:r w:rsidRPr="004378BE">
              <w:rPr>
                <w:noProof/>
                <w:webHidden/>
                <w:color w:val="365F91" w:themeColor="accent1" w:themeShade="BF"/>
              </w:rPr>
              <w:fldChar w:fldCharType="begin"/>
            </w:r>
            <w:r w:rsidRPr="004378BE">
              <w:rPr>
                <w:noProof/>
                <w:webHidden/>
                <w:color w:val="365F91" w:themeColor="accent1" w:themeShade="BF"/>
              </w:rPr>
              <w:instrText xml:space="preserve"> PAGEREF _Toc78536685 \h </w:instrText>
            </w:r>
            <w:r w:rsidRPr="004378BE">
              <w:rPr>
                <w:noProof/>
                <w:webHidden/>
                <w:color w:val="365F91" w:themeColor="accent1" w:themeShade="BF"/>
              </w:rPr>
            </w:r>
            <w:r w:rsidRPr="004378BE">
              <w:rPr>
                <w:noProof/>
                <w:webHidden/>
                <w:color w:val="365F91" w:themeColor="accent1" w:themeShade="BF"/>
              </w:rPr>
              <w:fldChar w:fldCharType="separate"/>
            </w:r>
            <w:r w:rsidRPr="004378BE">
              <w:rPr>
                <w:noProof/>
                <w:webHidden/>
                <w:color w:val="365F91" w:themeColor="accent1" w:themeShade="BF"/>
              </w:rPr>
              <w:t>4</w:t>
            </w:r>
            <w:r w:rsidRPr="004378BE">
              <w:rPr>
                <w:noProof/>
                <w:webHidden/>
                <w:color w:val="365F91" w:themeColor="accent1" w:themeShade="BF"/>
              </w:rPr>
              <w:fldChar w:fldCharType="end"/>
            </w:r>
          </w:hyperlink>
        </w:p>
        <w:p w14:paraId="6180AB93" w14:textId="07075AE7" w:rsidR="004378BE" w:rsidRPr="004378BE" w:rsidRDefault="004378BE">
          <w:pPr>
            <w:pStyle w:val="TOC3"/>
            <w:tabs>
              <w:tab w:val="right" w:leader="dot" w:pos="10024"/>
            </w:tabs>
            <w:rPr>
              <w:rFonts w:cstheme="minorBidi"/>
              <w:noProof/>
              <w:color w:val="365F91" w:themeColor="accent1" w:themeShade="BF"/>
              <w:sz w:val="22"/>
              <w:szCs w:val="22"/>
            </w:rPr>
          </w:pPr>
          <w:hyperlink w:anchor="_Toc78536686" w:history="1">
            <w:r w:rsidRPr="004378BE">
              <w:rPr>
                <w:rStyle w:val="Hyperlink"/>
                <w:bCs/>
                <w:noProof/>
                <w:color w:val="365F91" w:themeColor="accent1" w:themeShade="BF"/>
              </w:rPr>
              <w:t>1</w:t>
            </w:r>
            <w:r w:rsidRPr="004378BE">
              <w:rPr>
                <w:rStyle w:val="Hyperlink"/>
                <w:bCs/>
                <w:noProof/>
                <w:color w:val="365F91" w:themeColor="accent1" w:themeShade="BF"/>
                <w:lang w:val="af-ZA"/>
              </w:rPr>
              <w:t xml:space="preserve">.1. </w:t>
            </w:r>
            <w:r w:rsidRPr="004378BE">
              <w:rPr>
                <w:rStyle w:val="Hyperlink"/>
                <w:rFonts w:cs="Sylfaen"/>
                <w:bCs/>
                <w:noProof/>
                <w:color w:val="365F91" w:themeColor="accent1" w:themeShade="BF"/>
              </w:rPr>
              <w:t>ՄԱԿՐՈՏՆՏԵՍԱԿԱՆ</w:t>
            </w:r>
            <w:r w:rsidRPr="004378BE">
              <w:rPr>
                <w:rStyle w:val="Hyperlink"/>
                <w:bCs/>
                <w:noProof/>
                <w:color w:val="365F91" w:themeColor="accent1" w:themeShade="BF"/>
              </w:rPr>
              <w:t xml:space="preserve"> </w:t>
            </w:r>
            <w:r w:rsidRPr="004378BE">
              <w:rPr>
                <w:rStyle w:val="Hyperlink"/>
                <w:rFonts w:cs="Sylfaen"/>
                <w:bCs/>
                <w:noProof/>
                <w:color w:val="365F91" w:themeColor="accent1" w:themeShade="BF"/>
              </w:rPr>
              <w:t>ԱՄՓՈՓԱԳԻՐ</w:t>
            </w:r>
            <w:r w:rsidRPr="004378BE">
              <w:rPr>
                <w:rStyle w:val="Hyperlink"/>
                <w:bCs/>
                <w:noProof/>
                <w:color w:val="365F91" w:themeColor="accent1" w:themeShade="BF"/>
              </w:rPr>
              <w:t xml:space="preserve"> </w:t>
            </w:r>
            <w:r w:rsidRPr="004378BE">
              <w:rPr>
                <w:rStyle w:val="Hyperlink"/>
                <w:rFonts w:cs="Sylfaen"/>
                <w:bCs/>
                <w:noProof/>
                <w:color w:val="365F91" w:themeColor="accent1" w:themeShade="BF"/>
              </w:rPr>
              <w:t>ԵՎ</w:t>
            </w:r>
            <w:r w:rsidRPr="004378BE">
              <w:rPr>
                <w:rStyle w:val="Hyperlink"/>
                <w:bCs/>
                <w:noProof/>
                <w:color w:val="365F91" w:themeColor="accent1" w:themeShade="BF"/>
              </w:rPr>
              <w:t xml:space="preserve"> </w:t>
            </w:r>
            <w:r w:rsidRPr="004378BE">
              <w:rPr>
                <w:rStyle w:val="Hyperlink"/>
                <w:rFonts w:cs="Sylfaen"/>
                <w:bCs/>
                <w:noProof/>
                <w:color w:val="365F91" w:themeColor="accent1" w:themeShade="BF"/>
              </w:rPr>
              <w:t>ՇՐՋԱՆԱԿ</w:t>
            </w:r>
            <w:r w:rsidRPr="004378BE">
              <w:rPr>
                <w:noProof/>
                <w:webHidden/>
                <w:color w:val="365F91" w:themeColor="accent1" w:themeShade="BF"/>
              </w:rPr>
              <w:tab/>
            </w:r>
            <w:r w:rsidRPr="004378BE">
              <w:rPr>
                <w:noProof/>
                <w:webHidden/>
                <w:color w:val="365F91" w:themeColor="accent1" w:themeShade="BF"/>
              </w:rPr>
              <w:fldChar w:fldCharType="begin"/>
            </w:r>
            <w:r w:rsidRPr="004378BE">
              <w:rPr>
                <w:noProof/>
                <w:webHidden/>
                <w:color w:val="365F91" w:themeColor="accent1" w:themeShade="BF"/>
              </w:rPr>
              <w:instrText xml:space="preserve"> PAGEREF _Toc78536686 \h </w:instrText>
            </w:r>
            <w:r w:rsidRPr="004378BE">
              <w:rPr>
                <w:noProof/>
                <w:webHidden/>
                <w:color w:val="365F91" w:themeColor="accent1" w:themeShade="BF"/>
              </w:rPr>
            </w:r>
            <w:r w:rsidRPr="004378BE">
              <w:rPr>
                <w:noProof/>
                <w:webHidden/>
                <w:color w:val="365F91" w:themeColor="accent1" w:themeShade="BF"/>
              </w:rPr>
              <w:fldChar w:fldCharType="separate"/>
            </w:r>
            <w:r w:rsidRPr="004378BE">
              <w:rPr>
                <w:noProof/>
                <w:webHidden/>
                <w:color w:val="365F91" w:themeColor="accent1" w:themeShade="BF"/>
              </w:rPr>
              <w:t>4</w:t>
            </w:r>
            <w:r w:rsidRPr="004378BE">
              <w:rPr>
                <w:noProof/>
                <w:webHidden/>
                <w:color w:val="365F91" w:themeColor="accent1" w:themeShade="BF"/>
              </w:rPr>
              <w:fldChar w:fldCharType="end"/>
            </w:r>
          </w:hyperlink>
        </w:p>
        <w:p w14:paraId="204315BF" w14:textId="788400EE" w:rsidR="004378BE" w:rsidRPr="004378BE" w:rsidRDefault="004378BE">
          <w:pPr>
            <w:pStyle w:val="TOC3"/>
            <w:tabs>
              <w:tab w:val="right" w:leader="dot" w:pos="10024"/>
            </w:tabs>
            <w:rPr>
              <w:rFonts w:cstheme="minorBidi"/>
              <w:noProof/>
              <w:color w:val="365F91" w:themeColor="accent1" w:themeShade="BF"/>
              <w:sz w:val="22"/>
              <w:szCs w:val="22"/>
            </w:rPr>
          </w:pPr>
          <w:hyperlink w:anchor="_Toc78536687" w:history="1">
            <w:r w:rsidRPr="004378BE">
              <w:rPr>
                <w:rStyle w:val="Hyperlink"/>
                <w:rFonts w:cs="Sylfaen"/>
                <w:bCs/>
                <w:noProof/>
                <w:color w:val="365F91" w:themeColor="accent1" w:themeShade="BF"/>
              </w:rPr>
              <w:t>1.2. ՀԱՄԱՇԽԱՐՀԱՅԻՆ ՏՆՏԵՍՈՒԹՅԱՆ ԵՎ ԳՈՐԾԸՆԿԵՐ ԵՐԿՐՆԵՐԻ ԶԱՐԳԱՑՈՒՄՆԵՐ ԵՎ ԿԱՆԽԱՏԵՍՈՒՄՆԵՐ</w:t>
            </w:r>
            <w:r w:rsidRPr="004378BE">
              <w:rPr>
                <w:noProof/>
                <w:webHidden/>
                <w:color w:val="365F91" w:themeColor="accent1" w:themeShade="BF"/>
              </w:rPr>
              <w:tab/>
            </w:r>
            <w:r w:rsidRPr="004378BE">
              <w:rPr>
                <w:noProof/>
                <w:webHidden/>
                <w:color w:val="365F91" w:themeColor="accent1" w:themeShade="BF"/>
              </w:rPr>
              <w:fldChar w:fldCharType="begin"/>
            </w:r>
            <w:r w:rsidRPr="004378BE">
              <w:rPr>
                <w:noProof/>
                <w:webHidden/>
                <w:color w:val="365F91" w:themeColor="accent1" w:themeShade="BF"/>
              </w:rPr>
              <w:instrText xml:space="preserve"> PAGEREF _Toc78536687 \h </w:instrText>
            </w:r>
            <w:r w:rsidRPr="004378BE">
              <w:rPr>
                <w:noProof/>
                <w:webHidden/>
                <w:color w:val="365F91" w:themeColor="accent1" w:themeShade="BF"/>
              </w:rPr>
            </w:r>
            <w:r w:rsidRPr="004378BE">
              <w:rPr>
                <w:noProof/>
                <w:webHidden/>
                <w:color w:val="365F91" w:themeColor="accent1" w:themeShade="BF"/>
              </w:rPr>
              <w:fldChar w:fldCharType="separate"/>
            </w:r>
            <w:r w:rsidRPr="004378BE">
              <w:rPr>
                <w:noProof/>
                <w:webHidden/>
                <w:color w:val="365F91" w:themeColor="accent1" w:themeShade="BF"/>
              </w:rPr>
              <w:t>10</w:t>
            </w:r>
            <w:r w:rsidRPr="004378BE">
              <w:rPr>
                <w:noProof/>
                <w:webHidden/>
                <w:color w:val="365F91" w:themeColor="accent1" w:themeShade="BF"/>
              </w:rPr>
              <w:fldChar w:fldCharType="end"/>
            </w:r>
          </w:hyperlink>
        </w:p>
        <w:p w14:paraId="48A61714" w14:textId="0073C40E" w:rsidR="004378BE" w:rsidRPr="004378BE" w:rsidRDefault="004378BE">
          <w:pPr>
            <w:pStyle w:val="TOC3"/>
            <w:tabs>
              <w:tab w:val="right" w:leader="dot" w:pos="10024"/>
            </w:tabs>
            <w:rPr>
              <w:rFonts w:cstheme="minorBidi"/>
              <w:noProof/>
              <w:color w:val="365F91" w:themeColor="accent1" w:themeShade="BF"/>
              <w:sz w:val="22"/>
              <w:szCs w:val="22"/>
            </w:rPr>
          </w:pPr>
          <w:hyperlink w:anchor="_Toc78536688" w:history="1">
            <w:r w:rsidRPr="004378BE">
              <w:rPr>
                <w:rStyle w:val="Hyperlink"/>
                <w:rFonts w:cs="Sylfaen"/>
                <w:bCs/>
                <w:noProof/>
                <w:color w:val="365F91" w:themeColor="accent1" w:themeShade="BF"/>
              </w:rPr>
              <w:t>1.3. ՀՀ ՄԱԿՐՈՏՆՏԵՍԱԿԱՆ ԶԱՐԳԱՑՈՒՄՆԵՐ ԵՎ ԿԱՆԽԱՏԵՍՈՒՄՆԵՐ</w:t>
            </w:r>
            <w:r w:rsidRPr="004378BE">
              <w:rPr>
                <w:noProof/>
                <w:webHidden/>
                <w:color w:val="365F91" w:themeColor="accent1" w:themeShade="BF"/>
              </w:rPr>
              <w:tab/>
            </w:r>
            <w:r w:rsidRPr="004378BE">
              <w:rPr>
                <w:noProof/>
                <w:webHidden/>
                <w:color w:val="365F91" w:themeColor="accent1" w:themeShade="BF"/>
              </w:rPr>
              <w:fldChar w:fldCharType="begin"/>
            </w:r>
            <w:r w:rsidRPr="004378BE">
              <w:rPr>
                <w:noProof/>
                <w:webHidden/>
                <w:color w:val="365F91" w:themeColor="accent1" w:themeShade="BF"/>
              </w:rPr>
              <w:instrText xml:space="preserve"> PAGEREF _Toc78536688 \h </w:instrText>
            </w:r>
            <w:r w:rsidRPr="004378BE">
              <w:rPr>
                <w:noProof/>
                <w:webHidden/>
                <w:color w:val="365F91" w:themeColor="accent1" w:themeShade="BF"/>
              </w:rPr>
            </w:r>
            <w:r w:rsidRPr="004378BE">
              <w:rPr>
                <w:noProof/>
                <w:webHidden/>
                <w:color w:val="365F91" w:themeColor="accent1" w:themeShade="BF"/>
              </w:rPr>
              <w:fldChar w:fldCharType="separate"/>
            </w:r>
            <w:r w:rsidRPr="004378BE">
              <w:rPr>
                <w:noProof/>
                <w:webHidden/>
                <w:color w:val="365F91" w:themeColor="accent1" w:themeShade="BF"/>
              </w:rPr>
              <w:t>14</w:t>
            </w:r>
            <w:r w:rsidRPr="004378BE">
              <w:rPr>
                <w:noProof/>
                <w:webHidden/>
                <w:color w:val="365F91" w:themeColor="accent1" w:themeShade="BF"/>
              </w:rPr>
              <w:fldChar w:fldCharType="end"/>
            </w:r>
          </w:hyperlink>
        </w:p>
        <w:p w14:paraId="26D03A2D" w14:textId="22A95AAC" w:rsidR="004378BE" w:rsidRPr="004378BE" w:rsidRDefault="004378BE">
          <w:pPr>
            <w:pStyle w:val="TOC3"/>
            <w:tabs>
              <w:tab w:val="right" w:leader="dot" w:pos="10024"/>
            </w:tabs>
            <w:rPr>
              <w:rFonts w:cstheme="minorBidi"/>
              <w:noProof/>
              <w:color w:val="365F91" w:themeColor="accent1" w:themeShade="BF"/>
              <w:sz w:val="22"/>
              <w:szCs w:val="22"/>
            </w:rPr>
          </w:pPr>
          <w:hyperlink w:anchor="_Toc78536689" w:history="1">
            <w:r w:rsidRPr="004378BE">
              <w:rPr>
                <w:rStyle w:val="Hyperlink"/>
                <w:rFonts w:eastAsia="SimSun" w:cs="Times New Roman"/>
                <w:noProof/>
                <w:color w:val="365F91" w:themeColor="accent1" w:themeShade="BF"/>
              </w:rPr>
              <w:t>1.3.1. ԹԻՐԱԽԱՅԻՆ (ԲԱՐՁՐ) ՏՆՏԵՍԱԿԱՆ ԱՃԻ ՍՑԵՆԱՐ</w:t>
            </w:r>
            <w:r w:rsidRPr="004378BE">
              <w:rPr>
                <w:noProof/>
                <w:webHidden/>
                <w:color w:val="365F91" w:themeColor="accent1" w:themeShade="BF"/>
              </w:rPr>
              <w:tab/>
            </w:r>
            <w:r w:rsidRPr="004378BE">
              <w:rPr>
                <w:noProof/>
                <w:webHidden/>
                <w:color w:val="365F91" w:themeColor="accent1" w:themeShade="BF"/>
              </w:rPr>
              <w:fldChar w:fldCharType="begin"/>
            </w:r>
            <w:r w:rsidRPr="004378BE">
              <w:rPr>
                <w:noProof/>
                <w:webHidden/>
                <w:color w:val="365F91" w:themeColor="accent1" w:themeShade="BF"/>
              </w:rPr>
              <w:instrText xml:space="preserve"> PAGEREF _Toc78536689 \h </w:instrText>
            </w:r>
            <w:r w:rsidRPr="004378BE">
              <w:rPr>
                <w:noProof/>
                <w:webHidden/>
                <w:color w:val="365F91" w:themeColor="accent1" w:themeShade="BF"/>
              </w:rPr>
            </w:r>
            <w:r w:rsidRPr="004378BE">
              <w:rPr>
                <w:noProof/>
                <w:webHidden/>
                <w:color w:val="365F91" w:themeColor="accent1" w:themeShade="BF"/>
              </w:rPr>
              <w:fldChar w:fldCharType="separate"/>
            </w:r>
            <w:r w:rsidRPr="004378BE">
              <w:rPr>
                <w:noProof/>
                <w:webHidden/>
                <w:color w:val="365F91" w:themeColor="accent1" w:themeShade="BF"/>
              </w:rPr>
              <w:t>14</w:t>
            </w:r>
            <w:r w:rsidRPr="004378BE">
              <w:rPr>
                <w:noProof/>
                <w:webHidden/>
                <w:color w:val="365F91" w:themeColor="accent1" w:themeShade="BF"/>
              </w:rPr>
              <w:fldChar w:fldCharType="end"/>
            </w:r>
          </w:hyperlink>
        </w:p>
        <w:p w14:paraId="1D549702" w14:textId="2200109D" w:rsidR="004378BE" w:rsidRPr="004378BE" w:rsidRDefault="004378BE">
          <w:pPr>
            <w:pStyle w:val="TOC3"/>
            <w:tabs>
              <w:tab w:val="right" w:leader="dot" w:pos="10024"/>
            </w:tabs>
            <w:rPr>
              <w:rFonts w:cstheme="minorBidi"/>
              <w:noProof/>
              <w:color w:val="365F91" w:themeColor="accent1" w:themeShade="BF"/>
              <w:sz w:val="22"/>
              <w:szCs w:val="22"/>
            </w:rPr>
          </w:pPr>
          <w:hyperlink w:anchor="_Toc78536690" w:history="1">
            <w:r w:rsidRPr="004378BE">
              <w:rPr>
                <w:rStyle w:val="Hyperlink"/>
                <w:rFonts w:eastAsia="SimSun" w:cs="Times New Roman"/>
                <w:noProof/>
                <w:color w:val="365F91" w:themeColor="accent1" w:themeShade="BF"/>
              </w:rPr>
              <w:t>1.3.2. 2022-2024թթ. ՄԺԾԾ ՄԱԿՐՈՏՆՏԵՍԱԿԱՆ ՍՑԵՆԱՐ (ԲՅՈՒՋԵՏԱՅԻՆ ՇՐՋԱՆԱԿ)</w:t>
            </w:r>
            <w:r w:rsidRPr="004378BE">
              <w:rPr>
                <w:noProof/>
                <w:webHidden/>
                <w:color w:val="365F91" w:themeColor="accent1" w:themeShade="BF"/>
              </w:rPr>
              <w:tab/>
            </w:r>
            <w:r w:rsidRPr="004378BE">
              <w:rPr>
                <w:noProof/>
                <w:webHidden/>
                <w:color w:val="365F91" w:themeColor="accent1" w:themeShade="BF"/>
              </w:rPr>
              <w:fldChar w:fldCharType="begin"/>
            </w:r>
            <w:r w:rsidRPr="004378BE">
              <w:rPr>
                <w:noProof/>
                <w:webHidden/>
                <w:color w:val="365F91" w:themeColor="accent1" w:themeShade="BF"/>
              </w:rPr>
              <w:instrText xml:space="preserve"> PAGEREF _Toc78536690 \h </w:instrText>
            </w:r>
            <w:r w:rsidRPr="004378BE">
              <w:rPr>
                <w:noProof/>
                <w:webHidden/>
                <w:color w:val="365F91" w:themeColor="accent1" w:themeShade="BF"/>
              </w:rPr>
            </w:r>
            <w:r w:rsidRPr="004378BE">
              <w:rPr>
                <w:noProof/>
                <w:webHidden/>
                <w:color w:val="365F91" w:themeColor="accent1" w:themeShade="BF"/>
              </w:rPr>
              <w:fldChar w:fldCharType="separate"/>
            </w:r>
            <w:r w:rsidRPr="004378BE">
              <w:rPr>
                <w:noProof/>
                <w:webHidden/>
                <w:color w:val="365F91" w:themeColor="accent1" w:themeShade="BF"/>
              </w:rPr>
              <w:t>20</w:t>
            </w:r>
            <w:r w:rsidRPr="004378BE">
              <w:rPr>
                <w:noProof/>
                <w:webHidden/>
                <w:color w:val="365F91" w:themeColor="accent1" w:themeShade="BF"/>
              </w:rPr>
              <w:fldChar w:fldCharType="end"/>
            </w:r>
          </w:hyperlink>
        </w:p>
        <w:p w14:paraId="5131E637" w14:textId="2A05EACE" w:rsidR="004378BE" w:rsidRPr="004378BE" w:rsidRDefault="004378BE">
          <w:pPr>
            <w:pStyle w:val="TOC3"/>
            <w:tabs>
              <w:tab w:val="right" w:leader="dot" w:pos="10024"/>
            </w:tabs>
            <w:rPr>
              <w:rFonts w:cstheme="minorBidi"/>
              <w:noProof/>
              <w:color w:val="365F91" w:themeColor="accent1" w:themeShade="BF"/>
              <w:sz w:val="22"/>
              <w:szCs w:val="22"/>
            </w:rPr>
          </w:pPr>
          <w:hyperlink w:anchor="_Toc78536691" w:history="1">
            <w:r w:rsidRPr="004378BE">
              <w:rPr>
                <w:rStyle w:val="Hyperlink"/>
                <w:rFonts w:cs="Sylfaen"/>
                <w:bCs/>
                <w:noProof/>
                <w:color w:val="365F91" w:themeColor="accent1" w:themeShade="BF"/>
              </w:rPr>
              <w:t>1.4. ԿԱՆԽԱՏԵՍՈՒՄՆԵՐԻ ՀԻՄՔՈՒՄ ԸՆԿԱԾ ԵՆԹԱԴՐՈՒԹՅՈՒՆՆԵՐԸ</w:t>
            </w:r>
            <w:r w:rsidRPr="004378BE">
              <w:rPr>
                <w:noProof/>
                <w:webHidden/>
                <w:color w:val="365F91" w:themeColor="accent1" w:themeShade="BF"/>
              </w:rPr>
              <w:tab/>
            </w:r>
            <w:r w:rsidRPr="004378BE">
              <w:rPr>
                <w:noProof/>
                <w:webHidden/>
                <w:color w:val="365F91" w:themeColor="accent1" w:themeShade="BF"/>
              </w:rPr>
              <w:fldChar w:fldCharType="begin"/>
            </w:r>
            <w:r w:rsidRPr="004378BE">
              <w:rPr>
                <w:noProof/>
                <w:webHidden/>
                <w:color w:val="365F91" w:themeColor="accent1" w:themeShade="BF"/>
              </w:rPr>
              <w:instrText xml:space="preserve"> PAGEREF _Toc78536691 \h </w:instrText>
            </w:r>
            <w:r w:rsidRPr="004378BE">
              <w:rPr>
                <w:noProof/>
                <w:webHidden/>
                <w:color w:val="365F91" w:themeColor="accent1" w:themeShade="BF"/>
              </w:rPr>
            </w:r>
            <w:r w:rsidRPr="004378BE">
              <w:rPr>
                <w:noProof/>
                <w:webHidden/>
                <w:color w:val="365F91" w:themeColor="accent1" w:themeShade="BF"/>
              </w:rPr>
              <w:fldChar w:fldCharType="separate"/>
            </w:r>
            <w:r w:rsidRPr="004378BE">
              <w:rPr>
                <w:noProof/>
                <w:webHidden/>
                <w:color w:val="365F91" w:themeColor="accent1" w:themeShade="BF"/>
              </w:rPr>
              <w:t>38</w:t>
            </w:r>
            <w:r w:rsidRPr="004378BE">
              <w:rPr>
                <w:noProof/>
                <w:webHidden/>
                <w:color w:val="365F91" w:themeColor="accent1" w:themeShade="BF"/>
              </w:rPr>
              <w:fldChar w:fldCharType="end"/>
            </w:r>
          </w:hyperlink>
        </w:p>
        <w:p w14:paraId="0259B88E" w14:textId="2B0EA9EE" w:rsidR="004378BE" w:rsidRPr="004378BE" w:rsidRDefault="004378BE">
          <w:pPr>
            <w:pStyle w:val="TOC3"/>
            <w:tabs>
              <w:tab w:val="right" w:leader="dot" w:pos="10024"/>
            </w:tabs>
            <w:rPr>
              <w:rFonts w:cstheme="minorBidi"/>
              <w:noProof/>
              <w:color w:val="365F91" w:themeColor="accent1" w:themeShade="BF"/>
              <w:sz w:val="22"/>
              <w:szCs w:val="22"/>
            </w:rPr>
          </w:pPr>
          <w:hyperlink w:anchor="_Toc78536692" w:history="1">
            <w:r w:rsidRPr="004378BE">
              <w:rPr>
                <w:rStyle w:val="Hyperlink"/>
                <w:rFonts w:cs="Sylfaen"/>
                <w:bCs/>
                <w:noProof/>
                <w:color w:val="365F91" w:themeColor="accent1" w:themeShade="BF"/>
              </w:rPr>
              <w:t>1.5. ՄԱԿՐՈՏՆՏԵՍԱԿԱՆ ԿԱՆԽԱՏԵՍՈՒՄՆԵՐԻ ՌԻՍԿԵՐԸ</w:t>
            </w:r>
            <w:r w:rsidRPr="004378BE">
              <w:rPr>
                <w:noProof/>
                <w:webHidden/>
                <w:color w:val="365F91" w:themeColor="accent1" w:themeShade="BF"/>
              </w:rPr>
              <w:tab/>
            </w:r>
            <w:r w:rsidRPr="004378BE">
              <w:rPr>
                <w:noProof/>
                <w:webHidden/>
                <w:color w:val="365F91" w:themeColor="accent1" w:themeShade="BF"/>
              </w:rPr>
              <w:fldChar w:fldCharType="begin"/>
            </w:r>
            <w:r w:rsidRPr="004378BE">
              <w:rPr>
                <w:noProof/>
                <w:webHidden/>
                <w:color w:val="365F91" w:themeColor="accent1" w:themeShade="BF"/>
              </w:rPr>
              <w:instrText xml:space="preserve"> PAGEREF _Toc78536692 \h </w:instrText>
            </w:r>
            <w:r w:rsidRPr="004378BE">
              <w:rPr>
                <w:noProof/>
                <w:webHidden/>
                <w:color w:val="365F91" w:themeColor="accent1" w:themeShade="BF"/>
              </w:rPr>
            </w:r>
            <w:r w:rsidRPr="004378BE">
              <w:rPr>
                <w:noProof/>
                <w:webHidden/>
                <w:color w:val="365F91" w:themeColor="accent1" w:themeShade="BF"/>
              </w:rPr>
              <w:fldChar w:fldCharType="separate"/>
            </w:r>
            <w:r w:rsidRPr="004378BE">
              <w:rPr>
                <w:noProof/>
                <w:webHidden/>
                <w:color w:val="365F91" w:themeColor="accent1" w:themeShade="BF"/>
              </w:rPr>
              <w:t>41</w:t>
            </w:r>
            <w:r w:rsidRPr="004378BE">
              <w:rPr>
                <w:noProof/>
                <w:webHidden/>
                <w:color w:val="365F91" w:themeColor="accent1" w:themeShade="BF"/>
              </w:rPr>
              <w:fldChar w:fldCharType="end"/>
            </w:r>
          </w:hyperlink>
        </w:p>
        <w:p w14:paraId="4709DAA1" w14:textId="16F5C1F7" w:rsidR="004378BE" w:rsidRPr="004378BE" w:rsidRDefault="004378BE">
          <w:pPr>
            <w:pStyle w:val="TOC3"/>
            <w:tabs>
              <w:tab w:val="right" w:leader="dot" w:pos="10024"/>
            </w:tabs>
            <w:rPr>
              <w:rFonts w:cstheme="minorBidi"/>
              <w:noProof/>
              <w:color w:val="365F91" w:themeColor="accent1" w:themeShade="BF"/>
              <w:sz w:val="22"/>
              <w:szCs w:val="22"/>
            </w:rPr>
          </w:pPr>
          <w:hyperlink w:anchor="_Toc78536693" w:history="1">
            <w:r w:rsidRPr="004378BE">
              <w:rPr>
                <w:rStyle w:val="Hyperlink"/>
                <w:rFonts w:cs="Sylfaen"/>
                <w:bCs/>
                <w:noProof/>
                <w:color w:val="365F91" w:themeColor="accent1" w:themeShade="BF"/>
              </w:rPr>
              <w:t>1.6. ՀԱՄԵՄԱՏՈՒԹՅՈՒՆ ՆԱԽՈՐԴ ԿԱՆԽԱՏԵՍՈՒՄՆԵՐԻ ՀԵՏ</w:t>
            </w:r>
            <w:r w:rsidRPr="004378BE">
              <w:rPr>
                <w:noProof/>
                <w:webHidden/>
                <w:color w:val="365F91" w:themeColor="accent1" w:themeShade="BF"/>
              </w:rPr>
              <w:tab/>
            </w:r>
            <w:r w:rsidRPr="004378BE">
              <w:rPr>
                <w:noProof/>
                <w:webHidden/>
                <w:color w:val="365F91" w:themeColor="accent1" w:themeShade="BF"/>
              </w:rPr>
              <w:fldChar w:fldCharType="begin"/>
            </w:r>
            <w:r w:rsidRPr="004378BE">
              <w:rPr>
                <w:noProof/>
                <w:webHidden/>
                <w:color w:val="365F91" w:themeColor="accent1" w:themeShade="BF"/>
              </w:rPr>
              <w:instrText xml:space="preserve"> PAGEREF _Toc78536693 \h </w:instrText>
            </w:r>
            <w:r w:rsidRPr="004378BE">
              <w:rPr>
                <w:noProof/>
                <w:webHidden/>
                <w:color w:val="365F91" w:themeColor="accent1" w:themeShade="BF"/>
              </w:rPr>
            </w:r>
            <w:r w:rsidRPr="004378BE">
              <w:rPr>
                <w:noProof/>
                <w:webHidden/>
                <w:color w:val="365F91" w:themeColor="accent1" w:themeShade="BF"/>
              </w:rPr>
              <w:fldChar w:fldCharType="separate"/>
            </w:r>
            <w:r w:rsidRPr="004378BE">
              <w:rPr>
                <w:noProof/>
                <w:webHidden/>
                <w:color w:val="365F91" w:themeColor="accent1" w:themeShade="BF"/>
              </w:rPr>
              <w:t>44</w:t>
            </w:r>
            <w:r w:rsidRPr="004378BE">
              <w:rPr>
                <w:noProof/>
                <w:webHidden/>
                <w:color w:val="365F91" w:themeColor="accent1" w:themeShade="BF"/>
              </w:rPr>
              <w:fldChar w:fldCharType="end"/>
            </w:r>
          </w:hyperlink>
        </w:p>
        <w:p w14:paraId="6015316C" w14:textId="7413C1A6" w:rsidR="004378BE" w:rsidRPr="004378BE" w:rsidRDefault="004378BE">
          <w:pPr>
            <w:pStyle w:val="TOC1"/>
            <w:tabs>
              <w:tab w:val="right" w:leader="dot" w:pos="10024"/>
            </w:tabs>
            <w:rPr>
              <w:rFonts w:cstheme="minorBidi"/>
              <w:b w:val="0"/>
              <w:bCs w:val="0"/>
              <w:i w:val="0"/>
              <w:iCs w:val="0"/>
              <w:noProof/>
              <w:color w:val="365F91" w:themeColor="accent1" w:themeShade="BF"/>
              <w:sz w:val="22"/>
              <w:szCs w:val="22"/>
            </w:rPr>
          </w:pPr>
          <w:hyperlink w:anchor="_Toc78536694" w:history="1">
            <w:r w:rsidRPr="004378BE">
              <w:rPr>
                <w:rStyle w:val="Hyperlink"/>
                <w:rFonts w:eastAsiaTheme="majorEastAsia" w:cstheme="majorBidi"/>
                <w:caps/>
                <w:noProof/>
                <w:color w:val="365F91" w:themeColor="accent1" w:themeShade="BF"/>
                <w:lang w:val="es-ES"/>
              </w:rPr>
              <w:t>ՎԵՐԼՈՒԾՈՒԹՅՈՒՆՆԵՐ</w:t>
            </w:r>
            <w:r w:rsidRPr="004378BE">
              <w:rPr>
                <w:noProof/>
                <w:webHidden/>
                <w:color w:val="365F91" w:themeColor="accent1" w:themeShade="BF"/>
              </w:rPr>
              <w:tab/>
            </w:r>
            <w:r w:rsidRPr="004378BE">
              <w:rPr>
                <w:noProof/>
                <w:webHidden/>
                <w:color w:val="365F91" w:themeColor="accent1" w:themeShade="BF"/>
              </w:rPr>
              <w:fldChar w:fldCharType="begin"/>
            </w:r>
            <w:r w:rsidRPr="004378BE">
              <w:rPr>
                <w:noProof/>
                <w:webHidden/>
                <w:color w:val="365F91" w:themeColor="accent1" w:themeShade="BF"/>
              </w:rPr>
              <w:instrText xml:space="preserve"> PAGEREF _Toc78536694 \h </w:instrText>
            </w:r>
            <w:r w:rsidRPr="004378BE">
              <w:rPr>
                <w:noProof/>
                <w:webHidden/>
                <w:color w:val="365F91" w:themeColor="accent1" w:themeShade="BF"/>
              </w:rPr>
            </w:r>
            <w:r w:rsidRPr="004378BE">
              <w:rPr>
                <w:noProof/>
                <w:webHidden/>
                <w:color w:val="365F91" w:themeColor="accent1" w:themeShade="BF"/>
              </w:rPr>
              <w:fldChar w:fldCharType="separate"/>
            </w:r>
            <w:r w:rsidRPr="004378BE">
              <w:rPr>
                <w:noProof/>
                <w:webHidden/>
                <w:color w:val="365F91" w:themeColor="accent1" w:themeShade="BF"/>
              </w:rPr>
              <w:t>46</w:t>
            </w:r>
            <w:r w:rsidRPr="004378BE">
              <w:rPr>
                <w:noProof/>
                <w:webHidden/>
                <w:color w:val="365F91" w:themeColor="accent1" w:themeShade="BF"/>
              </w:rPr>
              <w:fldChar w:fldCharType="end"/>
            </w:r>
          </w:hyperlink>
        </w:p>
        <w:p w14:paraId="2815F266" w14:textId="70A9FB27" w:rsidR="004378BE" w:rsidRPr="004378BE" w:rsidRDefault="004378BE">
          <w:pPr>
            <w:pStyle w:val="TOC3"/>
            <w:tabs>
              <w:tab w:val="right" w:leader="dot" w:pos="10024"/>
            </w:tabs>
            <w:rPr>
              <w:rFonts w:cstheme="minorBidi"/>
              <w:noProof/>
              <w:color w:val="365F91" w:themeColor="accent1" w:themeShade="BF"/>
              <w:sz w:val="22"/>
              <w:szCs w:val="22"/>
            </w:rPr>
          </w:pPr>
          <w:hyperlink w:anchor="_Toc78536695" w:history="1">
            <w:r w:rsidRPr="004378BE">
              <w:rPr>
                <w:rStyle w:val="Hyperlink"/>
                <w:rFonts w:eastAsia="Times New Roman" w:cs="Times New Roman"/>
                <w:noProof/>
                <w:color w:val="365F91" w:themeColor="accent1" w:themeShade="BF"/>
              </w:rPr>
              <w:t>2. ԱՅԼ ԿԱՌՈՒՅՑՆԵՐԻ ԿՈՂՄԻՑ ՀՀ ՏՆՏԵՍԱԿԱՆ ԱՃԻ ԿԱՆԽԱՏԵՍՈՒՄՆԵՐԻ ՀԵՏ ՀԱՄԵՄԱՏԱԿԱՆ</w:t>
            </w:r>
            <w:r w:rsidRPr="004378BE">
              <w:rPr>
                <w:noProof/>
                <w:webHidden/>
                <w:color w:val="365F91" w:themeColor="accent1" w:themeShade="BF"/>
              </w:rPr>
              <w:tab/>
            </w:r>
            <w:r w:rsidRPr="004378BE">
              <w:rPr>
                <w:noProof/>
                <w:webHidden/>
                <w:color w:val="365F91" w:themeColor="accent1" w:themeShade="BF"/>
              </w:rPr>
              <w:fldChar w:fldCharType="begin"/>
            </w:r>
            <w:r w:rsidRPr="004378BE">
              <w:rPr>
                <w:noProof/>
                <w:webHidden/>
                <w:color w:val="365F91" w:themeColor="accent1" w:themeShade="BF"/>
              </w:rPr>
              <w:instrText xml:space="preserve"> PAGEREF _Toc78536695 \h </w:instrText>
            </w:r>
            <w:r w:rsidRPr="004378BE">
              <w:rPr>
                <w:noProof/>
                <w:webHidden/>
                <w:color w:val="365F91" w:themeColor="accent1" w:themeShade="BF"/>
              </w:rPr>
            </w:r>
            <w:r w:rsidRPr="004378BE">
              <w:rPr>
                <w:noProof/>
                <w:webHidden/>
                <w:color w:val="365F91" w:themeColor="accent1" w:themeShade="BF"/>
              </w:rPr>
              <w:fldChar w:fldCharType="separate"/>
            </w:r>
            <w:r w:rsidRPr="004378BE">
              <w:rPr>
                <w:noProof/>
                <w:webHidden/>
                <w:color w:val="365F91" w:themeColor="accent1" w:themeShade="BF"/>
              </w:rPr>
              <w:t>46</w:t>
            </w:r>
            <w:r w:rsidRPr="004378BE">
              <w:rPr>
                <w:noProof/>
                <w:webHidden/>
                <w:color w:val="365F91" w:themeColor="accent1" w:themeShade="BF"/>
              </w:rPr>
              <w:fldChar w:fldCharType="end"/>
            </w:r>
          </w:hyperlink>
        </w:p>
        <w:p w14:paraId="54D678D5" w14:textId="319C4995" w:rsidR="00DA0E15" w:rsidRDefault="0045493E">
          <w:r w:rsidRPr="004378BE">
            <w:rPr>
              <w:b/>
              <w:bCs/>
              <w:color w:val="365F91" w:themeColor="accent1" w:themeShade="BF"/>
            </w:rPr>
            <w:fldChar w:fldCharType="end"/>
          </w:r>
        </w:p>
      </w:sdtContent>
    </w:sdt>
    <w:p w14:paraId="42E66336" w14:textId="77777777" w:rsidR="00BF45C7" w:rsidRDefault="00BF45C7">
      <w:pPr>
        <w:pStyle w:val="Heading1"/>
        <w:rPr>
          <w:sz w:val="24"/>
          <w:lang w:val="hy-AM"/>
        </w:rPr>
      </w:pPr>
      <w:bookmarkStart w:id="4" w:name="_Toc13837261"/>
      <w:bookmarkStart w:id="5" w:name="_Toc45838510"/>
    </w:p>
    <w:p w14:paraId="1B78F4AC" w14:textId="77777777" w:rsidR="00BF45C7" w:rsidRDefault="00BF45C7">
      <w:pPr>
        <w:pStyle w:val="Heading1"/>
        <w:rPr>
          <w:sz w:val="24"/>
          <w:lang w:val="hy-AM"/>
        </w:rPr>
      </w:pPr>
    </w:p>
    <w:p w14:paraId="0A4F2D19" w14:textId="77777777" w:rsidR="00BF45C7" w:rsidRDefault="00BF45C7">
      <w:pPr>
        <w:pStyle w:val="Heading1"/>
        <w:rPr>
          <w:sz w:val="24"/>
          <w:lang w:val="hy-AM"/>
        </w:rPr>
      </w:pPr>
    </w:p>
    <w:p w14:paraId="1A81DDEB" w14:textId="77777777" w:rsidR="00BF45C7" w:rsidRDefault="00BF45C7">
      <w:pPr>
        <w:pStyle w:val="Heading1"/>
        <w:rPr>
          <w:sz w:val="24"/>
          <w:lang w:val="hy-AM"/>
        </w:rPr>
      </w:pPr>
    </w:p>
    <w:p w14:paraId="032B3EF1" w14:textId="77777777" w:rsidR="00BF45C7" w:rsidRDefault="00BF45C7">
      <w:pPr>
        <w:pStyle w:val="Heading1"/>
        <w:rPr>
          <w:sz w:val="24"/>
          <w:lang w:val="hy-AM"/>
        </w:rPr>
      </w:pPr>
    </w:p>
    <w:p w14:paraId="2D1A4A5D" w14:textId="77777777" w:rsidR="00CB1FE5" w:rsidRDefault="00CB1FE5" w:rsidP="00CB1FE5">
      <w:pPr>
        <w:rPr>
          <w:lang w:val="hy-AM"/>
        </w:rPr>
      </w:pPr>
    </w:p>
    <w:p w14:paraId="64A3AF12" w14:textId="77777777" w:rsidR="00CB1FE5" w:rsidRDefault="00CB1FE5" w:rsidP="00CB1FE5">
      <w:pPr>
        <w:rPr>
          <w:lang w:val="hy-AM"/>
        </w:rPr>
      </w:pPr>
    </w:p>
    <w:p w14:paraId="76803BD9" w14:textId="77777777" w:rsidR="00CB1FE5" w:rsidRDefault="00CB1FE5" w:rsidP="00CB1FE5">
      <w:pPr>
        <w:rPr>
          <w:lang w:val="hy-AM"/>
        </w:rPr>
      </w:pPr>
    </w:p>
    <w:p w14:paraId="3084ECC4" w14:textId="77777777" w:rsidR="00CB1FE5" w:rsidRDefault="00CB1FE5" w:rsidP="00CB1FE5">
      <w:pPr>
        <w:rPr>
          <w:lang w:val="hy-AM"/>
        </w:rPr>
      </w:pPr>
    </w:p>
    <w:p w14:paraId="767BFBA2" w14:textId="77777777" w:rsidR="00566B64" w:rsidRDefault="00566B64" w:rsidP="00CB1FE5">
      <w:pPr>
        <w:rPr>
          <w:lang w:val="hy-AM"/>
        </w:rPr>
      </w:pPr>
    </w:p>
    <w:p w14:paraId="0D716D4A" w14:textId="77777777" w:rsidR="00CB1FE5" w:rsidRDefault="00CB1FE5" w:rsidP="00CB1FE5">
      <w:pPr>
        <w:rPr>
          <w:lang w:val="hy-AM"/>
        </w:rPr>
      </w:pPr>
    </w:p>
    <w:p w14:paraId="537A780A" w14:textId="77777777" w:rsidR="00CB1FE5" w:rsidRDefault="00CB1FE5" w:rsidP="00CB1FE5">
      <w:pPr>
        <w:rPr>
          <w:lang w:val="hy-AM"/>
        </w:rPr>
      </w:pPr>
    </w:p>
    <w:p w14:paraId="1C5BEE67" w14:textId="77777777" w:rsidR="00CB1FE5" w:rsidRPr="00CB1FE5" w:rsidRDefault="00CB1FE5" w:rsidP="00CB1FE5">
      <w:pPr>
        <w:rPr>
          <w:lang w:val="hy-AM"/>
        </w:rPr>
      </w:pPr>
    </w:p>
    <w:p w14:paraId="0DD5A5EF" w14:textId="77777777" w:rsidR="00BF45C7" w:rsidRDefault="00BF45C7">
      <w:pPr>
        <w:pStyle w:val="Heading1"/>
        <w:rPr>
          <w:sz w:val="24"/>
          <w:lang w:val="hy-AM"/>
        </w:rPr>
      </w:pPr>
    </w:p>
    <w:p w14:paraId="5C92AC86" w14:textId="77777777" w:rsidR="008A4F28" w:rsidRDefault="008A4F28" w:rsidP="00E328D1">
      <w:pPr>
        <w:pStyle w:val="Heading1"/>
        <w:rPr>
          <w:lang w:val="hy-AM"/>
        </w:rPr>
      </w:pPr>
      <w:bookmarkStart w:id="6" w:name="_Toc45797377"/>
      <w:bookmarkStart w:id="7" w:name="_Toc45797964"/>
      <w:bookmarkStart w:id="8" w:name="_Toc45798033"/>
      <w:bookmarkStart w:id="9" w:name="_Toc45798103"/>
      <w:bookmarkStart w:id="10" w:name="_Toc45889209"/>
      <w:bookmarkStart w:id="11" w:name="_Toc45889844"/>
      <w:bookmarkStart w:id="12" w:name="_Toc45889924"/>
      <w:bookmarkStart w:id="13" w:name="_Toc45890044"/>
      <w:bookmarkStart w:id="14" w:name="_Toc45890143"/>
      <w:bookmarkStart w:id="15" w:name="_Toc45890244"/>
      <w:bookmarkStart w:id="16" w:name="_Toc45890320"/>
      <w:bookmarkStart w:id="17" w:name="_Toc45890397"/>
      <w:bookmarkStart w:id="18" w:name="_Toc45890474"/>
      <w:bookmarkStart w:id="19" w:name="_Toc45890940"/>
      <w:bookmarkStart w:id="20" w:name="_Toc45891015"/>
      <w:bookmarkStart w:id="21" w:name="_Toc45891370"/>
      <w:bookmarkStart w:id="22" w:name="_Toc45891691"/>
      <w:bookmarkStart w:id="23" w:name="_Toc45891878"/>
      <w:bookmarkStart w:id="24" w:name="_Toc45892166"/>
      <w:bookmarkStart w:id="25" w:name="_Toc45892252"/>
      <w:bookmarkStart w:id="26" w:name="_Toc45892418"/>
      <w:bookmarkStart w:id="27" w:name="_Toc45893641"/>
      <w:bookmarkStart w:id="28" w:name="_Toc45893962"/>
      <w:bookmarkStart w:id="29" w:name="_Toc45894398"/>
      <w:bookmarkStart w:id="30" w:name="_Toc45894519"/>
      <w:bookmarkStart w:id="31" w:name="_Toc45894909"/>
      <w:bookmarkStart w:id="32" w:name="_Toc45797382"/>
      <w:bookmarkStart w:id="33" w:name="_Toc45797969"/>
      <w:bookmarkStart w:id="34" w:name="_Toc45798038"/>
      <w:bookmarkStart w:id="35" w:name="_Toc45798108"/>
      <w:bookmarkStart w:id="36" w:name="_Toc45889214"/>
      <w:bookmarkStart w:id="37" w:name="_Toc45889849"/>
      <w:bookmarkStart w:id="38" w:name="_Toc45889929"/>
      <w:bookmarkStart w:id="39" w:name="_Toc45890049"/>
      <w:bookmarkStart w:id="40" w:name="_Toc45890148"/>
      <w:bookmarkStart w:id="41" w:name="_Toc45890249"/>
      <w:bookmarkStart w:id="42" w:name="_Toc45890325"/>
      <w:bookmarkStart w:id="43" w:name="_Toc45890402"/>
      <w:bookmarkStart w:id="44" w:name="_Toc45890479"/>
      <w:bookmarkStart w:id="45" w:name="_Toc45890945"/>
      <w:bookmarkStart w:id="46" w:name="_Toc45891020"/>
      <w:bookmarkStart w:id="47" w:name="_Toc45891375"/>
      <w:bookmarkStart w:id="48" w:name="_Toc45891696"/>
      <w:bookmarkStart w:id="49" w:name="_Toc45891883"/>
      <w:bookmarkStart w:id="50" w:name="_Toc45892171"/>
      <w:bookmarkStart w:id="51" w:name="_Toc45892257"/>
      <w:bookmarkStart w:id="52" w:name="_Toc45892423"/>
      <w:bookmarkStart w:id="53" w:name="_Toc45893646"/>
      <w:bookmarkStart w:id="54" w:name="_Toc45893967"/>
      <w:bookmarkStart w:id="55" w:name="_Toc45894403"/>
      <w:bookmarkStart w:id="56" w:name="_Toc45894524"/>
      <w:bookmarkStart w:id="57" w:name="_Toc45894914"/>
      <w:bookmarkStart w:id="58" w:name="_Toc45797383"/>
      <w:bookmarkStart w:id="59" w:name="_Toc45797970"/>
      <w:bookmarkStart w:id="60" w:name="_Toc45798039"/>
      <w:bookmarkStart w:id="61" w:name="_Toc45798109"/>
      <w:bookmarkStart w:id="62" w:name="_Toc45889215"/>
      <w:bookmarkStart w:id="63" w:name="_Toc45889850"/>
      <w:bookmarkStart w:id="64" w:name="_Toc45889930"/>
      <w:bookmarkStart w:id="65" w:name="_Toc45890050"/>
      <w:bookmarkStart w:id="66" w:name="_Toc45890149"/>
      <w:bookmarkStart w:id="67" w:name="_Toc45890250"/>
      <w:bookmarkStart w:id="68" w:name="_Toc45890326"/>
      <w:bookmarkStart w:id="69" w:name="_Toc45890403"/>
      <w:bookmarkStart w:id="70" w:name="_Toc45890480"/>
      <w:bookmarkStart w:id="71" w:name="_Toc45890946"/>
      <w:bookmarkStart w:id="72" w:name="_Toc45891021"/>
      <w:bookmarkStart w:id="73" w:name="_Toc45891376"/>
      <w:bookmarkStart w:id="74" w:name="_Toc45891697"/>
      <w:bookmarkStart w:id="75" w:name="_Toc45891884"/>
      <w:bookmarkStart w:id="76" w:name="_Toc45892172"/>
      <w:bookmarkStart w:id="77" w:name="_Toc45892258"/>
      <w:bookmarkStart w:id="78" w:name="_Toc45892424"/>
      <w:bookmarkStart w:id="79" w:name="_Toc45893647"/>
      <w:bookmarkStart w:id="80" w:name="_Toc45893968"/>
      <w:bookmarkStart w:id="81" w:name="_Toc45894404"/>
      <w:bookmarkStart w:id="82" w:name="_Toc45894525"/>
      <w:bookmarkStart w:id="83" w:name="_Toc45894915"/>
      <w:bookmarkStart w:id="84" w:name="_Toc45797384"/>
      <w:bookmarkStart w:id="85" w:name="_Toc45797971"/>
      <w:bookmarkStart w:id="86" w:name="_Toc45798040"/>
      <w:bookmarkStart w:id="87" w:name="_Toc45798110"/>
      <w:bookmarkStart w:id="88" w:name="_Toc45889216"/>
      <w:bookmarkStart w:id="89" w:name="_Toc45889851"/>
      <w:bookmarkStart w:id="90" w:name="_Toc45889931"/>
      <w:bookmarkStart w:id="91" w:name="_Toc45890051"/>
      <w:bookmarkStart w:id="92" w:name="_Toc45890150"/>
      <w:bookmarkStart w:id="93" w:name="_Toc45890251"/>
      <w:bookmarkStart w:id="94" w:name="_Toc45890327"/>
      <w:bookmarkStart w:id="95" w:name="_Toc45890404"/>
      <w:bookmarkStart w:id="96" w:name="_Toc45890481"/>
      <w:bookmarkStart w:id="97" w:name="_Toc45890947"/>
      <w:bookmarkStart w:id="98" w:name="_Toc45891022"/>
      <w:bookmarkStart w:id="99" w:name="_Toc45891377"/>
      <w:bookmarkStart w:id="100" w:name="_Toc45891698"/>
      <w:bookmarkStart w:id="101" w:name="_Toc45891885"/>
      <w:bookmarkStart w:id="102" w:name="_Toc45892173"/>
      <w:bookmarkStart w:id="103" w:name="_Toc45892259"/>
      <w:bookmarkStart w:id="104" w:name="_Toc45892425"/>
      <w:bookmarkStart w:id="105" w:name="_Toc45893648"/>
      <w:bookmarkStart w:id="106" w:name="_Toc45893969"/>
      <w:bookmarkStart w:id="107" w:name="_Toc45894405"/>
      <w:bookmarkStart w:id="108" w:name="_Toc45894526"/>
      <w:bookmarkStart w:id="109" w:name="_Toc45894916"/>
      <w:bookmarkStart w:id="110" w:name="_Toc45838512"/>
      <w:bookmarkStart w:id="111" w:name="_Toc46154342"/>
      <w:bookmarkStart w:id="112" w:name="_Toc4526922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01F1857F" w14:textId="77777777" w:rsidR="008A4F28" w:rsidRDefault="008A4F28" w:rsidP="00E328D1">
      <w:pPr>
        <w:pStyle w:val="Heading1"/>
        <w:rPr>
          <w:lang w:val="hy-AM"/>
        </w:rPr>
      </w:pPr>
    </w:p>
    <w:p w14:paraId="299B136F" w14:textId="77777777" w:rsidR="008A4F28" w:rsidRDefault="008A4F28" w:rsidP="00E328D1">
      <w:pPr>
        <w:pStyle w:val="Heading1"/>
        <w:rPr>
          <w:lang w:val="hy-AM"/>
        </w:rPr>
      </w:pPr>
    </w:p>
    <w:p w14:paraId="3D4548F1" w14:textId="77777777" w:rsidR="002244AB" w:rsidRDefault="002244AB" w:rsidP="002244AB">
      <w:pPr>
        <w:rPr>
          <w:lang w:val="hy-AM"/>
        </w:rPr>
      </w:pPr>
    </w:p>
    <w:p w14:paraId="260C1833" w14:textId="77777777" w:rsidR="002244AB" w:rsidRDefault="002244AB" w:rsidP="002244AB">
      <w:pPr>
        <w:rPr>
          <w:lang w:val="hy-AM"/>
        </w:rPr>
      </w:pPr>
    </w:p>
    <w:p w14:paraId="39091D6A" w14:textId="77777777" w:rsidR="002244AB" w:rsidRDefault="002244AB" w:rsidP="002244AB">
      <w:pPr>
        <w:rPr>
          <w:lang w:val="hy-AM"/>
        </w:rPr>
      </w:pPr>
    </w:p>
    <w:p w14:paraId="2DBA50E3" w14:textId="77777777" w:rsidR="002244AB" w:rsidRDefault="002244AB" w:rsidP="002244AB">
      <w:pPr>
        <w:rPr>
          <w:lang w:val="hy-AM"/>
        </w:rPr>
      </w:pPr>
    </w:p>
    <w:p w14:paraId="5FBDE516" w14:textId="77777777" w:rsidR="002244AB" w:rsidRDefault="002244AB" w:rsidP="002244AB">
      <w:pPr>
        <w:rPr>
          <w:lang w:val="hy-AM"/>
        </w:rPr>
      </w:pPr>
    </w:p>
    <w:p w14:paraId="130A67EB" w14:textId="77777777" w:rsidR="002244AB" w:rsidRDefault="002244AB" w:rsidP="002244AB">
      <w:pPr>
        <w:rPr>
          <w:lang w:val="hy-AM"/>
        </w:rPr>
      </w:pPr>
    </w:p>
    <w:p w14:paraId="11415D91" w14:textId="77777777" w:rsidR="002244AB" w:rsidRDefault="002244AB" w:rsidP="002244AB">
      <w:pPr>
        <w:rPr>
          <w:lang w:val="hy-AM"/>
        </w:rPr>
      </w:pPr>
    </w:p>
    <w:p w14:paraId="13AF4A30" w14:textId="77777777" w:rsidR="002244AB" w:rsidRDefault="002244AB" w:rsidP="002244AB">
      <w:pPr>
        <w:rPr>
          <w:lang w:val="hy-AM"/>
        </w:rPr>
      </w:pPr>
    </w:p>
    <w:p w14:paraId="46BDC3FE" w14:textId="367CAC9A" w:rsidR="002244AB" w:rsidRDefault="002244AB" w:rsidP="002244AB">
      <w:pPr>
        <w:rPr>
          <w:lang w:val="hy-AM"/>
        </w:rPr>
      </w:pPr>
    </w:p>
    <w:p w14:paraId="67F66CC8" w14:textId="11690F04" w:rsidR="00334E5F" w:rsidRDefault="00334E5F" w:rsidP="002244AB">
      <w:pPr>
        <w:rPr>
          <w:lang w:val="hy-AM"/>
        </w:rPr>
      </w:pPr>
    </w:p>
    <w:p w14:paraId="0671D8F5" w14:textId="106799E1" w:rsidR="00334E5F" w:rsidRDefault="00334E5F" w:rsidP="002244AB">
      <w:pPr>
        <w:rPr>
          <w:lang w:val="hy-AM"/>
        </w:rPr>
      </w:pPr>
    </w:p>
    <w:p w14:paraId="7186FF03" w14:textId="65D947C1" w:rsidR="00334E5F" w:rsidRDefault="00334E5F" w:rsidP="002244AB">
      <w:pPr>
        <w:rPr>
          <w:lang w:val="hy-AM"/>
        </w:rPr>
      </w:pPr>
    </w:p>
    <w:p w14:paraId="5BA297C6" w14:textId="77777777" w:rsidR="00334E5F" w:rsidRPr="002244AB" w:rsidRDefault="00334E5F" w:rsidP="002244AB">
      <w:pPr>
        <w:rPr>
          <w:lang w:val="hy-AM"/>
        </w:rPr>
      </w:pPr>
    </w:p>
    <w:p w14:paraId="7914B5B8" w14:textId="77777777" w:rsidR="008A4F28" w:rsidRPr="008A4F28" w:rsidRDefault="008A4F28" w:rsidP="008A4F28">
      <w:pPr>
        <w:ind w:firstLine="0"/>
        <w:rPr>
          <w:lang w:val="hy-AM"/>
        </w:rPr>
      </w:pPr>
    </w:p>
    <w:p w14:paraId="2A8C5ADE" w14:textId="77777777" w:rsidR="00E328D1" w:rsidRPr="00261229" w:rsidRDefault="00E328D1" w:rsidP="00E328D1">
      <w:pPr>
        <w:pStyle w:val="Heading1"/>
        <w:rPr>
          <w:lang w:val="hy-AM"/>
        </w:rPr>
      </w:pPr>
      <w:bookmarkStart w:id="113" w:name="_Toc78536684"/>
      <w:r w:rsidRPr="00261229">
        <w:rPr>
          <w:lang w:val="hy-AM"/>
        </w:rPr>
        <w:t>ՄԱՍ I. ՀԱՐԿԱԲՅՈՒՋԵՏԱՅԻՆ ՔԱՂԱՔԱԿԱՆՈՒԹՅՈՒՆԸ</w:t>
      </w:r>
      <w:bookmarkEnd w:id="113"/>
    </w:p>
    <w:p w14:paraId="6586B669" w14:textId="77777777" w:rsidR="00E328D1" w:rsidRPr="008A4F28" w:rsidRDefault="008A4F28" w:rsidP="008A4F28">
      <w:pPr>
        <w:spacing w:before="0" w:after="0" w:line="240" w:lineRule="auto"/>
        <w:ind w:firstLine="0"/>
        <w:jc w:val="left"/>
        <w:rPr>
          <w:rFonts w:eastAsiaTheme="majorEastAsia" w:cstheme="majorBidi"/>
          <w:b/>
          <w:bCs/>
          <w:caps/>
          <w:color w:val="1F497D" w:themeColor="text2"/>
          <w:sz w:val="28"/>
          <w:szCs w:val="28"/>
          <w:lang w:val="es-ES"/>
        </w:rPr>
      </w:pPr>
      <w:r w:rsidRPr="00E8706A">
        <w:rPr>
          <w:sz w:val="28"/>
          <w:szCs w:val="28"/>
          <w:lang w:val="hy-AM"/>
        </w:rPr>
        <w:br w:type="page"/>
      </w:r>
    </w:p>
    <w:p w14:paraId="7C10CA16" w14:textId="77777777" w:rsidR="00560E10" w:rsidRDefault="00E6325E" w:rsidP="00E6325E">
      <w:pPr>
        <w:pStyle w:val="Heading2"/>
        <w:rPr>
          <w:sz w:val="28"/>
          <w:szCs w:val="28"/>
        </w:rPr>
      </w:pPr>
      <w:bookmarkStart w:id="114" w:name="_Toc78536685"/>
      <w:r>
        <w:rPr>
          <w:sz w:val="28"/>
          <w:szCs w:val="28"/>
        </w:rPr>
        <w:t xml:space="preserve">ԳԼՈՒԽ 1. </w:t>
      </w:r>
      <w:r w:rsidR="00560E10" w:rsidRPr="00003F59">
        <w:rPr>
          <w:sz w:val="28"/>
          <w:szCs w:val="28"/>
        </w:rPr>
        <w:t>ՄԱԿՐՈՏՆՏԵՍԱԿԱՆ ԿԱՆԽԱՏԵՍՈՒՄՆԵՐ</w:t>
      </w:r>
      <w:bookmarkEnd w:id="110"/>
      <w:bookmarkEnd w:id="111"/>
      <w:bookmarkEnd w:id="114"/>
    </w:p>
    <w:p w14:paraId="2B259612" w14:textId="77777777" w:rsidR="00323005" w:rsidRPr="00323005" w:rsidRDefault="00323005" w:rsidP="00323005">
      <w:pPr>
        <w:ind w:firstLine="0"/>
        <w:rPr>
          <w:rFonts w:eastAsia="Calibri"/>
          <w:lang w:val="es-ES"/>
        </w:rPr>
      </w:pPr>
      <w:bookmarkStart w:id="115" w:name="_Toc45831946"/>
      <w:bookmarkStart w:id="116" w:name="_Toc45832161"/>
      <w:bookmarkStart w:id="117" w:name="_Toc45832430"/>
      <w:bookmarkStart w:id="118" w:name="_Toc45834083"/>
      <w:bookmarkStart w:id="119" w:name="_Toc45835153"/>
      <w:bookmarkStart w:id="120" w:name="_Toc45835334"/>
      <w:bookmarkStart w:id="121" w:name="_Toc45835618"/>
      <w:bookmarkStart w:id="122" w:name="_Toc45831947"/>
      <w:bookmarkStart w:id="123" w:name="_Toc45832162"/>
      <w:bookmarkStart w:id="124" w:name="_Toc45832431"/>
      <w:bookmarkStart w:id="125" w:name="_Toc45834084"/>
      <w:bookmarkStart w:id="126" w:name="_Toc45835154"/>
      <w:bookmarkStart w:id="127" w:name="_Toc45835335"/>
      <w:bookmarkStart w:id="128" w:name="_Toc45835619"/>
      <w:bookmarkStart w:id="129" w:name="_Toc45831948"/>
      <w:bookmarkStart w:id="130" w:name="_Toc45832163"/>
      <w:bookmarkStart w:id="131" w:name="_Toc45832432"/>
      <w:bookmarkStart w:id="132" w:name="_Toc45834085"/>
      <w:bookmarkStart w:id="133" w:name="_Toc45835155"/>
      <w:bookmarkStart w:id="134" w:name="_Toc45835336"/>
      <w:bookmarkStart w:id="135" w:name="_Toc45835620"/>
      <w:bookmarkStart w:id="136" w:name="_Toc45831949"/>
      <w:bookmarkStart w:id="137" w:name="_Toc45832164"/>
      <w:bookmarkStart w:id="138" w:name="_Toc45832433"/>
      <w:bookmarkStart w:id="139" w:name="_Toc45834086"/>
      <w:bookmarkStart w:id="140" w:name="_Toc45835156"/>
      <w:bookmarkStart w:id="141" w:name="_Toc45835337"/>
      <w:bookmarkStart w:id="142" w:name="_Toc45835621"/>
      <w:bookmarkStart w:id="143" w:name="_Toc45831950"/>
      <w:bookmarkStart w:id="144" w:name="_Toc45832165"/>
      <w:bookmarkStart w:id="145" w:name="_Toc45832434"/>
      <w:bookmarkStart w:id="146" w:name="_Toc45834087"/>
      <w:bookmarkStart w:id="147" w:name="_Toc45835157"/>
      <w:bookmarkStart w:id="148" w:name="_Toc45835338"/>
      <w:bookmarkStart w:id="149" w:name="_Toc45835622"/>
      <w:bookmarkStart w:id="150" w:name="_Toc45831951"/>
      <w:bookmarkStart w:id="151" w:name="_Toc45832166"/>
      <w:bookmarkStart w:id="152" w:name="_Toc45832435"/>
      <w:bookmarkStart w:id="153" w:name="_Toc45834088"/>
      <w:bookmarkStart w:id="154" w:name="_Toc45835158"/>
      <w:bookmarkStart w:id="155" w:name="_Toc45835339"/>
      <w:bookmarkStart w:id="156" w:name="_Toc45835623"/>
      <w:bookmarkStart w:id="157" w:name="_Toc45831952"/>
      <w:bookmarkStart w:id="158" w:name="_Toc45832167"/>
      <w:bookmarkStart w:id="159" w:name="_Toc45832436"/>
      <w:bookmarkStart w:id="160" w:name="_Toc45834089"/>
      <w:bookmarkStart w:id="161" w:name="_Toc45835159"/>
      <w:bookmarkStart w:id="162" w:name="_Toc45835340"/>
      <w:bookmarkStart w:id="163" w:name="_Toc45835624"/>
      <w:bookmarkStart w:id="164" w:name="_Toc45810524"/>
      <w:bookmarkStart w:id="165" w:name="_Toc45838514"/>
      <w:bookmarkStart w:id="166" w:name="_Toc46154343"/>
      <w:bookmarkStart w:id="167" w:name="_Toc45269218"/>
      <w:bookmarkStart w:id="168" w:name="_GoBack"/>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2F0B59">
        <w:rPr>
          <w:rFonts w:eastAsia="Calibri"/>
        </w:rPr>
        <w:t>Մակրոտնտեսական</w:t>
      </w:r>
      <w:r w:rsidRPr="00323005">
        <w:rPr>
          <w:rFonts w:eastAsia="Calibri"/>
          <w:lang w:val="es-ES"/>
        </w:rPr>
        <w:t xml:space="preserve"> </w:t>
      </w:r>
      <w:r w:rsidRPr="002F0B59">
        <w:rPr>
          <w:rFonts w:eastAsia="Calibri"/>
        </w:rPr>
        <w:t>կանխատեսումներն</w:t>
      </w:r>
      <w:r w:rsidRPr="00323005">
        <w:rPr>
          <w:rFonts w:eastAsia="Calibri"/>
          <w:lang w:val="es-ES"/>
        </w:rPr>
        <w:t xml:space="preserve"> </w:t>
      </w:r>
      <w:r w:rsidRPr="002F0B59">
        <w:rPr>
          <w:rFonts w:eastAsia="Calibri"/>
        </w:rPr>
        <w:t>իրականացրել</w:t>
      </w:r>
      <w:r w:rsidRPr="00323005">
        <w:rPr>
          <w:rFonts w:eastAsia="Calibri"/>
          <w:lang w:val="es-ES"/>
        </w:rPr>
        <w:t xml:space="preserve"> </w:t>
      </w:r>
      <w:r w:rsidRPr="002F0B59">
        <w:rPr>
          <w:rFonts w:eastAsia="Calibri"/>
        </w:rPr>
        <w:t>է</w:t>
      </w:r>
      <w:r w:rsidRPr="00323005">
        <w:rPr>
          <w:rFonts w:eastAsia="Calibri"/>
          <w:lang w:val="es-ES"/>
        </w:rPr>
        <w:t xml:space="preserve"> </w:t>
      </w:r>
      <w:r w:rsidRPr="002F0B59">
        <w:rPr>
          <w:rFonts w:eastAsia="Calibri"/>
        </w:rPr>
        <w:t>ՀՀ</w:t>
      </w:r>
      <w:r w:rsidRPr="00323005">
        <w:rPr>
          <w:rFonts w:eastAsia="Calibri"/>
          <w:lang w:val="es-ES"/>
        </w:rPr>
        <w:t xml:space="preserve"> </w:t>
      </w:r>
      <w:r w:rsidRPr="002F0B59">
        <w:rPr>
          <w:rFonts w:eastAsia="Calibri"/>
        </w:rPr>
        <w:t>ֆինանսների</w:t>
      </w:r>
      <w:r w:rsidRPr="00323005">
        <w:rPr>
          <w:rFonts w:eastAsia="Calibri"/>
          <w:lang w:val="es-ES"/>
        </w:rPr>
        <w:t xml:space="preserve"> </w:t>
      </w:r>
      <w:r w:rsidRPr="002F0B59">
        <w:rPr>
          <w:rFonts w:eastAsia="Calibri"/>
        </w:rPr>
        <w:t>նախարարությունը</w:t>
      </w:r>
      <w:r w:rsidRPr="00323005">
        <w:rPr>
          <w:rFonts w:eastAsia="Calibri"/>
          <w:lang w:val="es-ES"/>
        </w:rPr>
        <w:t xml:space="preserve"> (</w:t>
      </w:r>
      <w:r w:rsidRPr="002F0B59">
        <w:rPr>
          <w:rFonts w:eastAsia="Calibri"/>
        </w:rPr>
        <w:t>այսուհետև՝</w:t>
      </w:r>
      <w:r w:rsidRPr="00323005">
        <w:rPr>
          <w:rFonts w:eastAsia="Calibri"/>
          <w:lang w:val="es-ES"/>
        </w:rPr>
        <w:t xml:space="preserve"> </w:t>
      </w:r>
      <w:r w:rsidRPr="002F0B59">
        <w:rPr>
          <w:rFonts w:eastAsia="Calibri"/>
        </w:rPr>
        <w:t>ՀՀ</w:t>
      </w:r>
      <w:r w:rsidRPr="00323005">
        <w:rPr>
          <w:rFonts w:eastAsia="Calibri"/>
          <w:lang w:val="es-ES"/>
        </w:rPr>
        <w:t xml:space="preserve"> </w:t>
      </w:r>
      <w:r w:rsidRPr="002F0B59">
        <w:rPr>
          <w:rFonts w:eastAsia="Calibri"/>
        </w:rPr>
        <w:t>ՖՆ</w:t>
      </w:r>
      <w:r w:rsidRPr="00323005">
        <w:rPr>
          <w:rFonts w:eastAsia="Calibri"/>
          <w:lang w:val="es-ES"/>
        </w:rPr>
        <w:t>)</w:t>
      </w:r>
      <w:r w:rsidRPr="002F0B59">
        <w:rPr>
          <w:rFonts w:eastAsia="Calibri"/>
        </w:rPr>
        <w:t>՝</w:t>
      </w:r>
      <w:r w:rsidRPr="00323005">
        <w:rPr>
          <w:rFonts w:eastAsia="Calibri"/>
          <w:lang w:val="es-ES"/>
        </w:rPr>
        <w:t xml:space="preserve"> </w:t>
      </w:r>
      <w:r w:rsidRPr="002F0B59">
        <w:rPr>
          <w:rFonts w:eastAsia="Calibri"/>
        </w:rPr>
        <w:t>կիրառելով</w:t>
      </w:r>
      <w:r w:rsidRPr="00323005">
        <w:rPr>
          <w:rFonts w:eastAsia="Calibri"/>
          <w:lang w:val="es-ES"/>
        </w:rPr>
        <w:t xml:space="preserve"> </w:t>
      </w:r>
      <w:r w:rsidRPr="002F0B59">
        <w:rPr>
          <w:rFonts w:eastAsia="Calibri"/>
        </w:rPr>
        <w:t>տնտեսաչափական</w:t>
      </w:r>
      <w:r w:rsidRPr="00323005">
        <w:rPr>
          <w:rFonts w:eastAsia="Calibri"/>
          <w:lang w:val="es-ES"/>
        </w:rPr>
        <w:t xml:space="preserve"> </w:t>
      </w:r>
      <w:r w:rsidRPr="002F0B59">
        <w:rPr>
          <w:rFonts w:eastAsia="Calibri"/>
        </w:rPr>
        <w:t>մոդելներ</w:t>
      </w:r>
      <w:r w:rsidRPr="00323005">
        <w:rPr>
          <w:rFonts w:eastAsia="Calibri"/>
          <w:lang w:val="es-ES"/>
        </w:rPr>
        <w:t xml:space="preserve">, </w:t>
      </w:r>
      <w:r w:rsidRPr="002F0B59">
        <w:rPr>
          <w:rFonts w:eastAsia="Calibri"/>
        </w:rPr>
        <w:t>ինչպես</w:t>
      </w:r>
      <w:r w:rsidRPr="00323005">
        <w:rPr>
          <w:rFonts w:eastAsia="Calibri"/>
          <w:lang w:val="es-ES"/>
        </w:rPr>
        <w:t xml:space="preserve"> </w:t>
      </w:r>
      <w:r w:rsidRPr="002F0B59">
        <w:rPr>
          <w:rFonts w:eastAsia="Calibri"/>
        </w:rPr>
        <w:t>նաև</w:t>
      </w:r>
      <w:r w:rsidRPr="00323005">
        <w:rPr>
          <w:rFonts w:eastAsia="Calibri"/>
          <w:lang w:val="es-ES"/>
        </w:rPr>
        <w:t xml:space="preserve"> </w:t>
      </w:r>
      <w:r w:rsidRPr="002F0B59">
        <w:rPr>
          <w:rFonts w:eastAsia="Calibri"/>
        </w:rPr>
        <w:t>առանձին</w:t>
      </w:r>
      <w:r w:rsidRPr="00323005">
        <w:rPr>
          <w:rFonts w:eastAsia="Calibri"/>
          <w:lang w:val="es-ES"/>
        </w:rPr>
        <w:t xml:space="preserve"> </w:t>
      </w:r>
      <w:r w:rsidRPr="002F0B59">
        <w:rPr>
          <w:rFonts w:eastAsia="Calibri"/>
        </w:rPr>
        <w:t>շոկերի</w:t>
      </w:r>
      <w:r w:rsidRPr="00323005">
        <w:rPr>
          <w:rFonts w:eastAsia="Calibri"/>
          <w:lang w:val="es-ES"/>
        </w:rPr>
        <w:t xml:space="preserve"> </w:t>
      </w:r>
      <w:r w:rsidRPr="002F0B59">
        <w:rPr>
          <w:rFonts w:eastAsia="Calibri"/>
        </w:rPr>
        <w:t>և</w:t>
      </w:r>
      <w:r w:rsidRPr="00323005">
        <w:rPr>
          <w:rFonts w:eastAsia="Calibri"/>
          <w:lang w:val="es-ES"/>
        </w:rPr>
        <w:t xml:space="preserve"> </w:t>
      </w:r>
      <w:r w:rsidRPr="002F0B59">
        <w:rPr>
          <w:rFonts w:eastAsia="Calibri"/>
        </w:rPr>
        <w:t>հարկաբյուջետային</w:t>
      </w:r>
      <w:r w:rsidRPr="00323005">
        <w:rPr>
          <w:rFonts w:eastAsia="Calibri"/>
          <w:lang w:val="es-ES"/>
        </w:rPr>
        <w:t xml:space="preserve"> </w:t>
      </w:r>
      <w:r w:rsidRPr="002F0B59">
        <w:rPr>
          <w:rFonts w:eastAsia="Calibri"/>
        </w:rPr>
        <w:t>միջոցառումների</w:t>
      </w:r>
      <w:r w:rsidRPr="00323005">
        <w:rPr>
          <w:rFonts w:eastAsia="Calibri"/>
          <w:lang w:val="es-ES"/>
        </w:rPr>
        <w:t xml:space="preserve"> </w:t>
      </w:r>
      <w:r w:rsidRPr="002F0B59">
        <w:rPr>
          <w:rFonts w:eastAsia="Calibri"/>
        </w:rPr>
        <w:t>ազդեցությունների</w:t>
      </w:r>
      <w:r w:rsidRPr="00323005">
        <w:rPr>
          <w:rFonts w:eastAsia="Calibri"/>
          <w:lang w:val="es-ES"/>
        </w:rPr>
        <w:t xml:space="preserve"> </w:t>
      </w:r>
      <w:r w:rsidRPr="002F0B59">
        <w:rPr>
          <w:rFonts w:eastAsia="Calibri"/>
        </w:rPr>
        <w:t>գնահատման</w:t>
      </w:r>
      <w:r w:rsidRPr="00323005">
        <w:rPr>
          <w:rFonts w:eastAsia="Calibri"/>
          <w:lang w:val="es-ES"/>
        </w:rPr>
        <w:t xml:space="preserve"> </w:t>
      </w:r>
      <w:r w:rsidRPr="002F0B59">
        <w:rPr>
          <w:rFonts w:eastAsia="Calibri"/>
        </w:rPr>
        <w:t>համար՝</w:t>
      </w:r>
      <w:r w:rsidRPr="00323005">
        <w:rPr>
          <w:rFonts w:eastAsia="Calibri"/>
          <w:lang w:val="es-ES"/>
        </w:rPr>
        <w:t xml:space="preserve"> </w:t>
      </w:r>
      <w:r w:rsidRPr="002F0B59">
        <w:rPr>
          <w:rFonts w:eastAsia="Calibri"/>
        </w:rPr>
        <w:t>ՀՀ</w:t>
      </w:r>
      <w:r w:rsidRPr="00323005">
        <w:rPr>
          <w:rFonts w:eastAsia="Calibri"/>
          <w:lang w:val="es-ES"/>
        </w:rPr>
        <w:t xml:space="preserve"> </w:t>
      </w:r>
      <w:r w:rsidRPr="002F0B59">
        <w:rPr>
          <w:rFonts w:eastAsia="Calibri"/>
        </w:rPr>
        <w:t>ՖՆ</w:t>
      </w:r>
      <w:r w:rsidRPr="00323005">
        <w:rPr>
          <w:rFonts w:eastAsia="Calibri"/>
          <w:lang w:val="es-ES"/>
        </w:rPr>
        <w:t xml:space="preserve"> </w:t>
      </w:r>
      <w:r w:rsidRPr="002F0B59">
        <w:rPr>
          <w:rFonts w:eastAsia="Calibri"/>
        </w:rPr>
        <w:t>հարկաբյուջետային</w:t>
      </w:r>
      <w:r w:rsidRPr="00323005">
        <w:rPr>
          <w:rFonts w:eastAsia="Calibri"/>
          <w:lang w:val="es-ES"/>
        </w:rPr>
        <w:t xml:space="preserve"> </w:t>
      </w:r>
      <w:r w:rsidRPr="002F0B59">
        <w:rPr>
          <w:rFonts w:eastAsia="Calibri"/>
        </w:rPr>
        <w:t>քաղաքականության</w:t>
      </w:r>
      <w:r w:rsidRPr="00323005">
        <w:rPr>
          <w:rFonts w:eastAsia="Calibri"/>
          <w:lang w:val="es-ES"/>
        </w:rPr>
        <w:t xml:space="preserve"> </w:t>
      </w:r>
      <w:r w:rsidRPr="002F0B59">
        <w:rPr>
          <w:rFonts w:eastAsia="Calibri"/>
        </w:rPr>
        <w:t>դինամիկ</w:t>
      </w:r>
      <w:r w:rsidRPr="00323005">
        <w:rPr>
          <w:rFonts w:eastAsia="Calibri"/>
          <w:lang w:val="es-ES"/>
        </w:rPr>
        <w:t xml:space="preserve"> </w:t>
      </w:r>
      <w:r w:rsidRPr="002F0B59">
        <w:rPr>
          <w:rFonts w:eastAsia="Calibri"/>
        </w:rPr>
        <w:t>ստոխաստիկ</w:t>
      </w:r>
      <w:r w:rsidRPr="00323005">
        <w:rPr>
          <w:rFonts w:eastAsia="Calibri"/>
          <w:lang w:val="es-ES"/>
        </w:rPr>
        <w:t xml:space="preserve"> </w:t>
      </w:r>
      <w:r w:rsidRPr="002F0B59">
        <w:rPr>
          <w:rFonts w:eastAsia="Calibri"/>
        </w:rPr>
        <w:t>ընդհանուր</w:t>
      </w:r>
      <w:r w:rsidRPr="00323005">
        <w:rPr>
          <w:rFonts w:eastAsia="Calibri"/>
          <w:lang w:val="es-ES"/>
        </w:rPr>
        <w:t xml:space="preserve"> </w:t>
      </w:r>
      <w:r w:rsidRPr="002F0B59">
        <w:rPr>
          <w:rFonts w:eastAsia="Calibri"/>
        </w:rPr>
        <w:t>հավասարակշռության</w:t>
      </w:r>
      <w:r w:rsidRPr="00323005">
        <w:rPr>
          <w:rFonts w:eastAsia="Calibri"/>
          <w:lang w:val="es-ES"/>
        </w:rPr>
        <w:t xml:space="preserve"> (The Fiscal Strategy Model: A Structural Framework for Fiscal Policy Analysis in Armenia) </w:t>
      </w:r>
      <w:r w:rsidRPr="002F0B59">
        <w:rPr>
          <w:rFonts w:eastAsia="Calibri"/>
        </w:rPr>
        <w:t>մոդելը</w:t>
      </w:r>
      <w:r w:rsidRPr="002F0B59">
        <w:rPr>
          <w:rFonts w:eastAsia="Calibri"/>
          <w:vertAlign w:val="superscript"/>
          <w:lang w:val="es-ES"/>
        </w:rPr>
        <w:footnoteReference w:id="1"/>
      </w:r>
      <w:r w:rsidRPr="002F0B59">
        <w:rPr>
          <w:rFonts w:eastAsia="Calibri"/>
        </w:rPr>
        <w:t>։</w:t>
      </w:r>
      <w:r w:rsidRPr="002F0B59">
        <w:rPr>
          <w:rFonts w:eastAsia="Calibri"/>
          <w:vertAlign w:val="subscript"/>
          <w:lang w:val="es-ES"/>
        </w:rPr>
        <w:t xml:space="preserve"> </w:t>
      </w:r>
      <w:r w:rsidRPr="00323005">
        <w:rPr>
          <w:rFonts w:eastAsia="Calibri"/>
          <w:vertAlign w:val="subscript"/>
          <w:lang w:val="es-ES"/>
        </w:rPr>
        <w:t xml:space="preserve"> </w:t>
      </w:r>
      <w:r w:rsidRPr="002F0B59">
        <w:rPr>
          <w:rFonts w:eastAsia="Calibri"/>
        </w:rPr>
        <w:t>Վերջիններիս</w:t>
      </w:r>
      <w:r w:rsidRPr="00323005">
        <w:rPr>
          <w:rFonts w:eastAsia="Calibri"/>
          <w:lang w:val="es-ES"/>
        </w:rPr>
        <w:t xml:space="preserve"> </w:t>
      </w:r>
      <w:r w:rsidRPr="002F0B59">
        <w:rPr>
          <w:rFonts w:eastAsia="Calibri"/>
        </w:rPr>
        <w:t>համար</w:t>
      </w:r>
      <w:r w:rsidRPr="00323005">
        <w:rPr>
          <w:rFonts w:eastAsia="Calibri"/>
          <w:lang w:val="es-ES"/>
        </w:rPr>
        <w:t xml:space="preserve"> </w:t>
      </w:r>
      <w:r w:rsidRPr="002F0B59">
        <w:rPr>
          <w:rFonts w:eastAsia="Calibri"/>
        </w:rPr>
        <w:t>տեղեկատվական</w:t>
      </w:r>
      <w:r w:rsidRPr="00323005">
        <w:rPr>
          <w:rFonts w:eastAsia="Calibri"/>
          <w:lang w:val="es-ES"/>
        </w:rPr>
        <w:t xml:space="preserve"> </w:t>
      </w:r>
      <w:r w:rsidRPr="002F0B59">
        <w:rPr>
          <w:rFonts w:eastAsia="Calibri"/>
        </w:rPr>
        <w:t>հիմք</w:t>
      </w:r>
      <w:r w:rsidRPr="00323005">
        <w:rPr>
          <w:rFonts w:eastAsia="Calibri"/>
          <w:lang w:val="es-ES"/>
        </w:rPr>
        <w:t xml:space="preserve"> </w:t>
      </w:r>
      <w:r w:rsidRPr="002F0B59">
        <w:rPr>
          <w:rFonts w:eastAsia="Calibri"/>
        </w:rPr>
        <w:t>են</w:t>
      </w:r>
      <w:r w:rsidRPr="00323005">
        <w:rPr>
          <w:rFonts w:eastAsia="Calibri"/>
          <w:lang w:val="es-ES"/>
        </w:rPr>
        <w:t xml:space="preserve"> </w:t>
      </w:r>
      <w:r w:rsidRPr="002F0B59">
        <w:rPr>
          <w:rFonts w:eastAsia="Calibri"/>
        </w:rPr>
        <w:t>հանդիսացել</w:t>
      </w:r>
      <w:r w:rsidRPr="00323005">
        <w:rPr>
          <w:rFonts w:eastAsia="Calibri"/>
          <w:lang w:val="es-ES"/>
        </w:rPr>
        <w:t xml:space="preserve"> </w:t>
      </w:r>
      <w:r w:rsidRPr="002F0B59">
        <w:rPr>
          <w:rFonts w:eastAsia="Calibri"/>
        </w:rPr>
        <w:t>ՀՀ</w:t>
      </w:r>
      <w:r w:rsidRPr="00323005">
        <w:rPr>
          <w:rFonts w:eastAsia="Calibri"/>
          <w:lang w:val="es-ES"/>
        </w:rPr>
        <w:t xml:space="preserve"> </w:t>
      </w:r>
      <w:r w:rsidRPr="002F0B59">
        <w:rPr>
          <w:rFonts w:eastAsia="Calibri"/>
        </w:rPr>
        <w:t>և</w:t>
      </w:r>
      <w:r w:rsidRPr="00323005">
        <w:rPr>
          <w:rFonts w:eastAsia="Calibri"/>
          <w:lang w:val="es-ES"/>
        </w:rPr>
        <w:t xml:space="preserve"> </w:t>
      </w:r>
      <w:r w:rsidRPr="002F0B59">
        <w:rPr>
          <w:rFonts w:eastAsia="Calibri"/>
        </w:rPr>
        <w:t>արտաքին</w:t>
      </w:r>
      <w:r w:rsidRPr="00323005">
        <w:rPr>
          <w:rFonts w:eastAsia="Calibri"/>
          <w:lang w:val="es-ES"/>
        </w:rPr>
        <w:t xml:space="preserve"> </w:t>
      </w:r>
      <w:r w:rsidRPr="002F0B59">
        <w:rPr>
          <w:rFonts w:eastAsia="Calibri"/>
        </w:rPr>
        <w:t>ֆինանսատնտեսական</w:t>
      </w:r>
      <w:r w:rsidRPr="00323005">
        <w:rPr>
          <w:rFonts w:eastAsia="Calibri"/>
          <w:lang w:val="es-ES"/>
        </w:rPr>
        <w:t xml:space="preserve"> </w:t>
      </w:r>
      <w:r w:rsidRPr="002F0B59">
        <w:rPr>
          <w:rFonts w:eastAsia="Calibri"/>
        </w:rPr>
        <w:t>զարգացումները</w:t>
      </w:r>
      <w:r w:rsidRPr="00323005">
        <w:rPr>
          <w:rFonts w:eastAsia="Calibri"/>
          <w:lang w:val="es-ES"/>
        </w:rPr>
        <w:t xml:space="preserve">, </w:t>
      </w:r>
      <w:r w:rsidRPr="002F0B59">
        <w:rPr>
          <w:rFonts w:eastAsia="Calibri"/>
        </w:rPr>
        <w:t>Արցախյան</w:t>
      </w:r>
      <w:r w:rsidRPr="00323005">
        <w:rPr>
          <w:rFonts w:eastAsia="Calibri"/>
          <w:lang w:val="es-ES"/>
        </w:rPr>
        <w:t xml:space="preserve"> </w:t>
      </w:r>
      <w:r w:rsidRPr="002F0B59">
        <w:rPr>
          <w:rFonts w:eastAsia="Calibri"/>
        </w:rPr>
        <w:t>պատերազմի</w:t>
      </w:r>
      <w:r w:rsidRPr="00323005">
        <w:rPr>
          <w:rFonts w:eastAsia="Calibri"/>
          <w:lang w:val="es-ES"/>
        </w:rPr>
        <w:t xml:space="preserve"> </w:t>
      </w:r>
      <w:r w:rsidRPr="002F0B59">
        <w:rPr>
          <w:rFonts w:eastAsia="Calibri"/>
        </w:rPr>
        <w:t>տնտեսական</w:t>
      </w:r>
      <w:r w:rsidRPr="00323005">
        <w:rPr>
          <w:rFonts w:eastAsia="Calibri"/>
          <w:lang w:val="es-ES"/>
        </w:rPr>
        <w:t xml:space="preserve"> </w:t>
      </w:r>
      <w:r w:rsidRPr="002F0B59">
        <w:rPr>
          <w:rFonts w:eastAsia="Calibri"/>
        </w:rPr>
        <w:t>հետևանքների</w:t>
      </w:r>
      <w:r w:rsidRPr="00323005">
        <w:rPr>
          <w:rFonts w:eastAsia="Calibri"/>
          <w:lang w:val="es-ES"/>
        </w:rPr>
        <w:t xml:space="preserve"> </w:t>
      </w:r>
      <w:r w:rsidRPr="002F0B59">
        <w:rPr>
          <w:rFonts w:eastAsia="Calibri"/>
        </w:rPr>
        <w:t>վերաբերյալ</w:t>
      </w:r>
      <w:r w:rsidRPr="00323005">
        <w:rPr>
          <w:rFonts w:eastAsia="Calibri"/>
          <w:lang w:val="es-ES"/>
        </w:rPr>
        <w:t xml:space="preserve"> </w:t>
      </w:r>
      <w:r w:rsidRPr="002F0B59">
        <w:rPr>
          <w:rFonts w:eastAsia="Calibri"/>
        </w:rPr>
        <w:t>ՀՀ</w:t>
      </w:r>
      <w:r w:rsidRPr="00323005">
        <w:rPr>
          <w:rFonts w:eastAsia="Calibri"/>
          <w:lang w:val="es-ES"/>
        </w:rPr>
        <w:t xml:space="preserve"> </w:t>
      </w:r>
      <w:r w:rsidRPr="002F0B59">
        <w:rPr>
          <w:rFonts w:eastAsia="Calibri"/>
        </w:rPr>
        <w:t>ՖՆ</w:t>
      </w:r>
      <w:r w:rsidRPr="00323005">
        <w:rPr>
          <w:rFonts w:eastAsia="Calibri"/>
          <w:lang w:val="es-ES"/>
        </w:rPr>
        <w:t xml:space="preserve"> </w:t>
      </w:r>
      <w:r w:rsidRPr="002F0B59">
        <w:rPr>
          <w:rFonts w:eastAsia="Calibri"/>
        </w:rPr>
        <w:t>գնահատականները</w:t>
      </w:r>
      <w:r w:rsidRPr="00323005">
        <w:rPr>
          <w:rFonts w:eastAsia="Calibri"/>
          <w:lang w:val="es-ES"/>
        </w:rPr>
        <w:t xml:space="preserve">, </w:t>
      </w:r>
      <w:r w:rsidRPr="002F0B59">
        <w:rPr>
          <w:rFonts w:eastAsia="Calibri"/>
        </w:rPr>
        <w:t>ինչպես</w:t>
      </w:r>
      <w:r w:rsidRPr="00323005">
        <w:rPr>
          <w:rFonts w:eastAsia="Calibri"/>
          <w:lang w:val="es-ES"/>
        </w:rPr>
        <w:t xml:space="preserve"> </w:t>
      </w:r>
      <w:r w:rsidRPr="002F0B59">
        <w:rPr>
          <w:rFonts w:eastAsia="Calibri"/>
        </w:rPr>
        <w:t>նաև</w:t>
      </w:r>
      <w:r w:rsidRPr="00323005">
        <w:rPr>
          <w:rFonts w:eastAsia="Calibri"/>
          <w:lang w:val="es-ES"/>
        </w:rPr>
        <w:t xml:space="preserve"> </w:t>
      </w:r>
      <w:r w:rsidRPr="002F0B59">
        <w:rPr>
          <w:rFonts w:eastAsia="Calibri"/>
        </w:rPr>
        <w:t>ՀՀ</w:t>
      </w:r>
      <w:r w:rsidRPr="00323005">
        <w:rPr>
          <w:rFonts w:eastAsia="Calibri"/>
          <w:lang w:val="es-ES"/>
        </w:rPr>
        <w:t xml:space="preserve"> </w:t>
      </w:r>
      <w:r w:rsidRPr="002F0B59">
        <w:rPr>
          <w:rFonts w:eastAsia="Calibri"/>
        </w:rPr>
        <w:t>գործընկեր</w:t>
      </w:r>
      <w:r w:rsidRPr="00323005">
        <w:rPr>
          <w:rFonts w:eastAsia="Calibri"/>
          <w:lang w:val="es-ES"/>
        </w:rPr>
        <w:t xml:space="preserve"> </w:t>
      </w:r>
      <w:r w:rsidRPr="002F0B59">
        <w:rPr>
          <w:rFonts w:eastAsia="Calibri"/>
        </w:rPr>
        <w:t>երկրների</w:t>
      </w:r>
      <w:r w:rsidRPr="00323005">
        <w:rPr>
          <w:rFonts w:eastAsia="Calibri"/>
          <w:lang w:val="es-ES"/>
        </w:rPr>
        <w:t xml:space="preserve"> (</w:t>
      </w:r>
      <w:r w:rsidRPr="002F0B59">
        <w:rPr>
          <w:rFonts w:eastAsia="Calibri"/>
        </w:rPr>
        <w:t>միությունների</w:t>
      </w:r>
      <w:r w:rsidRPr="00323005">
        <w:rPr>
          <w:rFonts w:eastAsia="Calibri"/>
          <w:lang w:val="es-ES"/>
        </w:rPr>
        <w:t xml:space="preserve">) </w:t>
      </w:r>
      <w:r w:rsidRPr="002F0B59">
        <w:rPr>
          <w:rFonts w:eastAsia="Calibri"/>
        </w:rPr>
        <w:t>տնտեսական</w:t>
      </w:r>
      <w:r w:rsidRPr="00323005">
        <w:rPr>
          <w:rFonts w:eastAsia="Calibri"/>
          <w:lang w:val="es-ES"/>
        </w:rPr>
        <w:t xml:space="preserve">  </w:t>
      </w:r>
      <w:r w:rsidRPr="002F0B59">
        <w:rPr>
          <w:rFonts w:eastAsia="Calibri"/>
        </w:rPr>
        <w:t>զարգացումների</w:t>
      </w:r>
      <w:r w:rsidRPr="00323005">
        <w:rPr>
          <w:rFonts w:eastAsia="Calibri"/>
          <w:lang w:val="es-ES"/>
        </w:rPr>
        <w:t xml:space="preserve"> </w:t>
      </w:r>
      <w:r w:rsidRPr="002F0B59">
        <w:rPr>
          <w:rFonts w:eastAsia="Calibri"/>
        </w:rPr>
        <w:t>և</w:t>
      </w:r>
      <w:r w:rsidRPr="00323005">
        <w:rPr>
          <w:rFonts w:eastAsia="Calibri"/>
          <w:lang w:val="es-ES"/>
        </w:rPr>
        <w:t xml:space="preserve"> </w:t>
      </w:r>
      <w:r w:rsidRPr="002F0B59">
        <w:rPr>
          <w:rFonts w:eastAsia="Calibri"/>
        </w:rPr>
        <w:t>հումքային</w:t>
      </w:r>
      <w:r w:rsidRPr="00323005">
        <w:rPr>
          <w:rFonts w:eastAsia="Calibri"/>
          <w:lang w:val="es-ES"/>
        </w:rPr>
        <w:t xml:space="preserve"> </w:t>
      </w:r>
      <w:r w:rsidRPr="002F0B59">
        <w:rPr>
          <w:rFonts w:eastAsia="Calibri"/>
        </w:rPr>
        <w:t>ապրանքների</w:t>
      </w:r>
      <w:r w:rsidRPr="00323005">
        <w:rPr>
          <w:rFonts w:eastAsia="Calibri"/>
          <w:lang w:val="es-ES"/>
        </w:rPr>
        <w:t xml:space="preserve"> </w:t>
      </w:r>
      <w:r w:rsidRPr="002F0B59">
        <w:rPr>
          <w:rFonts w:eastAsia="Calibri"/>
        </w:rPr>
        <w:t>համաշխարհային</w:t>
      </w:r>
      <w:r w:rsidRPr="00323005">
        <w:rPr>
          <w:rFonts w:eastAsia="Calibri"/>
          <w:lang w:val="es-ES"/>
        </w:rPr>
        <w:t xml:space="preserve"> </w:t>
      </w:r>
      <w:r w:rsidRPr="002F0B59">
        <w:rPr>
          <w:rFonts w:eastAsia="Calibri"/>
        </w:rPr>
        <w:t>գների</w:t>
      </w:r>
      <w:r w:rsidRPr="00323005">
        <w:rPr>
          <w:rFonts w:eastAsia="Calibri"/>
          <w:lang w:val="es-ES"/>
        </w:rPr>
        <w:t xml:space="preserve"> </w:t>
      </w:r>
      <w:r w:rsidRPr="002F0B59">
        <w:rPr>
          <w:rFonts w:eastAsia="Calibri"/>
        </w:rPr>
        <w:t>համար</w:t>
      </w:r>
      <w:r w:rsidRPr="00323005">
        <w:rPr>
          <w:rFonts w:eastAsia="Calibri"/>
          <w:lang w:val="es-ES"/>
        </w:rPr>
        <w:t xml:space="preserve"> </w:t>
      </w:r>
      <w:r w:rsidRPr="002F0B59">
        <w:rPr>
          <w:rFonts w:eastAsia="Calibri"/>
        </w:rPr>
        <w:t>միջազգային</w:t>
      </w:r>
      <w:r w:rsidRPr="00323005">
        <w:rPr>
          <w:rFonts w:eastAsia="Calibri"/>
          <w:lang w:val="es-ES"/>
        </w:rPr>
        <w:t xml:space="preserve"> </w:t>
      </w:r>
      <w:r w:rsidRPr="002F0B59">
        <w:rPr>
          <w:rFonts w:eastAsia="Calibri"/>
        </w:rPr>
        <w:t>հեղինակավոր</w:t>
      </w:r>
      <w:r w:rsidRPr="00323005">
        <w:rPr>
          <w:rFonts w:eastAsia="Calibri"/>
          <w:lang w:val="es-ES"/>
        </w:rPr>
        <w:t xml:space="preserve"> </w:t>
      </w:r>
      <w:r w:rsidRPr="002F0B59">
        <w:rPr>
          <w:rFonts w:eastAsia="Calibri"/>
        </w:rPr>
        <w:t>կառույցների</w:t>
      </w:r>
      <w:r w:rsidRPr="00323005">
        <w:rPr>
          <w:rFonts w:eastAsia="Calibri"/>
          <w:lang w:val="es-ES"/>
        </w:rPr>
        <w:t xml:space="preserve"> </w:t>
      </w:r>
      <w:r w:rsidRPr="002F0B59">
        <w:rPr>
          <w:rFonts w:eastAsia="Calibri"/>
        </w:rPr>
        <w:t>կողմից</w:t>
      </w:r>
      <w:r w:rsidRPr="00323005">
        <w:rPr>
          <w:rFonts w:eastAsia="Calibri"/>
          <w:lang w:val="es-ES"/>
        </w:rPr>
        <w:t xml:space="preserve"> </w:t>
      </w:r>
      <w:r w:rsidRPr="002F0B59">
        <w:rPr>
          <w:rFonts w:eastAsia="Calibri"/>
        </w:rPr>
        <w:t>արված</w:t>
      </w:r>
      <w:r w:rsidRPr="00323005">
        <w:rPr>
          <w:rFonts w:eastAsia="Calibri"/>
          <w:lang w:val="es-ES"/>
        </w:rPr>
        <w:t xml:space="preserve"> </w:t>
      </w:r>
      <w:r w:rsidRPr="002F0B59">
        <w:rPr>
          <w:rFonts w:eastAsia="Calibri"/>
        </w:rPr>
        <w:t>կանխատեսումները։</w:t>
      </w:r>
    </w:p>
    <w:bookmarkEnd w:id="168"/>
    <w:p w14:paraId="5BFAEF8D" w14:textId="77777777" w:rsidR="00323005" w:rsidRPr="00323005" w:rsidRDefault="00323005" w:rsidP="00560E10">
      <w:pPr>
        <w:pStyle w:val="Heading3"/>
        <w:rPr>
          <w:bCs/>
          <w:caps w:val="0"/>
          <w:color w:val="1F497D" w:themeColor="text2"/>
          <w:sz w:val="28"/>
          <w:szCs w:val="28"/>
          <w:lang w:val="es-ES"/>
        </w:rPr>
      </w:pPr>
    </w:p>
    <w:p w14:paraId="44C4EB35" w14:textId="77777777" w:rsidR="00323005" w:rsidRDefault="00323005" w:rsidP="00560E10">
      <w:pPr>
        <w:pStyle w:val="Heading3"/>
        <w:rPr>
          <w:bCs/>
          <w:caps w:val="0"/>
          <w:color w:val="1F497D" w:themeColor="text2"/>
          <w:sz w:val="28"/>
          <w:szCs w:val="28"/>
        </w:rPr>
      </w:pPr>
    </w:p>
    <w:p w14:paraId="51803B2D" w14:textId="77777777" w:rsidR="00323005" w:rsidRDefault="00560E10" w:rsidP="00560E10">
      <w:pPr>
        <w:pStyle w:val="Heading3"/>
        <w:rPr>
          <w:rFonts w:cs="Sylfaen"/>
          <w:bCs/>
          <w:caps w:val="0"/>
          <w:color w:val="1F497D" w:themeColor="text2"/>
          <w:sz w:val="28"/>
          <w:szCs w:val="28"/>
        </w:rPr>
      </w:pPr>
      <w:bookmarkStart w:id="169" w:name="_Toc78536686"/>
      <w:r w:rsidRPr="00772498">
        <w:rPr>
          <w:bCs/>
          <w:caps w:val="0"/>
          <w:color w:val="1F497D" w:themeColor="text2"/>
          <w:sz w:val="28"/>
          <w:szCs w:val="28"/>
        </w:rPr>
        <w:t>1</w:t>
      </w:r>
      <w:r w:rsidRPr="00772498">
        <w:rPr>
          <w:bCs/>
          <w:caps w:val="0"/>
          <w:color w:val="1F497D" w:themeColor="text2"/>
          <w:sz w:val="28"/>
          <w:szCs w:val="28"/>
          <w:lang w:val="af-ZA"/>
        </w:rPr>
        <w:t>.1</w:t>
      </w:r>
      <w:r w:rsidR="00B7540A">
        <w:rPr>
          <w:bCs/>
          <w:caps w:val="0"/>
          <w:color w:val="1F497D" w:themeColor="text2"/>
          <w:sz w:val="28"/>
          <w:szCs w:val="28"/>
          <w:lang w:val="af-ZA"/>
        </w:rPr>
        <w:t>.</w:t>
      </w:r>
      <w:r w:rsidRPr="00772498">
        <w:rPr>
          <w:bCs/>
          <w:caps w:val="0"/>
          <w:color w:val="1F497D" w:themeColor="text2"/>
          <w:sz w:val="28"/>
          <w:szCs w:val="28"/>
          <w:lang w:val="af-ZA"/>
        </w:rPr>
        <w:t xml:space="preserve"> </w:t>
      </w:r>
      <w:r w:rsidRPr="00772498">
        <w:rPr>
          <w:rFonts w:cs="Sylfaen"/>
          <w:bCs/>
          <w:caps w:val="0"/>
          <w:color w:val="1F497D" w:themeColor="text2"/>
          <w:sz w:val="28"/>
          <w:szCs w:val="28"/>
        </w:rPr>
        <w:t>ՄԱԿՐՈՏՆՏԵՍԱԿԱՆ</w:t>
      </w:r>
      <w:r w:rsidRPr="00772498">
        <w:rPr>
          <w:bCs/>
          <w:caps w:val="0"/>
          <w:color w:val="1F497D" w:themeColor="text2"/>
          <w:sz w:val="28"/>
          <w:szCs w:val="28"/>
        </w:rPr>
        <w:t xml:space="preserve"> </w:t>
      </w:r>
      <w:r w:rsidRPr="00772498">
        <w:rPr>
          <w:rFonts w:cs="Sylfaen"/>
          <w:bCs/>
          <w:caps w:val="0"/>
          <w:color w:val="1F497D" w:themeColor="text2"/>
          <w:sz w:val="28"/>
          <w:szCs w:val="28"/>
        </w:rPr>
        <w:t>ԱՄՓՈՓԱԳԻՐ</w:t>
      </w:r>
      <w:r w:rsidRPr="00772498">
        <w:rPr>
          <w:bCs/>
          <w:caps w:val="0"/>
          <w:color w:val="1F497D" w:themeColor="text2"/>
          <w:sz w:val="28"/>
          <w:szCs w:val="28"/>
        </w:rPr>
        <w:t xml:space="preserve"> </w:t>
      </w:r>
      <w:r w:rsidRPr="00772498">
        <w:rPr>
          <w:rFonts w:cs="Sylfaen"/>
          <w:bCs/>
          <w:caps w:val="0"/>
          <w:color w:val="1F497D" w:themeColor="text2"/>
          <w:sz w:val="28"/>
          <w:szCs w:val="28"/>
        </w:rPr>
        <w:t>ԵՎ</w:t>
      </w:r>
      <w:r w:rsidRPr="00772498">
        <w:rPr>
          <w:bCs/>
          <w:caps w:val="0"/>
          <w:color w:val="1F497D" w:themeColor="text2"/>
          <w:sz w:val="28"/>
          <w:szCs w:val="28"/>
        </w:rPr>
        <w:t xml:space="preserve"> </w:t>
      </w:r>
      <w:r w:rsidRPr="00772498">
        <w:rPr>
          <w:rFonts w:cs="Sylfaen"/>
          <w:bCs/>
          <w:caps w:val="0"/>
          <w:color w:val="1F497D" w:themeColor="text2"/>
          <w:sz w:val="28"/>
          <w:szCs w:val="28"/>
        </w:rPr>
        <w:t>ՇՐՋԱՆԱԿ</w:t>
      </w:r>
      <w:bookmarkEnd w:id="164"/>
      <w:bookmarkEnd w:id="165"/>
      <w:bookmarkEnd w:id="166"/>
      <w:bookmarkEnd w:id="169"/>
    </w:p>
    <w:p w14:paraId="3F6B0EE8" w14:textId="77777777" w:rsidR="00B7540A" w:rsidRPr="00B7540A" w:rsidRDefault="00560E10" w:rsidP="00C0628C">
      <w:pPr>
        <w:pStyle w:val="ListParagraph"/>
        <w:numPr>
          <w:ilvl w:val="0"/>
          <w:numId w:val="54"/>
        </w:numPr>
        <w:spacing w:before="60" w:after="40" w:line="276" w:lineRule="auto"/>
        <w:ind w:left="567"/>
        <w:rPr>
          <w:rFonts w:eastAsia="Calibri"/>
          <w:lang w:val="hy-AM"/>
        </w:rPr>
      </w:pPr>
      <w:r w:rsidRPr="00B7540A">
        <w:rPr>
          <w:bCs/>
          <w:color w:val="1F497D" w:themeColor="text2"/>
          <w:sz w:val="28"/>
          <w:szCs w:val="28"/>
          <w:lang w:val="hy-AM"/>
        </w:rPr>
        <w:t xml:space="preserve"> </w:t>
      </w:r>
      <w:r w:rsidR="00B7540A" w:rsidRPr="00B7540A">
        <w:rPr>
          <w:rFonts w:eastAsia="Calibri"/>
          <w:lang w:val="hy-AM"/>
        </w:rPr>
        <w:t>Ներկայումս աշխարհը դեռևս շարունակում է կրել համավարակի բացասական հետևանքները, սակայն դրանց աստիճանական չեզոքացման սպասումով: Արժույթի միջազգային հիմնադրամը (այսուհետև՝ ԱՄՀ) ապրիլին վերանայել է 2021 թվականի համաշխարհային տնտեսական աճի  կանխատեսումը դեպի վերև՝ հաշվի առնելով ընթացիկ զարգացումները և տարվա հաջորդ ամիսներին տնտեսական ակտիվության աճի սպասումները։ Վերջիններս ամրապնդվել են ի հաշիվ պատվաստանյութերի առկայության և որոշ խոշոր երկրներում 2021թ. համար հայտարարված լրացուցիչ օժանդակության միջոցառումների: ՀՀ գործընկեր երկրների տնտեսությունների համար կանխատեսվում է իրենց պոտենցիալ աճերից բարձր տնտեսական աճեր՝ նախանշելով վերականգման գործընթացը: Պատվաստանյութերը 2021թ. ամռանը լայնորեն մատչելի կլինեն զարգացած երկրներում և որոշ զարգացող երկրներում, իսկ մնացած երկրների մեծ մասում՝ 2022թ</w:t>
      </w:r>
      <w:r w:rsidR="00B7540A" w:rsidRPr="00B7540A">
        <w:rPr>
          <w:rFonts w:ascii="Cambria Math" w:eastAsia="MS Mincho" w:hAnsi="Cambria Math" w:cs="Cambria Math"/>
          <w:lang w:val="hy-AM"/>
        </w:rPr>
        <w:t>․</w:t>
      </w:r>
      <w:r w:rsidR="00B7540A" w:rsidRPr="00B7540A">
        <w:rPr>
          <w:rFonts w:eastAsia="Calibri"/>
          <w:lang w:val="hy-AM"/>
        </w:rPr>
        <w:t xml:space="preserve"> երկրորդ կեսին: Մինչև 2022թ</w:t>
      </w:r>
      <w:r w:rsidR="00B7540A" w:rsidRPr="00B7540A">
        <w:rPr>
          <w:rFonts w:ascii="Cambria Math" w:eastAsia="MS Mincho" w:hAnsi="Cambria Math" w:cs="Cambria Math"/>
          <w:lang w:val="hy-AM"/>
        </w:rPr>
        <w:t>․</w:t>
      </w:r>
      <w:r w:rsidR="00B7540A" w:rsidRPr="00B7540A">
        <w:rPr>
          <w:rFonts w:eastAsia="Calibri"/>
          <w:lang w:val="hy-AM"/>
        </w:rPr>
        <w:t xml:space="preserve"> ավարտը կանխատեսվում է, որ վարակի տարածումն ամենուր կնվազի:</w:t>
      </w:r>
    </w:p>
    <w:p w14:paraId="0927A0CB" w14:textId="77777777" w:rsidR="00B7540A" w:rsidRPr="00B7540A" w:rsidRDefault="00B7540A" w:rsidP="00C0628C">
      <w:pPr>
        <w:pStyle w:val="ListParagraph"/>
        <w:numPr>
          <w:ilvl w:val="0"/>
          <w:numId w:val="54"/>
        </w:numPr>
        <w:spacing w:before="60" w:after="40" w:line="276" w:lineRule="auto"/>
        <w:ind w:left="567"/>
        <w:rPr>
          <w:lang w:val="hy-AM"/>
        </w:rPr>
      </w:pPr>
      <w:r w:rsidRPr="00B7540A">
        <w:rPr>
          <w:lang w:val="hy-AM"/>
        </w:rPr>
        <w:t>2020թ</w:t>
      </w:r>
      <w:r w:rsidRPr="00B7540A">
        <w:rPr>
          <w:rFonts w:ascii="Cambria Math" w:eastAsia="MS Mincho" w:hAnsi="Cambria Math" w:cs="Cambria Math"/>
          <w:lang w:val="hy-AM"/>
        </w:rPr>
        <w:t>․</w:t>
      </w:r>
      <w:r w:rsidRPr="00B7540A">
        <w:rPr>
          <w:lang w:val="hy-AM"/>
        </w:rPr>
        <w:t xml:space="preserve"> սկիզբ առած նոր տիպի կորոնավիրուսի համավարակի, ինչպես նաև սեպտեմբեր-նոյեմբերին սանձազերծված Արցախյան պատերազմի ազդեցություններով պայմանավորված ՀՀ տնտեսության բացասական զարգացումները շարունակվեցին նաև 2021թ</w:t>
      </w:r>
      <w:r w:rsidRPr="00B7540A">
        <w:rPr>
          <w:rFonts w:ascii="Cambria Math" w:eastAsia="MS Mincho" w:hAnsi="Cambria Math" w:cs="Cambria Math"/>
          <w:lang w:val="hy-AM"/>
        </w:rPr>
        <w:t>․</w:t>
      </w:r>
      <w:r w:rsidRPr="00B7540A">
        <w:rPr>
          <w:lang w:val="hy-AM"/>
        </w:rPr>
        <w:t xml:space="preserve"> տարեսկզբին: Համավարակի և Արցախյան պատերազմի բացասական ազդեցությունների մեղմմանն ու տնտեսության վերականգնմանն ուղղված կառավարության կողմից իրականացված և իրականացվող հարկաբյուջետային միջոցառումների, ինչպես նաև Համավարակի համաշխարհային ճգնաժամի աստիճանական հաղթահարման պայմաններում տնտեսական աճը 2021թ. կվերականգնվի և միջնաժամկետ հատվածում կմոտենա իր ներուժային մակարդակին՝ վերջինիս բարձրացման համար նախադրյալներ ձևավորելով:</w:t>
      </w:r>
    </w:p>
    <w:p w14:paraId="50503C4D" w14:textId="77777777" w:rsidR="00B7540A" w:rsidRPr="00B7540A" w:rsidRDefault="00B7540A" w:rsidP="00C0628C">
      <w:pPr>
        <w:pStyle w:val="ListParagraph"/>
        <w:numPr>
          <w:ilvl w:val="0"/>
          <w:numId w:val="54"/>
        </w:numPr>
        <w:spacing w:before="60" w:after="40" w:line="276" w:lineRule="auto"/>
        <w:ind w:left="567"/>
        <w:rPr>
          <w:lang w:val="hy-AM"/>
        </w:rPr>
      </w:pPr>
      <w:r w:rsidRPr="00B7540A">
        <w:rPr>
          <w:lang w:val="hy-AM"/>
        </w:rPr>
        <w:t xml:space="preserve">ՀՀ կառավարությունը միջնաժամկետ հատվածում թիրախավորում է միջինում առնվազն 7% տնտեսական կայուն աճը։ Այս նպատակին հասնելու համար նախատեսվում է ձևավորել ճանապարհային քարտեզ՝ համապատասխան միջոցառումների ծրագրով և դրա իրագործմամբ բեկում մտցնել ՀՀ տնտեսության զարգացման մեջ։ Այդուհանդերձ, մինչ նշյալ միջոցառումների արդյունքների արձանագրումը, միջնաժամկետ ծախսերի ծրագրի բյուջետային շրջանակը նախագծված է մակրոտնտեսական կայունության համար կառավարելի ռիսկեր պարունակող՝ ՀՀ ներկա ներուժի գնահատականների հիման վրա։ </w:t>
      </w:r>
    </w:p>
    <w:p w14:paraId="3126246C" w14:textId="77777777" w:rsidR="00B7540A" w:rsidRPr="00B7540A" w:rsidRDefault="00B7540A" w:rsidP="00C0628C">
      <w:pPr>
        <w:pStyle w:val="ListParagraph"/>
        <w:numPr>
          <w:ilvl w:val="0"/>
          <w:numId w:val="54"/>
        </w:numPr>
        <w:spacing w:before="60" w:after="40" w:line="276" w:lineRule="auto"/>
        <w:ind w:left="567"/>
        <w:rPr>
          <w:lang w:val="hy-AM"/>
        </w:rPr>
      </w:pPr>
      <w:r w:rsidRPr="00B7540A">
        <w:rPr>
          <w:lang w:val="hy-AM"/>
        </w:rPr>
        <w:t xml:space="preserve">Տնտեսական ակտիվության և </w:t>
      </w:r>
      <w:sdt>
        <w:sdtPr>
          <w:tag w:val="goog_rdk_9"/>
          <w:id w:val="1467319611"/>
        </w:sdtPr>
        <w:sdtContent>
          <w:r w:rsidRPr="00B7540A">
            <w:rPr>
              <w:lang w:val="hy-AM"/>
            </w:rPr>
            <w:t xml:space="preserve">ներքին ու արտաքին </w:t>
          </w:r>
        </w:sdtContent>
      </w:sdt>
      <w:r w:rsidRPr="00B7540A">
        <w:rPr>
          <w:lang w:val="hy-AM"/>
        </w:rPr>
        <w:t>պահանջարկների աստիճանական վերականգնման պայմաններում կանխատեսվում է, որ 2021թ</w:t>
      </w:r>
      <w:r w:rsidRPr="00B7540A">
        <w:rPr>
          <w:rFonts w:ascii="Cambria Math" w:eastAsia="MS Mincho" w:hAnsi="Cambria Math" w:cs="Cambria Math"/>
          <w:lang w:val="hy-AM"/>
        </w:rPr>
        <w:t>․</w:t>
      </w:r>
      <w:r w:rsidRPr="00B7540A">
        <w:rPr>
          <w:lang w:val="hy-AM"/>
        </w:rPr>
        <w:t xml:space="preserve"> տեղի կունենա և՛ արտահանման, և՛ ներմուծման ծավալների աճ: Հիմնականում դրամական փոխանցումների արագ վերականգմամբ պայմանավորված 2021թ. ընթացիկ հաշվի պակասուրդը կբարելավվի, իսկ միջնաժամկետ հորիզոնում կմոտենա իր երկարաժամկետ հավասարակշիռ մակարդակին:</w:t>
      </w:r>
    </w:p>
    <w:p w14:paraId="1F5023E5" w14:textId="77777777" w:rsidR="00B7540A" w:rsidRPr="00B7540A" w:rsidRDefault="00B7540A" w:rsidP="00C0628C">
      <w:pPr>
        <w:pStyle w:val="ListParagraph"/>
        <w:numPr>
          <w:ilvl w:val="0"/>
          <w:numId w:val="54"/>
        </w:numPr>
        <w:spacing w:before="60" w:after="40" w:line="276" w:lineRule="auto"/>
        <w:ind w:left="567"/>
        <w:rPr>
          <w:lang w:val="hy-AM"/>
        </w:rPr>
      </w:pPr>
      <w:r w:rsidRPr="00B7540A">
        <w:rPr>
          <w:lang w:val="hy-AM"/>
        </w:rPr>
        <w:t>2021թ. ՀՀ Կառավարությունը կիրականացնի սահուն հարկաբյուջետային կոնսոլիդացիա՝ նպատակ ունենալով չխաթարել տնտեսության վերականգնումը և ապահովել պարտքի բեռի աճի տեմպի դանդաղում, իսկ միջնաժամկետում՝ տնտեսության վերականգնմանը զուգահեռ հարկաբյուջետային քաղաքականությունն ուղղված կլինի ՀՆԱ-ի մեջ պարտքի մակարդակի նվազեցմանը և կայունություն պահպանմանը, ինչպես նաև երկարաժամկետ տնտեսական աճի խթանմանը՝ շեշտադրվելով պետական ներդրումների մասնաբաժնի մեծացումը և ծախսերի իրականացման արդյունավետության բարձրացումը:</w:t>
      </w:r>
    </w:p>
    <w:p w14:paraId="607DC7CE" w14:textId="77777777" w:rsidR="00B7540A" w:rsidRPr="00B7540A" w:rsidRDefault="00B7540A" w:rsidP="00C0628C">
      <w:pPr>
        <w:pStyle w:val="ListParagraph"/>
        <w:numPr>
          <w:ilvl w:val="0"/>
          <w:numId w:val="54"/>
        </w:numPr>
        <w:spacing w:before="60" w:after="40" w:line="276" w:lineRule="auto"/>
        <w:ind w:left="567"/>
        <w:rPr>
          <w:lang w:val="hy-AM"/>
        </w:rPr>
      </w:pPr>
      <w:r w:rsidRPr="00B7540A">
        <w:rPr>
          <w:lang w:val="hy-AM"/>
        </w:rPr>
        <w:t>Կարճաժամկետ հատվածում ՀՀ կենտրոնական բանկը կշարունակի իրականացնել գնաճային սպասումների արագացման ռիսկերի չեզոքացմանն ուղղված դրամավարկային քաղաքականություն՝ միևնույն ժամանակ ապահովելով հնարավորին նպաստավոր պայմաններ ամբողջական պահանջարկի վերականգնման համար, իսկ միջնաժամկետ հատվածում գնաճի նպատակային ցուցանիշին հասնելու համար՝ ռիսկերի դրսևորման պարագայում պատրաստ է համապատասխանորեն արձագանքել։</w:t>
      </w:r>
    </w:p>
    <w:p w14:paraId="54670BD7" w14:textId="77777777" w:rsidR="00B7540A" w:rsidRPr="00B7540A" w:rsidRDefault="00B7540A" w:rsidP="00C0628C">
      <w:pPr>
        <w:pStyle w:val="ListParagraph"/>
        <w:numPr>
          <w:ilvl w:val="0"/>
          <w:numId w:val="54"/>
        </w:numPr>
        <w:spacing w:before="60" w:after="40" w:line="276" w:lineRule="auto"/>
        <w:ind w:left="567"/>
        <w:rPr>
          <w:lang w:val="hy-AM"/>
        </w:rPr>
      </w:pPr>
      <w:r w:rsidRPr="00B7540A">
        <w:rPr>
          <w:lang w:val="hy-AM"/>
        </w:rPr>
        <w:t xml:space="preserve">Պետք է նշել, որ համաշխարհային տնտեսության զարգացման ընթացքը մեծապես կախված է COVID-19 համավարակի հաղթահարմանն ուղղված առողջապահական միջոցառումներից, աջակցության փաթեթներից և պատվաստումների ծրագրերից։ Այս պայմաններում, ինչպես աշխարհի և ՀՀ գործընկերների, այնպես էլ ՄԺԾԾ շրջանակում ՀՀ տնտեսական աճի կանխատեսումների համար ռիսկերը գնահատվում են հավասարակշռված։ </w:t>
      </w:r>
    </w:p>
    <w:p w14:paraId="103E276D" w14:textId="77777777" w:rsidR="00B7540A" w:rsidRPr="00B7540A" w:rsidRDefault="00B7540A" w:rsidP="00B7540A">
      <w:pPr>
        <w:spacing w:line="276" w:lineRule="auto"/>
        <w:rPr>
          <w:rFonts w:eastAsia="GHEA Grapalat"/>
          <w:noProof/>
          <w:lang w:val="hy-AM"/>
        </w:rPr>
      </w:pPr>
      <w:r w:rsidRPr="00B7540A">
        <w:rPr>
          <w:rFonts w:eastAsia="GHEA Grapalat"/>
          <w:noProof/>
          <w:lang w:val="hy-AM"/>
        </w:rPr>
        <w:t>Ստորև՝ Աղյուսկա 1.1-ում և 1.2-ում ներկայացված են թիրախային (բարձր) տնտեսական աճի սցենարի և ՄԺԾԾ (բյուջետային) մակրոտնտեսական շրջանակները բնութագրող հիմնական ցուցանիշների համեմատականները և ՄԺԾԾ մակրոտնտեսական շրջանակը։</w:t>
      </w:r>
    </w:p>
    <w:p w14:paraId="3B7B3ECA" w14:textId="77777777" w:rsidR="00B7540A" w:rsidRPr="00586097" w:rsidRDefault="00B7540A" w:rsidP="00B7540A">
      <w:pPr>
        <w:pStyle w:val="afa"/>
        <w:spacing w:line="276" w:lineRule="auto"/>
      </w:pPr>
    </w:p>
    <w:p w14:paraId="02249C16" w14:textId="77777777" w:rsidR="00B7540A" w:rsidRPr="00B7540A" w:rsidRDefault="00B7540A" w:rsidP="00B7540A">
      <w:pPr>
        <w:spacing w:line="276" w:lineRule="auto"/>
        <w:rPr>
          <w:rFonts w:eastAsia="GHEA Grapalat"/>
          <w:noProof/>
          <w:lang w:val="hy-AM"/>
        </w:rPr>
      </w:pPr>
    </w:p>
    <w:p w14:paraId="51849D28" w14:textId="77777777" w:rsidR="00B7540A" w:rsidRPr="00B7540A" w:rsidRDefault="00B7540A" w:rsidP="00B7540A">
      <w:pPr>
        <w:spacing w:line="276" w:lineRule="auto"/>
        <w:rPr>
          <w:rFonts w:eastAsia="GHEA Grapalat"/>
          <w:noProof/>
          <w:lang w:val="hy-AM"/>
        </w:rPr>
        <w:sectPr w:rsidR="00B7540A" w:rsidRPr="00B7540A" w:rsidSect="00B7540A">
          <w:headerReference w:type="default" r:id="rId11"/>
          <w:footerReference w:type="default" r:id="rId12"/>
          <w:pgSz w:w="11906" w:h="16838" w:code="9"/>
          <w:pgMar w:top="851" w:right="851" w:bottom="851" w:left="1021" w:header="431" w:footer="578" w:gutter="0"/>
          <w:cols w:space="720"/>
          <w:titlePg/>
          <w:docGrid w:linePitch="360"/>
        </w:sectPr>
      </w:pPr>
    </w:p>
    <w:p w14:paraId="678DE4F8" w14:textId="77777777" w:rsidR="00B7540A" w:rsidRPr="00B7540A" w:rsidRDefault="00B7540A" w:rsidP="00B7540A">
      <w:pPr>
        <w:spacing w:line="276" w:lineRule="auto"/>
        <w:rPr>
          <w:rFonts w:eastAsia="GHEA Grapalat"/>
          <w:noProof/>
          <w:lang w:val="hy-AM"/>
        </w:rPr>
      </w:pPr>
    </w:p>
    <w:p w14:paraId="4995DBFB" w14:textId="77777777" w:rsidR="00B7540A" w:rsidRPr="00586097" w:rsidRDefault="00B7540A" w:rsidP="00B7540A">
      <w:pPr>
        <w:pStyle w:val="afa"/>
        <w:spacing w:line="276" w:lineRule="auto"/>
      </w:pPr>
      <w:r w:rsidRPr="00586097">
        <w:t>Աղյուսակ 1.1. 2022-2024թթ. Թիրախային տնտեսական աճի սցենարի և ՄԺԾԾ (բյուջետային՝ ներառյալ 2022թ. պետական բյուջեի) հիմնական մակրոտնտեսական ցուցանիշների համեմատական</w:t>
      </w:r>
    </w:p>
    <w:tbl>
      <w:tblPr>
        <w:tblStyle w:val="GridTable1Light-Accent52"/>
        <w:tblW w:w="4203" w:type="pct"/>
        <w:tblInd w:w="1119"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Look w:val="04A0" w:firstRow="1" w:lastRow="0" w:firstColumn="1" w:lastColumn="0" w:noHBand="0" w:noVBand="1"/>
      </w:tblPr>
      <w:tblGrid>
        <w:gridCol w:w="3635"/>
        <w:gridCol w:w="1130"/>
        <w:gridCol w:w="1138"/>
        <w:gridCol w:w="1130"/>
        <w:gridCol w:w="1130"/>
        <w:gridCol w:w="1130"/>
        <w:gridCol w:w="1130"/>
        <w:gridCol w:w="1130"/>
        <w:gridCol w:w="1135"/>
        <w:gridCol w:w="10"/>
      </w:tblGrid>
      <w:tr w:rsidR="00B7540A" w:rsidRPr="00586097" w14:paraId="34AC1EDC" w14:textId="77777777" w:rsidTr="00B7540A">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1431" w:type="pct"/>
            <w:tcBorders>
              <w:left w:val="single" w:sz="12" w:space="0" w:color="4BACC6" w:themeColor="accent5"/>
            </w:tcBorders>
            <w:shd w:val="clear" w:color="auto" w:fill="B8CCE4" w:themeFill="accent1" w:themeFillTint="66"/>
            <w:noWrap/>
            <w:vAlign w:val="center"/>
          </w:tcPr>
          <w:p w14:paraId="1524F684" w14:textId="77777777" w:rsidR="00B7540A" w:rsidRPr="00586097" w:rsidRDefault="00B7540A" w:rsidP="00B7540A">
            <w:pPr>
              <w:spacing w:line="276" w:lineRule="auto"/>
              <w:ind w:firstLine="31"/>
            </w:pPr>
            <w:r w:rsidRPr="00586097">
              <w:t>Տարեթիվ</w:t>
            </w:r>
          </w:p>
        </w:tc>
        <w:tc>
          <w:tcPr>
            <w:tcW w:w="445" w:type="pct"/>
            <w:shd w:val="clear" w:color="auto" w:fill="B8CCE4" w:themeFill="accent1" w:themeFillTint="66"/>
            <w:noWrap/>
            <w:vAlign w:val="center"/>
          </w:tcPr>
          <w:p w14:paraId="4611E09F" w14:textId="77777777" w:rsidR="00B7540A" w:rsidRPr="00586097" w:rsidRDefault="00B7540A" w:rsidP="00B7540A">
            <w:pPr>
              <w:spacing w:line="276" w:lineRule="auto"/>
              <w:ind w:firstLine="31"/>
              <w:jc w:val="center"/>
              <w:cnfStyle w:val="100000000000" w:firstRow="1" w:lastRow="0" w:firstColumn="0" w:lastColumn="0" w:oddVBand="0" w:evenVBand="0" w:oddHBand="0" w:evenHBand="0" w:firstRowFirstColumn="0" w:firstRowLastColumn="0" w:lastRowFirstColumn="0" w:lastRowLastColumn="0"/>
            </w:pPr>
            <w:r w:rsidRPr="00586097">
              <w:t>2020</w:t>
            </w:r>
          </w:p>
        </w:tc>
        <w:tc>
          <w:tcPr>
            <w:tcW w:w="448" w:type="pct"/>
            <w:shd w:val="clear" w:color="auto" w:fill="B8CCE4" w:themeFill="accent1" w:themeFillTint="66"/>
            <w:vAlign w:val="center"/>
          </w:tcPr>
          <w:p w14:paraId="36E31638" w14:textId="77777777" w:rsidR="00B7540A" w:rsidRPr="00586097" w:rsidRDefault="00B7540A" w:rsidP="00B7540A">
            <w:pPr>
              <w:spacing w:line="276" w:lineRule="auto"/>
              <w:ind w:firstLine="31"/>
              <w:jc w:val="center"/>
              <w:cnfStyle w:val="100000000000" w:firstRow="1" w:lastRow="0" w:firstColumn="0" w:lastColumn="0" w:oddVBand="0" w:evenVBand="0" w:oddHBand="0" w:evenHBand="0" w:firstRowFirstColumn="0" w:firstRowLastColumn="0" w:lastRowFirstColumn="0" w:lastRowLastColumn="0"/>
            </w:pPr>
            <w:r w:rsidRPr="00586097">
              <w:t>2021</w:t>
            </w:r>
          </w:p>
        </w:tc>
        <w:tc>
          <w:tcPr>
            <w:tcW w:w="890" w:type="pct"/>
            <w:gridSpan w:val="2"/>
            <w:shd w:val="clear" w:color="auto" w:fill="B8CCE4" w:themeFill="accent1" w:themeFillTint="66"/>
            <w:vAlign w:val="center"/>
          </w:tcPr>
          <w:p w14:paraId="40D82FBF" w14:textId="77777777" w:rsidR="00B7540A" w:rsidRPr="00586097" w:rsidRDefault="00B7540A" w:rsidP="00B7540A">
            <w:pPr>
              <w:spacing w:line="276" w:lineRule="auto"/>
              <w:ind w:firstLine="31"/>
              <w:jc w:val="center"/>
              <w:cnfStyle w:val="100000000000" w:firstRow="1" w:lastRow="0" w:firstColumn="0" w:lastColumn="0" w:oddVBand="0" w:evenVBand="0" w:oddHBand="0" w:evenHBand="0" w:firstRowFirstColumn="0" w:firstRowLastColumn="0" w:lastRowFirstColumn="0" w:lastRowLastColumn="0"/>
            </w:pPr>
            <w:r w:rsidRPr="00586097">
              <w:t>2022</w:t>
            </w:r>
          </w:p>
        </w:tc>
        <w:tc>
          <w:tcPr>
            <w:tcW w:w="890" w:type="pct"/>
            <w:gridSpan w:val="2"/>
            <w:shd w:val="clear" w:color="auto" w:fill="B8CCE4" w:themeFill="accent1" w:themeFillTint="66"/>
            <w:vAlign w:val="center"/>
          </w:tcPr>
          <w:p w14:paraId="40AC7E37" w14:textId="77777777" w:rsidR="00B7540A" w:rsidRPr="00586097" w:rsidRDefault="00B7540A" w:rsidP="00B7540A">
            <w:pPr>
              <w:spacing w:line="276" w:lineRule="auto"/>
              <w:ind w:firstLine="31"/>
              <w:jc w:val="center"/>
              <w:cnfStyle w:val="100000000000" w:firstRow="1" w:lastRow="0" w:firstColumn="0" w:lastColumn="0" w:oddVBand="0" w:evenVBand="0" w:oddHBand="0" w:evenHBand="0" w:firstRowFirstColumn="0" w:firstRowLastColumn="0" w:lastRowFirstColumn="0" w:lastRowLastColumn="0"/>
            </w:pPr>
            <w:r w:rsidRPr="00586097">
              <w:t>2023</w:t>
            </w:r>
          </w:p>
        </w:tc>
        <w:tc>
          <w:tcPr>
            <w:tcW w:w="896" w:type="pct"/>
            <w:gridSpan w:val="3"/>
            <w:tcBorders>
              <w:right w:val="single" w:sz="12" w:space="0" w:color="4BACC6" w:themeColor="accent5"/>
            </w:tcBorders>
            <w:shd w:val="clear" w:color="auto" w:fill="B8CCE4" w:themeFill="accent1" w:themeFillTint="66"/>
            <w:vAlign w:val="center"/>
          </w:tcPr>
          <w:p w14:paraId="3472D6ED" w14:textId="77777777" w:rsidR="00B7540A" w:rsidRPr="00586097" w:rsidRDefault="00B7540A" w:rsidP="00B7540A">
            <w:pPr>
              <w:spacing w:line="276" w:lineRule="auto"/>
              <w:ind w:firstLine="31"/>
              <w:jc w:val="center"/>
              <w:cnfStyle w:val="100000000000" w:firstRow="1" w:lastRow="0" w:firstColumn="0" w:lastColumn="0" w:oddVBand="0" w:evenVBand="0" w:oddHBand="0" w:evenHBand="0" w:firstRowFirstColumn="0" w:firstRowLastColumn="0" w:lastRowFirstColumn="0" w:lastRowLastColumn="0"/>
            </w:pPr>
            <w:r w:rsidRPr="00586097">
              <w:t>2024</w:t>
            </w:r>
          </w:p>
        </w:tc>
      </w:tr>
      <w:tr w:rsidR="00B7540A" w:rsidRPr="00586097" w14:paraId="75121F83" w14:textId="77777777" w:rsidTr="00B7540A">
        <w:trPr>
          <w:gridAfter w:val="1"/>
          <w:cnfStyle w:val="100000000000" w:firstRow="1" w:lastRow="0" w:firstColumn="0" w:lastColumn="0" w:oddVBand="0" w:evenVBand="0" w:oddHBand="0" w:evenHBand="0" w:firstRowFirstColumn="0" w:firstRowLastColumn="0" w:lastRowFirstColumn="0" w:lastRowLastColumn="0"/>
          <w:wAfter w:w="4" w:type="pct"/>
          <w:trHeight w:val="1035"/>
          <w:tblHeader/>
        </w:trPr>
        <w:tc>
          <w:tcPr>
            <w:cnfStyle w:val="001000000000" w:firstRow="0" w:lastRow="0" w:firstColumn="1" w:lastColumn="0" w:oddVBand="0" w:evenVBand="0" w:oddHBand="0" w:evenHBand="0" w:firstRowFirstColumn="0" w:firstRowLastColumn="0" w:lastRowFirstColumn="0" w:lastRowLastColumn="0"/>
            <w:tcW w:w="1431" w:type="pct"/>
            <w:tcBorders>
              <w:left w:val="single" w:sz="12" w:space="0" w:color="4BACC6" w:themeColor="accent5"/>
            </w:tcBorders>
            <w:shd w:val="clear" w:color="auto" w:fill="DBE5F1" w:themeFill="accent1" w:themeFillTint="33"/>
            <w:noWrap/>
            <w:hideMark/>
          </w:tcPr>
          <w:p w14:paraId="4A28B2D1" w14:textId="77777777" w:rsidR="00B7540A" w:rsidRPr="00586097" w:rsidRDefault="00B7540A" w:rsidP="00B7540A">
            <w:pPr>
              <w:spacing w:line="276" w:lineRule="auto"/>
              <w:ind w:firstLine="31"/>
              <w:rPr>
                <w:b w:val="0"/>
                <w:bCs w:val="0"/>
              </w:rPr>
            </w:pPr>
            <w:r w:rsidRPr="00586097">
              <w:rPr>
                <w:rFonts w:ascii="Calibri" w:hAnsi="Calibri" w:cs="Calibri"/>
              </w:rPr>
              <w:t> </w:t>
            </w:r>
          </w:p>
        </w:tc>
        <w:tc>
          <w:tcPr>
            <w:tcW w:w="445" w:type="pct"/>
            <w:shd w:val="clear" w:color="auto" w:fill="DBE5F1" w:themeFill="accent1" w:themeFillTint="33"/>
            <w:noWrap/>
            <w:vAlign w:val="center"/>
            <w:hideMark/>
          </w:tcPr>
          <w:p w14:paraId="1660CE0D" w14:textId="77777777" w:rsidR="00B7540A" w:rsidRPr="00586097" w:rsidRDefault="00B7540A" w:rsidP="00B7540A">
            <w:pPr>
              <w:spacing w:line="276" w:lineRule="auto"/>
              <w:ind w:firstLine="31"/>
              <w:cnfStyle w:val="100000000000" w:firstRow="1" w:lastRow="0" w:firstColumn="0" w:lastColumn="0" w:oddVBand="0" w:evenVBand="0" w:oddHBand="0" w:evenHBand="0" w:firstRowFirstColumn="0" w:firstRowLastColumn="0" w:lastRowFirstColumn="0" w:lastRowLastColumn="0"/>
            </w:pPr>
            <w:r w:rsidRPr="00586097">
              <w:t>Փաստ</w:t>
            </w:r>
          </w:p>
        </w:tc>
        <w:tc>
          <w:tcPr>
            <w:tcW w:w="448" w:type="pct"/>
            <w:shd w:val="clear" w:color="auto" w:fill="DBE5F1" w:themeFill="accent1" w:themeFillTint="33"/>
          </w:tcPr>
          <w:p w14:paraId="1ACD7F33" w14:textId="77777777" w:rsidR="00B7540A" w:rsidRPr="00586097" w:rsidRDefault="00B7540A" w:rsidP="00B7540A">
            <w:pPr>
              <w:spacing w:line="276" w:lineRule="auto"/>
              <w:ind w:firstLine="31"/>
              <w:jc w:val="center"/>
              <w:cnfStyle w:val="100000000000" w:firstRow="1" w:lastRow="0" w:firstColumn="0" w:lastColumn="0" w:oddVBand="0" w:evenVBand="0" w:oddHBand="0" w:evenHBand="0" w:firstRowFirstColumn="0" w:firstRowLastColumn="0" w:lastRowFirstColumn="0" w:lastRowLastColumn="0"/>
            </w:pPr>
            <w:r w:rsidRPr="00586097">
              <w:t>Բյուջետային սցենար</w:t>
            </w:r>
          </w:p>
        </w:tc>
        <w:tc>
          <w:tcPr>
            <w:tcW w:w="445" w:type="pct"/>
            <w:shd w:val="clear" w:color="auto" w:fill="B8CCE4" w:themeFill="accent1" w:themeFillTint="66"/>
          </w:tcPr>
          <w:p w14:paraId="58957D06" w14:textId="77777777" w:rsidR="00B7540A" w:rsidRPr="00586097" w:rsidRDefault="00B7540A" w:rsidP="00B7540A">
            <w:pPr>
              <w:spacing w:line="276" w:lineRule="auto"/>
              <w:ind w:firstLine="31"/>
              <w:jc w:val="center"/>
              <w:cnfStyle w:val="100000000000" w:firstRow="1" w:lastRow="0" w:firstColumn="0" w:lastColumn="0" w:oddVBand="0" w:evenVBand="0" w:oddHBand="0" w:evenHBand="0" w:firstRowFirstColumn="0" w:firstRowLastColumn="0" w:lastRowFirstColumn="0" w:lastRowLastColumn="0"/>
            </w:pPr>
            <w:r w:rsidRPr="00586097">
              <w:t>Թիրախային սցենար</w:t>
            </w:r>
          </w:p>
        </w:tc>
        <w:tc>
          <w:tcPr>
            <w:tcW w:w="445" w:type="pct"/>
            <w:shd w:val="clear" w:color="auto" w:fill="DBE5F1" w:themeFill="accent1" w:themeFillTint="33"/>
          </w:tcPr>
          <w:p w14:paraId="79EA438A" w14:textId="77777777" w:rsidR="00B7540A" w:rsidRPr="00586097" w:rsidRDefault="00B7540A" w:rsidP="00B7540A">
            <w:pPr>
              <w:spacing w:line="276" w:lineRule="auto"/>
              <w:ind w:firstLine="31"/>
              <w:jc w:val="center"/>
              <w:cnfStyle w:val="100000000000" w:firstRow="1" w:lastRow="0" w:firstColumn="0" w:lastColumn="0" w:oddVBand="0" w:evenVBand="0" w:oddHBand="0" w:evenHBand="0" w:firstRowFirstColumn="0" w:firstRowLastColumn="0" w:lastRowFirstColumn="0" w:lastRowLastColumn="0"/>
            </w:pPr>
            <w:r w:rsidRPr="00586097">
              <w:t>Բյուջետային սցենար</w:t>
            </w:r>
          </w:p>
        </w:tc>
        <w:tc>
          <w:tcPr>
            <w:tcW w:w="445" w:type="pct"/>
            <w:shd w:val="clear" w:color="auto" w:fill="B8CCE4" w:themeFill="accent1" w:themeFillTint="66"/>
          </w:tcPr>
          <w:p w14:paraId="2B2E08B5" w14:textId="77777777" w:rsidR="00B7540A" w:rsidRPr="00586097" w:rsidRDefault="00B7540A" w:rsidP="00B7540A">
            <w:pPr>
              <w:spacing w:line="276" w:lineRule="auto"/>
              <w:ind w:firstLine="31"/>
              <w:jc w:val="center"/>
              <w:cnfStyle w:val="100000000000" w:firstRow="1" w:lastRow="0" w:firstColumn="0" w:lastColumn="0" w:oddVBand="0" w:evenVBand="0" w:oddHBand="0" w:evenHBand="0" w:firstRowFirstColumn="0" w:firstRowLastColumn="0" w:lastRowFirstColumn="0" w:lastRowLastColumn="0"/>
            </w:pPr>
            <w:r w:rsidRPr="00586097">
              <w:t>Թիրախային սցենար</w:t>
            </w:r>
          </w:p>
        </w:tc>
        <w:tc>
          <w:tcPr>
            <w:tcW w:w="445" w:type="pct"/>
            <w:shd w:val="clear" w:color="auto" w:fill="DBE5F1" w:themeFill="accent1" w:themeFillTint="33"/>
          </w:tcPr>
          <w:p w14:paraId="2010E019" w14:textId="77777777" w:rsidR="00B7540A" w:rsidRPr="00586097" w:rsidRDefault="00B7540A" w:rsidP="00B7540A">
            <w:pPr>
              <w:spacing w:line="276" w:lineRule="auto"/>
              <w:ind w:firstLine="31"/>
              <w:jc w:val="center"/>
              <w:cnfStyle w:val="100000000000" w:firstRow="1" w:lastRow="0" w:firstColumn="0" w:lastColumn="0" w:oddVBand="0" w:evenVBand="0" w:oddHBand="0" w:evenHBand="0" w:firstRowFirstColumn="0" w:firstRowLastColumn="0" w:lastRowFirstColumn="0" w:lastRowLastColumn="0"/>
            </w:pPr>
            <w:r w:rsidRPr="00586097">
              <w:t>Բյուջետային սցենար</w:t>
            </w:r>
          </w:p>
        </w:tc>
        <w:tc>
          <w:tcPr>
            <w:tcW w:w="445" w:type="pct"/>
            <w:shd w:val="clear" w:color="auto" w:fill="B8CCE4" w:themeFill="accent1" w:themeFillTint="66"/>
          </w:tcPr>
          <w:p w14:paraId="4271D87A" w14:textId="77777777" w:rsidR="00B7540A" w:rsidRPr="00586097" w:rsidRDefault="00B7540A" w:rsidP="00B7540A">
            <w:pPr>
              <w:spacing w:line="276" w:lineRule="auto"/>
              <w:ind w:firstLine="31"/>
              <w:jc w:val="center"/>
              <w:cnfStyle w:val="100000000000" w:firstRow="1" w:lastRow="0" w:firstColumn="0" w:lastColumn="0" w:oddVBand="0" w:evenVBand="0" w:oddHBand="0" w:evenHBand="0" w:firstRowFirstColumn="0" w:firstRowLastColumn="0" w:lastRowFirstColumn="0" w:lastRowLastColumn="0"/>
            </w:pPr>
            <w:r w:rsidRPr="00586097">
              <w:t>Թիրախային սցենար</w:t>
            </w:r>
          </w:p>
        </w:tc>
        <w:tc>
          <w:tcPr>
            <w:tcW w:w="447" w:type="pct"/>
            <w:tcBorders>
              <w:right w:val="single" w:sz="12" w:space="0" w:color="4BACC6" w:themeColor="accent5"/>
            </w:tcBorders>
            <w:shd w:val="clear" w:color="auto" w:fill="DBE5F1" w:themeFill="accent1" w:themeFillTint="33"/>
          </w:tcPr>
          <w:p w14:paraId="248A9F68" w14:textId="77777777" w:rsidR="00B7540A" w:rsidRPr="00586097" w:rsidRDefault="00B7540A" w:rsidP="00B7540A">
            <w:pPr>
              <w:spacing w:line="276" w:lineRule="auto"/>
              <w:ind w:firstLine="31"/>
              <w:jc w:val="center"/>
              <w:cnfStyle w:val="100000000000" w:firstRow="1" w:lastRow="0" w:firstColumn="0" w:lastColumn="0" w:oddVBand="0" w:evenVBand="0" w:oddHBand="0" w:evenHBand="0" w:firstRowFirstColumn="0" w:firstRowLastColumn="0" w:lastRowFirstColumn="0" w:lastRowLastColumn="0"/>
            </w:pPr>
            <w:r w:rsidRPr="00586097">
              <w:t>Բյուջետային սցենար</w:t>
            </w:r>
          </w:p>
        </w:tc>
      </w:tr>
      <w:tr w:rsidR="00B7540A" w:rsidRPr="00586097" w14:paraId="6AC63848" w14:textId="77777777" w:rsidTr="00B7540A">
        <w:trPr>
          <w:gridAfter w:val="1"/>
          <w:cnfStyle w:val="100000000000" w:firstRow="1" w:lastRow="0" w:firstColumn="0" w:lastColumn="0" w:oddVBand="0" w:evenVBand="0" w:oddHBand="0" w:evenHBand="0" w:firstRowFirstColumn="0" w:firstRowLastColumn="0" w:lastRowFirstColumn="0" w:lastRowLastColumn="0"/>
          <w:wAfter w:w="4" w:type="pct"/>
          <w:trHeight w:val="345"/>
          <w:tblHeader/>
        </w:trPr>
        <w:tc>
          <w:tcPr>
            <w:cnfStyle w:val="001000000000" w:firstRow="0" w:lastRow="0" w:firstColumn="1" w:lastColumn="0" w:oddVBand="0" w:evenVBand="0" w:oddHBand="0" w:evenHBand="0" w:firstRowFirstColumn="0" w:firstRowLastColumn="0" w:lastRowFirstColumn="0" w:lastRowLastColumn="0"/>
            <w:tcW w:w="1431" w:type="pct"/>
            <w:tcBorders>
              <w:left w:val="single" w:sz="12" w:space="0" w:color="4BACC6" w:themeColor="accent5"/>
            </w:tcBorders>
            <w:shd w:val="clear" w:color="auto" w:fill="B8CCE4" w:themeFill="accent1" w:themeFillTint="66"/>
            <w:noWrap/>
            <w:vAlign w:val="center"/>
          </w:tcPr>
          <w:p w14:paraId="534FD069" w14:textId="77777777" w:rsidR="00B7540A" w:rsidRPr="00586097" w:rsidRDefault="00B7540A" w:rsidP="00B7540A">
            <w:pPr>
              <w:spacing w:line="276" w:lineRule="auto"/>
              <w:ind w:firstLine="31"/>
              <w:jc w:val="center"/>
            </w:pPr>
            <w:r w:rsidRPr="00586097">
              <w:t>1</w:t>
            </w:r>
          </w:p>
        </w:tc>
        <w:tc>
          <w:tcPr>
            <w:tcW w:w="445" w:type="pct"/>
            <w:shd w:val="clear" w:color="auto" w:fill="B8CCE4" w:themeFill="accent1" w:themeFillTint="66"/>
            <w:noWrap/>
            <w:vAlign w:val="center"/>
          </w:tcPr>
          <w:p w14:paraId="37FB34AC" w14:textId="77777777" w:rsidR="00B7540A" w:rsidRPr="00586097" w:rsidRDefault="00B7540A" w:rsidP="00B7540A">
            <w:pPr>
              <w:spacing w:line="276" w:lineRule="auto"/>
              <w:ind w:firstLine="31"/>
              <w:jc w:val="center"/>
              <w:cnfStyle w:val="100000000000" w:firstRow="1" w:lastRow="0" w:firstColumn="0" w:lastColumn="0" w:oddVBand="0" w:evenVBand="0" w:oddHBand="0" w:evenHBand="0" w:firstRowFirstColumn="0" w:firstRowLastColumn="0" w:lastRowFirstColumn="0" w:lastRowLastColumn="0"/>
              <w:rPr>
                <w:rFonts w:eastAsia="Calibri"/>
              </w:rPr>
            </w:pPr>
            <w:r w:rsidRPr="00586097">
              <w:rPr>
                <w:rFonts w:eastAsia="Calibri"/>
              </w:rPr>
              <w:t>2</w:t>
            </w:r>
          </w:p>
        </w:tc>
        <w:tc>
          <w:tcPr>
            <w:tcW w:w="448" w:type="pct"/>
            <w:shd w:val="clear" w:color="auto" w:fill="B8CCE4" w:themeFill="accent1" w:themeFillTint="66"/>
            <w:noWrap/>
            <w:vAlign w:val="center"/>
          </w:tcPr>
          <w:p w14:paraId="3B206CDF" w14:textId="77777777" w:rsidR="00B7540A" w:rsidRPr="00586097" w:rsidRDefault="00B7540A" w:rsidP="00B7540A">
            <w:pPr>
              <w:spacing w:line="276" w:lineRule="auto"/>
              <w:ind w:firstLine="31"/>
              <w:jc w:val="center"/>
              <w:cnfStyle w:val="100000000000" w:firstRow="1" w:lastRow="0" w:firstColumn="0" w:lastColumn="0" w:oddVBand="0" w:evenVBand="0" w:oddHBand="0" w:evenHBand="0" w:firstRowFirstColumn="0" w:firstRowLastColumn="0" w:lastRowFirstColumn="0" w:lastRowLastColumn="0"/>
            </w:pPr>
            <w:r w:rsidRPr="00586097">
              <w:t>3</w:t>
            </w:r>
          </w:p>
        </w:tc>
        <w:tc>
          <w:tcPr>
            <w:tcW w:w="445" w:type="pct"/>
            <w:shd w:val="clear" w:color="auto" w:fill="B8CCE4" w:themeFill="accent1" w:themeFillTint="66"/>
            <w:noWrap/>
            <w:vAlign w:val="center"/>
          </w:tcPr>
          <w:p w14:paraId="65FD7E4D" w14:textId="77777777" w:rsidR="00B7540A" w:rsidRPr="00586097" w:rsidRDefault="00B7540A" w:rsidP="00B7540A">
            <w:pPr>
              <w:spacing w:line="276" w:lineRule="auto"/>
              <w:ind w:firstLine="31"/>
              <w:jc w:val="center"/>
              <w:cnfStyle w:val="100000000000" w:firstRow="1" w:lastRow="0" w:firstColumn="0" w:lastColumn="0" w:oddVBand="0" w:evenVBand="0" w:oddHBand="0" w:evenHBand="0" w:firstRowFirstColumn="0" w:firstRowLastColumn="0" w:lastRowFirstColumn="0" w:lastRowLastColumn="0"/>
            </w:pPr>
            <w:r w:rsidRPr="00586097">
              <w:t>4</w:t>
            </w:r>
          </w:p>
        </w:tc>
        <w:tc>
          <w:tcPr>
            <w:tcW w:w="445" w:type="pct"/>
            <w:shd w:val="clear" w:color="auto" w:fill="B8CCE4" w:themeFill="accent1" w:themeFillTint="66"/>
            <w:noWrap/>
            <w:vAlign w:val="center"/>
          </w:tcPr>
          <w:p w14:paraId="48E34144" w14:textId="77777777" w:rsidR="00B7540A" w:rsidRPr="00586097" w:rsidRDefault="00B7540A" w:rsidP="00B7540A">
            <w:pPr>
              <w:spacing w:line="276" w:lineRule="auto"/>
              <w:ind w:firstLine="31"/>
              <w:jc w:val="center"/>
              <w:cnfStyle w:val="100000000000" w:firstRow="1" w:lastRow="0" w:firstColumn="0" w:lastColumn="0" w:oddVBand="0" w:evenVBand="0" w:oddHBand="0" w:evenHBand="0" w:firstRowFirstColumn="0" w:firstRowLastColumn="0" w:lastRowFirstColumn="0" w:lastRowLastColumn="0"/>
              <w:rPr>
                <w:rFonts w:eastAsia="Calibri"/>
              </w:rPr>
            </w:pPr>
            <w:r w:rsidRPr="00586097">
              <w:rPr>
                <w:rFonts w:eastAsia="Calibri"/>
              </w:rPr>
              <w:t>5</w:t>
            </w:r>
          </w:p>
        </w:tc>
        <w:tc>
          <w:tcPr>
            <w:tcW w:w="445" w:type="pct"/>
            <w:shd w:val="clear" w:color="auto" w:fill="B8CCE4" w:themeFill="accent1" w:themeFillTint="66"/>
            <w:noWrap/>
            <w:vAlign w:val="center"/>
          </w:tcPr>
          <w:p w14:paraId="514B99C1" w14:textId="77777777" w:rsidR="00B7540A" w:rsidRPr="00586097" w:rsidRDefault="00B7540A" w:rsidP="00B7540A">
            <w:pPr>
              <w:spacing w:line="276" w:lineRule="auto"/>
              <w:ind w:firstLine="31"/>
              <w:jc w:val="center"/>
              <w:cnfStyle w:val="100000000000" w:firstRow="1" w:lastRow="0" w:firstColumn="0" w:lastColumn="0" w:oddVBand="0" w:evenVBand="0" w:oddHBand="0" w:evenHBand="0" w:firstRowFirstColumn="0" w:firstRowLastColumn="0" w:lastRowFirstColumn="0" w:lastRowLastColumn="0"/>
            </w:pPr>
            <w:r w:rsidRPr="00586097">
              <w:t>6</w:t>
            </w:r>
          </w:p>
        </w:tc>
        <w:tc>
          <w:tcPr>
            <w:tcW w:w="445" w:type="pct"/>
            <w:shd w:val="clear" w:color="auto" w:fill="B8CCE4" w:themeFill="accent1" w:themeFillTint="66"/>
            <w:noWrap/>
            <w:vAlign w:val="center"/>
          </w:tcPr>
          <w:p w14:paraId="5C5668F6" w14:textId="77777777" w:rsidR="00B7540A" w:rsidRPr="00586097" w:rsidRDefault="00B7540A" w:rsidP="00B7540A">
            <w:pPr>
              <w:spacing w:line="276" w:lineRule="auto"/>
              <w:ind w:firstLine="31"/>
              <w:jc w:val="center"/>
              <w:cnfStyle w:val="100000000000" w:firstRow="1" w:lastRow="0" w:firstColumn="0" w:lastColumn="0" w:oddVBand="0" w:evenVBand="0" w:oddHBand="0" w:evenHBand="0" w:firstRowFirstColumn="0" w:firstRowLastColumn="0" w:lastRowFirstColumn="0" w:lastRowLastColumn="0"/>
              <w:rPr>
                <w:rFonts w:eastAsia="Calibri"/>
              </w:rPr>
            </w:pPr>
            <w:r w:rsidRPr="00586097">
              <w:rPr>
                <w:rFonts w:eastAsia="Calibri"/>
              </w:rPr>
              <w:t>7</w:t>
            </w:r>
          </w:p>
        </w:tc>
        <w:tc>
          <w:tcPr>
            <w:tcW w:w="445" w:type="pct"/>
            <w:shd w:val="clear" w:color="auto" w:fill="B8CCE4" w:themeFill="accent1" w:themeFillTint="66"/>
            <w:noWrap/>
            <w:vAlign w:val="center"/>
          </w:tcPr>
          <w:p w14:paraId="7A059C20" w14:textId="77777777" w:rsidR="00B7540A" w:rsidRPr="00586097" w:rsidRDefault="00B7540A" w:rsidP="00B7540A">
            <w:pPr>
              <w:spacing w:line="276" w:lineRule="auto"/>
              <w:ind w:firstLine="31"/>
              <w:jc w:val="center"/>
              <w:cnfStyle w:val="100000000000" w:firstRow="1" w:lastRow="0" w:firstColumn="0" w:lastColumn="0" w:oddVBand="0" w:evenVBand="0" w:oddHBand="0" w:evenHBand="0" w:firstRowFirstColumn="0" w:firstRowLastColumn="0" w:lastRowFirstColumn="0" w:lastRowLastColumn="0"/>
            </w:pPr>
            <w:r w:rsidRPr="00586097">
              <w:t>8</w:t>
            </w:r>
          </w:p>
        </w:tc>
        <w:tc>
          <w:tcPr>
            <w:tcW w:w="447" w:type="pct"/>
            <w:tcBorders>
              <w:right w:val="single" w:sz="12" w:space="0" w:color="4BACC6" w:themeColor="accent5"/>
            </w:tcBorders>
            <w:shd w:val="clear" w:color="auto" w:fill="B8CCE4" w:themeFill="accent1" w:themeFillTint="66"/>
            <w:noWrap/>
            <w:vAlign w:val="center"/>
          </w:tcPr>
          <w:p w14:paraId="44437402" w14:textId="77777777" w:rsidR="00B7540A" w:rsidRPr="00586097" w:rsidRDefault="00B7540A" w:rsidP="00B7540A">
            <w:pPr>
              <w:spacing w:line="276" w:lineRule="auto"/>
              <w:ind w:firstLine="31"/>
              <w:jc w:val="center"/>
              <w:cnfStyle w:val="100000000000" w:firstRow="1" w:lastRow="0" w:firstColumn="0" w:lastColumn="0" w:oddVBand="0" w:evenVBand="0" w:oddHBand="0" w:evenHBand="0" w:firstRowFirstColumn="0" w:firstRowLastColumn="0" w:lastRowFirstColumn="0" w:lastRowLastColumn="0"/>
              <w:rPr>
                <w:rFonts w:eastAsia="Calibri"/>
              </w:rPr>
            </w:pPr>
            <w:r w:rsidRPr="00586097">
              <w:rPr>
                <w:rFonts w:eastAsia="Calibri"/>
              </w:rPr>
              <w:t>9</w:t>
            </w:r>
          </w:p>
        </w:tc>
      </w:tr>
      <w:tr w:rsidR="00B7540A" w:rsidRPr="00586097" w14:paraId="60303C9F" w14:textId="77777777" w:rsidTr="00B7540A">
        <w:trPr>
          <w:gridAfter w:val="1"/>
          <w:wAfter w:w="4" w:type="pct"/>
          <w:trHeight w:val="345"/>
        </w:trPr>
        <w:tc>
          <w:tcPr>
            <w:cnfStyle w:val="001000000000" w:firstRow="0" w:lastRow="0" w:firstColumn="1" w:lastColumn="0" w:oddVBand="0" w:evenVBand="0" w:oddHBand="0" w:evenHBand="0" w:firstRowFirstColumn="0" w:firstRowLastColumn="0" w:lastRowFirstColumn="0" w:lastRowLastColumn="0"/>
            <w:tcW w:w="1431" w:type="pct"/>
            <w:tcBorders>
              <w:left w:val="single" w:sz="12" w:space="0" w:color="4BACC6" w:themeColor="accent5"/>
            </w:tcBorders>
            <w:noWrap/>
            <w:vAlign w:val="center"/>
            <w:hideMark/>
          </w:tcPr>
          <w:p w14:paraId="516A0DE7" w14:textId="77777777" w:rsidR="00B7540A" w:rsidRPr="00586097" w:rsidRDefault="00B7540A" w:rsidP="00B7540A">
            <w:pPr>
              <w:spacing w:line="276" w:lineRule="auto"/>
              <w:ind w:firstLine="31"/>
              <w:jc w:val="left"/>
              <w:rPr>
                <w:b w:val="0"/>
                <w:bCs w:val="0"/>
              </w:rPr>
            </w:pPr>
            <w:r w:rsidRPr="00586097">
              <w:t>Անվանական ՀՆԱ, մլրդ դրամ</w:t>
            </w:r>
          </w:p>
        </w:tc>
        <w:tc>
          <w:tcPr>
            <w:tcW w:w="445" w:type="pct"/>
            <w:noWrap/>
            <w:vAlign w:val="center"/>
          </w:tcPr>
          <w:p w14:paraId="6CA4388C"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rPr>
                <w:rFonts w:eastAsia="Calibri"/>
              </w:rPr>
              <w:t>6,181.7</w:t>
            </w:r>
          </w:p>
        </w:tc>
        <w:tc>
          <w:tcPr>
            <w:tcW w:w="448" w:type="pct"/>
            <w:noWrap/>
            <w:vAlign w:val="center"/>
          </w:tcPr>
          <w:p w14:paraId="731A46B2"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6,880.2</w:t>
            </w:r>
          </w:p>
        </w:tc>
        <w:tc>
          <w:tcPr>
            <w:tcW w:w="445" w:type="pct"/>
            <w:shd w:val="clear" w:color="auto" w:fill="B8CCE4" w:themeFill="accent1" w:themeFillTint="66"/>
            <w:noWrap/>
            <w:vAlign w:val="center"/>
          </w:tcPr>
          <w:p w14:paraId="521713F9"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7,707.6</w:t>
            </w:r>
          </w:p>
        </w:tc>
        <w:tc>
          <w:tcPr>
            <w:tcW w:w="445" w:type="pct"/>
            <w:noWrap/>
            <w:vAlign w:val="center"/>
          </w:tcPr>
          <w:p w14:paraId="5A66144B"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rPr>
                <w:rFonts w:eastAsia="Calibri"/>
              </w:rPr>
              <w:t>7,570.8</w:t>
            </w:r>
          </w:p>
        </w:tc>
        <w:tc>
          <w:tcPr>
            <w:tcW w:w="445" w:type="pct"/>
            <w:shd w:val="clear" w:color="auto" w:fill="B8CCE4" w:themeFill="accent1" w:themeFillTint="66"/>
            <w:noWrap/>
            <w:vAlign w:val="center"/>
          </w:tcPr>
          <w:p w14:paraId="19255D1C"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8,584.9</w:t>
            </w:r>
          </w:p>
        </w:tc>
        <w:tc>
          <w:tcPr>
            <w:tcW w:w="445" w:type="pct"/>
            <w:noWrap/>
            <w:vAlign w:val="center"/>
          </w:tcPr>
          <w:p w14:paraId="4971C92C"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rPr>
                <w:rFonts w:eastAsia="Calibri"/>
              </w:rPr>
              <w:t>8,171.1</w:t>
            </w:r>
          </w:p>
        </w:tc>
        <w:tc>
          <w:tcPr>
            <w:tcW w:w="445" w:type="pct"/>
            <w:shd w:val="clear" w:color="auto" w:fill="B8CCE4" w:themeFill="accent1" w:themeFillTint="66"/>
            <w:noWrap/>
            <w:vAlign w:val="center"/>
          </w:tcPr>
          <w:p w14:paraId="2D3F7A32"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9,553.1</w:t>
            </w:r>
          </w:p>
        </w:tc>
        <w:tc>
          <w:tcPr>
            <w:tcW w:w="447" w:type="pct"/>
            <w:tcBorders>
              <w:right w:val="single" w:sz="12" w:space="0" w:color="4BACC6" w:themeColor="accent5"/>
            </w:tcBorders>
            <w:noWrap/>
            <w:vAlign w:val="center"/>
          </w:tcPr>
          <w:p w14:paraId="773FA880"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rPr>
                <w:rFonts w:eastAsia="Calibri"/>
              </w:rPr>
              <w:t>8,835.4</w:t>
            </w:r>
          </w:p>
        </w:tc>
      </w:tr>
      <w:tr w:rsidR="00B7540A" w:rsidRPr="00586097" w14:paraId="1BC6A71A" w14:textId="77777777" w:rsidTr="00B7540A">
        <w:trPr>
          <w:gridAfter w:val="1"/>
          <w:wAfter w:w="4" w:type="pct"/>
          <w:trHeight w:val="345"/>
        </w:trPr>
        <w:tc>
          <w:tcPr>
            <w:cnfStyle w:val="001000000000" w:firstRow="0" w:lastRow="0" w:firstColumn="1" w:lastColumn="0" w:oddVBand="0" w:evenVBand="0" w:oddHBand="0" w:evenHBand="0" w:firstRowFirstColumn="0" w:firstRowLastColumn="0" w:lastRowFirstColumn="0" w:lastRowLastColumn="0"/>
            <w:tcW w:w="1431" w:type="pct"/>
            <w:tcBorders>
              <w:left w:val="single" w:sz="12" w:space="0" w:color="4BACC6" w:themeColor="accent5"/>
            </w:tcBorders>
            <w:shd w:val="clear" w:color="auto" w:fill="B8CCE4" w:themeFill="accent1" w:themeFillTint="66"/>
            <w:noWrap/>
            <w:vAlign w:val="center"/>
            <w:hideMark/>
          </w:tcPr>
          <w:p w14:paraId="35927EFF" w14:textId="77777777" w:rsidR="00B7540A" w:rsidRPr="00586097" w:rsidRDefault="00B7540A" w:rsidP="00B7540A">
            <w:pPr>
              <w:spacing w:line="276" w:lineRule="auto"/>
              <w:ind w:firstLine="31"/>
              <w:jc w:val="left"/>
              <w:rPr>
                <w:b w:val="0"/>
                <w:bCs w:val="0"/>
              </w:rPr>
            </w:pPr>
            <w:r w:rsidRPr="00586097">
              <w:t>Իրական ՀՆԱ աճ,%</w:t>
            </w:r>
          </w:p>
        </w:tc>
        <w:tc>
          <w:tcPr>
            <w:tcW w:w="445" w:type="pct"/>
            <w:shd w:val="clear" w:color="auto" w:fill="B8CCE4" w:themeFill="accent1" w:themeFillTint="66"/>
            <w:noWrap/>
            <w:vAlign w:val="center"/>
          </w:tcPr>
          <w:p w14:paraId="501ED14E"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rPr>
                <w:rFonts w:eastAsia="Calibri"/>
              </w:rPr>
              <w:t>-7.4</w:t>
            </w:r>
          </w:p>
        </w:tc>
        <w:tc>
          <w:tcPr>
            <w:tcW w:w="448" w:type="pct"/>
            <w:shd w:val="clear" w:color="auto" w:fill="B8CCE4" w:themeFill="accent1" w:themeFillTint="66"/>
            <w:noWrap/>
            <w:vAlign w:val="center"/>
          </w:tcPr>
          <w:p w14:paraId="495080EA"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6.0</w:t>
            </w:r>
          </w:p>
        </w:tc>
        <w:tc>
          <w:tcPr>
            <w:tcW w:w="445" w:type="pct"/>
            <w:shd w:val="clear" w:color="auto" w:fill="B8CCE4" w:themeFill="accent1" w:themeFillTint="66"/>
            <w:noWrap/>
            <w:vAlign w:val="center"/>
          </w:tcPr>
          <w:p w14:paraId="306E7A35"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7.1</w:t>
            </w:r>
          </w:p>
        </w:tc>
        <w:tc>
          <w:tcPr>
            <w:tcW w:w="445" w:type="pct"/>
            <w:shd w:val="clear" w:color="auto" w:fill="B8CCE4" w:themeFill="accent1" w:themeFillTint="66"/>
            <w:noWrap/>
            <w:vAlign w:val="center"/>
          </w:tcPr>
          <w:p w14:paraId="19531DFF"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rPr>
                <w:rFonts w:eastAsia="Calibri"/>
              </w:rPr>
              <w:t>5.2</w:t>
            </w:r>
          </w:p>
        </w:tc>
        <w:tc>
          <w:tcPr>
            <w:tcW w:w="445" w:type="pct"/>
            <w:shd w:val="clear" w:color="auto" w:fill="B8CCE4" w:themeFill="accent1" w:themeFillTint="66"/>
            <w:noWrap/>
            <w:vAlign w:val="center"/>
          </w:tcPr>
          <w:p w14:paraId="24B271D7"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7.1</w:t>
            </w:r>
          </w:p>
        </w:tc>
        <w:tc>
          <w:tcPr>
            <w:tcW w:w="445" w:type="pct"/>
            <w:shd w:val="clear" w:color="auto" w:fill="B8CCE4" w:themeFill="accent1" w:themeFillTint="66"/>
            <w:noWrap/>
            <w:vAlign w:val="center"/>
          </w:tcPr>
          <w:p w14:paraId="6CC61367"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rPr>
                <w:rFonts w:eastAsia="Calibri"/>
              </w:rPr>
              <w:t>3.7</w:t>
            </w:r>
          </w:p>
        </w:tc>
        <w:tc>
          <w:tcPr>
            <w:tcW w:w="445" w:type="pct"/>
            <w:shd w:val="clear" w:color="auto" w:fill="B8CCE4" w:themeFill="accent1" w:themeFillTint="66"/>
            <w:noWrap/>
            <w:vAlign w:val="center"/>
          </w:tcPr>
          <w:p w14:paraId="05E34F82"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7.0</w:t>
            </w:r>
          </w:p>
        </w:tc>
        <w:tc>
          <w:tcPr>
            <w:tcW w:w="447" w:type="pct"/>
            <w:tcBorders>
              <w:right w:val="single" w:sz="12" w:space="0" w:color="4BACC6" w:themeColor="accent5"/>
            </w:tcBorders>
            <w:shd w:val="clear" w:color="auto" w:fill="B8CCE4" w:themeFill="accent1" w:themeFillTint="66"/>
            <w:noWrap/>
            <w:vAlign w:val="center"/>
          </w:tcPr>
          <w:p w14:paraId="7C6DCFB7"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rPr>
                <w:rFonts w:eastAsia="Calibri"/>
              </w:rPr>
              <w:t>4.0</w:t>
            </w:r>
          </w:p>
        </w:tc>
      </w:tr>
      <w:tr w:rsidR="00B7540A" w:rsidRPr="00586097" w14:paraId="46A7D918" w14:textId="77777777" w:rsidTr="00B7540A">
        <w:trPr>
          <w:gridAfter w:val="1"/>
          <w:wAfter w:w="4" w:type="pct"/>
          <w:trHeight w:val="345"/>
        </w:trPr>
        <w:tc>
          <w:tcPr>
            <w:cnfStyle w:val="001000000000" w:firstRow="0" w:lastRow="0" w:firstColumn="1" w:lastColumn="0" w:oddVBand="0" w:evenVBand="0" w:oddHBand="0" w:evenHBand="0" w:firstRowFirstColumn="0" w:firstRowLastColumn="0" w:lastRowFirstColumn="0" w:lastRowLastColumn="0"/>
            <w:tcW w:w="1431" w:type="pct"/>
            <w:tcBorders>
              <w:left w:val="single" w:sz="12" w:space="0" w:color="4BACC6" w:themeColor="accent5"/>
            </w:tcBorders>
            <w:noWrap/>
            <w:vAlign w:val="center"/>
            <w:hideMark/>
          </w:tcPr>
          <w:p w14:paraId="2F056198" w14:textId="77777777" w:rsidR="00B7540A" w:rsidRPr="00586097" w:rsidRDefault="00B7540A" w:rsidP="00B7540A">
            <w:pPr>
              <w:spacing w:line="276" w:lineRule="auto"/>
              <w:ind w:firstLine="31"/>
              <w:jc w:val="left"/>
              <w:rPr>
                <w:b w:val="0"/>
                <w:bCs w:val="0"/>
              </w:rPr>
            </w:pPr>
            <w:r w:rsidRPr="00586097">
              <w:t>ՀՆԱ դեֆլյատոր, %</w:t>
            </w:r>
          </w:p>
        </w:tc>
        <w:tc>
          <w:tcPr>
            <w:tcW w:w="445" w:type="pct"/>
            <w:noWrap/>
            <w:vAlign w:val="center"/>
          </w:tcPr>
          <w:p w14:paraId="7C7DD331"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rPr>
                <w:rFonts w:eastAsia="Calibri"/>
              </w:rPr>
              <w:t>2.0</w:t>
            </w:r>
          </w:p>
        </w:tc>
        <w:tc>
          <w:tcPr>
            <w:tcW w:w="448" w:type="pct"/>
            <w:noWrap/>
            <w:vAlign w:val="center"/>
          </w:tcPr>
          <w:p w14:paraId="021BE9E1"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5.0</w:t>
            </w:r>
          </w:p>
        </w:tc>
        <w:tc>
          <w:tcPr>
            <w:tcW w:w="445" w:type="pct"/>
            <w:shd w:val="clear" w:color="auto" w:fill="B8CCE4" w:themeFill="accent1" w:themeFillTint="66"/>
            <w:noWrap/>
            <w:vAlign w:val="center"/>
          </w:tcPr>
          <w:p w14:paraId="03E7FF95"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4.6</w:t>
            </w:r>
          </w:p>
        </w:tc>
        <w:tc>
          <w:tcPr>
            <w:tcW w:w="445" w:type="pct"/>
            <w:noWrap/>
            <w:vAlign w:val="center"/>
          </w:tcPr>
          <w:p w14:paraId="7644BC5D"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rPr>
                <w:rFonts w:eastAsia="Calibri"/>
              </w:rPr>
              <w:t>4.6</w:t>
            </w:r>
          </w:p>
        </w:tc>
        <w:tc>
          <w:tcPr>
            <w:tcW w:w="445" w:type="pct"/>
            <w:shd w:val="clear" w:color="auto" w:fill="B8CCE4" w:themeFill="accent1" w:themeFillTint="66"/>
            <w:noWrap/>
            <w:vAlign w:val="center"/>
          </w:tcPr>
          <w:p w14:paraId="45FB2653"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4.0</w:t>
            </w:r>
          </w:p>
        </w:tc>
        <w:tc>
          <w:tcPr>
            <w:tcW w:w="445" w:type="pct"/>
            <w:noWrap/>
            <w:vAlign w:val="center"/>
          </w:tcPr>
          <w:p w14:paraId="4EFA1418"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rPr>
                <w:rFonts w:eastAsia="Calibri"/>
              </w:rPr>
              <w:t>4.0</w:t>
            </w:r>
          </w:p>
        </w:tc>
        <w:tc>
          <w:tcPr>
            <w:tcW w:w="445" w:type="pct"/>
            <w:shd w:val="clear" w:color="auto" w:fill="B8CCE4" w:themeFill="accent1" w:themeFillTint="66"/>
            <w:noWrap/>
            <w:vAlign w:val="center"/>
          </w:tcPr>
          <w:p w14:paraId="6AE1C3AB"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4.0</w:t>
            </w:r>
          </w:p>
        </w:tc>
        <w:tc>
          <w:tcPr>
            <w:tcW w:w="447" w:type="pct"/>
            <w:tcBorders>
              <w:right w:val="single" w:sz="12" w:space="0" w:color="4BACC6" w:themeColor="accent5"/>
            </w:tcBorders>
            <w:noWrap/>
            <w:vAlign w:val="center"/>
          </w:tcPr>
          <w:p w14:paraId="721C66FC"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rPr>
                <w:rFonts w:eastAsia="Calibri"/>
              </w:rPr>
              <w:t>4.0</w:t>
            </w:r>
          </w:p>
        </w:tc>
      </w:tr>
      <w:tr w:rsidR="00B7540A" w:rsidRPr="00586097" w14:paraId="19B64909" w14:textId="77777777" w:rsidTr="00B7540A">
        <w:trPr>
          <w:gridAfter w:val="1"/>
          <w:wAfter w:w="4" w:type="pct"/>
          <w:trHeight w:val="345"/>
        </w:trPr>
        <w:tc>
          <w:tcPr>
            <w:cnfStyle w:val="001000000000" w:firstRow="0" w:lastRow="0" w:firstColumn="1" w:lastColumn="0" w:oddVBand="0" w:evenVBand="0" w:oddHBand="0" w:evenHBand="0" w:firstRowFirstColumn="0" w:firstRowLastColumn="0" w:lastRowFirstColumn="0" w:lastRowLastColumn="0"/>
            <w:tcW w:w="1431" w:type="pct"/>
            <w:tcBorders>
              <w:left w:val="single" w:sz="12" w:space="0" w:color="4BACC6" w:themeColor="accent5"/>
            </w:tcBorders>
            <w:noWrap/>
            <w:vAlign w:val="center"/>
            <w:hideMark/>
          </w:tcPr>
          <w:p w14:paraId="304037D3" w14:textId="77777777" w:rsidR="00B7540A" w:rsidRPr="00586097" w:rsidRDefault="00B7540A" w:rsidP="00B7540A">
            <w:pPr>
              <w:spacing w:line="276" w:lineRule="auto"/>
              <w:ind w:firstLine="31"/>
              <w:jc w:val="left"/>
              <w:rPr>
                <w:b w:val="0"/>
                <w:bCs w:val="0"/>
              </w:rPr>
            </w:pPr>
            <w:r w:rsidRPr="00586097">
              <w:t>1 շնչին ընկնող ՀՆԱ, ԱՄՆ դոլար</w:t>
            </w:r>
          </w:p>
        </w:tc>
        <w:tc>
          <w:tcPr>
            <w:tcW w:w="445" w:type="pct"/>
            <w:noWrap/>
            <w:vAlign w:val="center"/>
          </w:tcPr>
          <w:p w14:paraId="2AAA65C8"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4269</w:t>
            </w:r>
          </w:p>
        </w:tc>
        <w:tc>
          <w:tcPr>
            <w:tcW w:w="448" w:type="pct"/>
            <w:noWrap/>
            <w:vAlign w:val="center"/>
          </w:tcPr>
          <w:p w14:paraId="660F721C"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4561</w:t>
            </w:r>
          </w:p>
        </w:tc>
        <w:tc>
          <w:tcPr>
            <w:tcW w:w="445" w:type="pct"/>
            <w:shd w:val="clear" w:color="auto" w:fill="B8CCE4" w:themeFill="accent1" w:themeFillTint="66"/>
            <w:noWrap/>
            <w:vAlign w:val="center"/>
          </w:tcPr>
          <w:p w14:paraId="79998ECF"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5054</w:t>
            </w:r>
          </w:p>
        </w:tc>
        <w:tc>
          <w:tcPr>
            <w:tcW w:w="445" w:type="pct"/>
            <w:noWrap/>
            <w:vAlign w:val="center"/>
          </w:tcPr>
          <w:p w14:paraId="130897F5"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4964</w:t>
            </w:r>
          </w:p>
        </w:tc>
        <w:tc>
          <w:tcPr>
            <w:tcW w:w="445" w:type="pct"/>
            <w:shd w:val="clear" w:color="auto" w:fill="B8CCE4" w:themeFill="accent1" w:themeFillTint="66"/>
            <w:noWrap/>
            <w:vAlign w:val="center"/>
          </w:tcPr>
          <w:p w14:paraId="4BBA561D"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5601</w:t>
            </w:r>
          </w:p>
        </w:tc>
        <w:tc>
          <w:tcPr>
            <w:tcW w:w="445" w:type="pct"/>
            <w:noWrap/>
            <w:vAlign w:val="center"/>
          </w:tcPr>
          <w:p w14:paraId="468674A5"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5331</w:t>
            </w:r>
          </w:p>
        </w:tc>
        <w:tc>
          <w:tcPr>
            <w:tcW w:w="445" w:type="pct"/>
            <w:shd w:val="clear" w:color="auto" w:fill="B8CCE4" w:themeFill="accent1" w:themeFillTint="66"/>
            <w:noWrap/>
            <w:vAlign w:val="center"/>
          </w:tcPr>
          <w:p w14:paraId="2F35BD2D"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6202</w:t>
            </w:r>
          </w:p>
        </w:tc>
        <w:tc>
          <w:tcPr>
            <w:tcW w:w="447" w:type="pct"/>
            <w:tcBorders>
              <w:right w:val="single" w:sz="12" w:space="0" w:color="4BACC6" w:themeColor="accent5"/>
            </w:tcBorders>
            <w:noWrap/>
            <w:vAlign w:val="center"/>
          </w:tcPr>
          <w:p w14:paraId="3BA73C04"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5736</w:t>
            </w:r>
          </w:p>
        </w:tc>
      </w:tr>
      <w:tr w:rsidR="00B7540A" w:rsidRPr="00586097" w14:paraId="0F7F3BC6" w14:textId="77777777" w:rsidTr="00B7540A">
        <w:trPr>
          <w:gridAfter w:val="1"/>
          <w:wAfter w:w="4" w:type="pct"/>
          <w:trHeight w:val="345"/>
        </w:trPr>
        <w:tc>
          <w:tcPr>
            <w:cnfStyle w:val="001000000000" w:firstRow="0" w:lastRow="0" w:firstColumn="1" w:lastColumn="0" w:oddVBand="0" w:evenVBand="0" w:oddHBand="0" w:evenHBand="0" w:firstRowFirstColumn="0" w:firstRowLastColumn="0" w:lastRowFirstColumn="0" w:lastRowLastColumn="0"/>
            <w:tcW w:w="1431" w:type="pct"/>
            <w:tcBorders>
              <w:left w:val="single" w:sz="12" w:space="0" w:color="4BACC6" w:themeColor="accent5"/>
            </w:tcBorders>
            <w:noWrap/>
            <w:vAlign w:val="center"/>
            <w:hideMark/>
          </w:tcPr>
          <w:p w14:paraId="011CA11C" w14:textId="77777777" w:rsidR="00B7540A" w:rsidRPr="00586097" w:rsidRDefault="00B7540A" w:rsidP="00B7540A">
            <w:pPr>
              <w:spacing w:line="276" w:lineRule="auto"/>
              <w:ind w:firstLine="31"/>
              <w:jc w:val="left"/>
              <w:rPr>
                <w:b w:val="0"/>
                <w:bCs w:val="0"/>
              </w:rPr>
            </w:pPr>
            <w:r w:rsidRPr="00586097">
              <w:t>Սպառում, % ՀՆԱ-ում</w:t>
            </w:r>
          </w:p>
        </w:tc>
        <w:tc>
          <w:tcPr>
            <w:tcW w:w="445" w:type="pct"/>
            <w:noWrap/>
            <w:vAlign w:val="center"/>
          </w:tcPr>
          <w:p w14:paraId="425D638C"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91.4</w:t>
            </w:r>
          </w:p>
        </w:tc>
        <w:tc>
          <w:tcPr>
            <w:tcW w:w="448" w:type="pct"/>
            <w:noWrap/>
            <w:vAlign w:val="center"/>
          </w:tcPr>
          <w:p w14:paraId="13C0CA6E"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93.1</w:t>
            </w:r>
          </w:p>
        </w:tc>
        <w:tc>
          <w:tcPr>
            <w:tcW w:w="445" w:type="pct"/>
            <w:shd w:val="clear" w:color="auto" w:fill="B8CCE4" w:themeFill="accent1" w:themeFillTint="66"/>
            <w:noWrap/>
            <w:vAlign w:val="center"/>
          </w:tcPr>
          <w:p w14:paraId="6622915C"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93.4</w:t>
            </w:r>
          </w:p>
        </w:tc>
        <w:tc>
          <w:tcPr>
            <w:tcW w:w="445" w:type="pct"/>
            <w:noWrap/>
            <w:vAlign w:val="center"/>
          </w:tcPr>
          <w:p w14:paraId="572F677D"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93.3</w:t>
            </w:r>
          </w:p>
        </w:tc>
        <w:tc>
          <w:tcPr>
            <w:tcW w:w="445" w:type="pct"/>
            <w:shd w:val="clear" w:color="auto" w:fill="B8CCE4" w:themeFill="accent1" w:themeFillTint="66"/>
            <w:noWrap/>
            <w:vAlign w:val="center"/>
          </w:tcPr>
          <w:p w14:paraId="50A203EC"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92.7</w:t>
            </w:r>
          </w:p>
        </w:tc>
        <w:tc>
          <w:tcPr>
            <w:tcW w:w="445" w:type="pct"/>
            <w:noWrap/>
            <w:vAlign w:val="center"/>
          </w:tcPr>
          <w:p w14:paraId="727D4295"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93.2</w:t>
            </w:r>
          </w:p>
        </w:tc>
        <w:tc>
          <w:tcPr>
            <w:tcW w:w="445" w:type="pct"/>
            <w:shd w:val="clear" w:color="auto" w:fill="B8CCE4" w:themeFill="accent1" w:themeFillTint="66"/>
            <w:noWrap/>
            <w:vAlign w:val="center"/>
          </w:tcPr>
          <w:p w14:paraId="4A7043C4"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91.0</w:t>
            </w:r>
          </w:p>
        </w:tc>
        <w:tc>
          <w:tcPr>
            <w:tcW w:w="447" w:type="pct"/>
            <w:tcBorders>
              <w:right w:val="single" w:sz="12" w:space="0" w:color="4BACC6" w:themeColor="accent5"/>
            </w:tcBorders>
            <w:noWrap/>
            <w:vAlign w:val="center"/>
          </w:tcPr>
          <w:p w14:paraId="4FE496EF"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92.7</w:t>
            </w:r>
          </w:p>
        </w:tc>
      </w:tr>
      <w:tr w:rsidR="00B7540A" w:rsidRPr="00586097" w14:paraId="3D4051B2" w14:textId="77777777" w:rsidTr="00B7540A">
        <w:trPr>
          <w:gridAfter w:val="1"/>
          <w:wAfter w:w="4" w:type="pct"/>
          <w:trHeight w:val="645"/>
        </w:trPr>
        <w:tc>
          <w:tcPr>
            <w:cnfStyle w:val="001000000000" w:firstRow="0" w:lastRow="0" w:firstColumn="1" w:lastColumn="0" w:oddVBand="0" w:evenVBand="0" w:oddHBand="0" w:evenHBand="0" w:firstRowFirstColumn="0" w:firstRowLastColumn="0" w:lastRowFirstColumn="0" w:lastRowLastColumn="0"/>
            <w:tcW w:w="1431" w:type="pct"/>
            <w:tcBorders>
              <w:left w:val="single" w:sz="12" w:space="0" w:color="4BACC6" w:themeColor="accent5"/>
            </w:tcBorders>
            <w:shd w:val="clear" w:color="auto" w:fill="B8CCE4" w:themeFill="accent1" w:themeFillTint="66"/>
            <w:vAlign w:val="center"/>
            <w:hideMark/>
          </w:tcPr>
          <w:p w14:paraId="1F24D274" w14:textId="77777777" w:rsidR="00B7540A" w:rsidRPr="00586097" w:rsidRDefault="00B7540A" w:rsidP="00B7540A">
            <w:pPr>
              <w:spacing w:line="276" w:lineRule="auto"/>
              <w:ind w:firstLine="31"/>
              <w:jc w:val="left"/>
              <w:rPr>
                <w:b w:val="0"/>
                <w:bCs w:val="0"/>
              </w:rPr>
            </w:pPr>
            <w:r w:rsidRPr="00586097">
              <w:t>Հիմնական միջոցներում</w:t>
            </w:r>
          </w:p>
          <w:p w14:paraId="62AA7678" w14:textId="77777777" w:rsidR="00B7540A" w:rsidRPr="00586097" w:rsidRDefault="00B7540A" w:rsidP="00B7540A">
            <w:pPr>
              <w:spacing w:line="276" w:lineRule="auto"/>
              <w:ind w:firstLine="31"/>
              <w:jc w:val="left"/>
              <w:rPr>
                <w:b w:val="0"/>
                <w:bCs w:val="0"/>
              </w:rPr>
            </w:pPr>
            <w:r w:rsidRPr="00586097">
              <w:t>ներդրումներ, % ՀՆԱ-ում</w:t>
            </w:r>
          </w:p>
        </w:tc>
        <w:tc>
          <w:tcPr>
            <w:tcW w:w="445" w:type="pct"/>
            <w:shd w:val="clear" w:color="auto" w:fill="B8CCE4" w:themeFill="accent1" w:themeFillTint="66"/>
            <w:noWrap/>
            <w:vAlign w:val="center"/>
          </w:tcPr>
          <w:p w14:paraId="408FBAA0"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16.6</w:t>
            </w:r>
          </w:p>
        </w:tc>
        <w:tc>
          <w:tcPr>
            <w:tcW w:w="448" w:type="pct"/>
            <w:shd w:val="clear" w:color="auto" w:fill="B8CCE4" w:themeFill="accent1" w:themeFillTint="66"/>
            <w:noWrap/>
            <w:vAlign w:val="center"/>
          </w:tcPr>
          <w:p w14:paraId="64F76E94"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16.5</w:t>
            </w:r>
          </w:p>
        </w:tc>
        <w:tc>
          <w:tcPr>
            <w:tcW w:w="445" w:type="pct"/>
            <w:shd w:val="clear" w:color="auto" w:fill="B8CCE4" w:themeFill="accent1" w:themeFillTint="66"/>
            <w:noWrap/>
            <w:vAlign w:val="center"/>
          </w:tcPr>
          <w:p w14:paraId="035A1789"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17.7</w:t>
            </w:r>
          </w:p>
        </w:tc>
        <w:tc>
          <w:tcPr>
            <w:tcW w:w="445" w:type="pct"/>
            <w:shd w:val="clear" w:color="auto" w:fill="B8CCE4" w:themeFill="accent1" w:themeFillTint="66"/>
            <w:noWrap/>
            <w:vAlign w:val="center"/>
          </w:tcPr>
          <w:p w14:paraId="3245883C"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17.0</w:t>
            </w:r>
          </w:p>
        </w:tc>
        <w:tc>
          <w:tcPr>
            <w:tcW w:w="445" w:type="pct"/>
            <w:shd w:val="clear" w:color="auto" w:fill="B8CCE4" w:themeFill="accent1" w:themeFillTint="66"/>
            <w:noWrap/>
            <w:vAlign w:val="center"/>
          </w:tcPr>
          <w:p w14:paraId="308838BE"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18.6</w:t>
            </w:r>
          </w:p>
        </w:tc>
        <w:tc>
          <w:tcPr>
            <w:tcW w:w="445" w:type="pct"/>
            <w:shd w:val="clear" w:color="auto" w:fill="B8CCE4" w:themeFill="accent1" w:themeFillTint="66"/>
            <w:noWrap/>
            <w:vAlign w:val="center"/>
          </w:tcPr>
          <w:p w14:paraId="74F5ADC8"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17.1</w:t>
            </w:r>
          </w:p>
        </w:tc>
        <w:tc>
          <w:tcPr>
            <w:tcW w:w="445" w:type="pct"/>
            <w:shd w:val="clear" w:color="auto" w:fill="B8CCE4" w:themeFill="accent1" w:themeFillTint="66"/>
            <w:noWrap/>
            <w:vAlign w:val="center"/>
          </w:tcPr>
          <w:p w14:paraId="1018CCEB"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19.4</w:t>
            </w:r>
          </w:p>
        </w:tc>
        <w:tc>
          <w:tcPr>
            <w:tcW w:w="447" w:type="pct"/>
            <w:tcBorders>
              <w:right w:val="single" w:sz="12" w:space="0" w:color="4BACC6" w:themeColor="accent5"/>
            </w:tcBorders>
            <w:shd w:val="clear" w:color="auto" w:fill="B8CCE4" w:themeFill="accent1" w:themeFillTint="66"/>
            <w:noWrap/>
            <w:vAlign w:val="center"/>
          </w:tcPr>
          <w:p w14:paraId="2279FF35"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17.4</w:t>
            </w:r>
          </w:p>
        </w:tc>
      </w:tr>
      <w:tr w:rsidR="00B7540A" w:rsidRPr="00586097" w14:paraId="21CC756E" w14:textId="77777777" w:rsidTr="00B7540A">
        <w:trPr>
          <w:gridAfter w:val="1"/>
          <w:wAfter w:w="4" w:type="pct"/>
          <w:trHeight w:val="345"/>
        </w:trPr>
        <w:tc>
          <w:tcPr>
            <w:cnfStyle w:val="001000000000" w:firstRow="0" w:lastRow="0" w:firstColumn="1" w:lastColumn="0" w:oddVBand="0" w:evenVBand="0" w:oddHBand="0" w:evenHBand="0" w:firstRowFirstColumn="0" w:firstRowLastColumn="0" w:lastRowFirstColumn="0" w:lastRowLastColumn="0"/>
            <w:tcW w:w="1431" w:type="pct"/>
            <w:tcBorders>
              <w:left w:val="single" w:sz="12" w:space="0" w:color="4BACC6" w:themeColor="accent5"/>
            </w:tcBorders>
            <w:shd w:val="clear" w:color="auto" w:fill="B8CCE4" w:themeFill="accent1" w:themeFillTint="66"/>
            <w:noWrap/>
            <w:vAlign w:val="center"/>
            <w:hideMark/>
          </w:tcPr>
          <w:p w14:paraId="678AF167" w14:textId="77777777" w:rsidR="00B7540A" w:rsidRPr="00586097" w:rsidRDefault="00B7540A" w:rsidP="00B7540A">
            <w:pPr>
              <w:spacing w:line="276" w:lineRule="auto"/>
              <w:ind w:firstLine="31"/>
              <w:jc w:val="left"/>
              <w:rPr>
                <w:b w:val="0"/>
                <w:bCs w:val="0"/>
              </w:rPr>
            </w:pPr>
            <w:r w:rsidRPr="00586097">
              <w:t>Արտահանում, % ՀՆԱ-ում</w:t>
            </w:r>
          </w:p>
        </w:tc>
        <w:tc>
          <w:tcPr>
            <w:tcW w:w="445" w:type="pct"/>
            <w:shd w:val="clear" w:color="auto" w:fill="B8CCE4" w:themeFill="accent1" w:themeFillTint="66"/>
            <w:noWrap/>
            <w:vAlign w:val="center"/>
          </w:tcPr>
          <w:p w14:paraId="585BF128"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30.2</w:t>
            </w:r>
          </w:p>
        </w:tc>
        <w:tc>
          <w:tcPr>
            <w:tcW w:w="448" w:type="pct"/>
            <w:shd w:val="clear" w:color="auto" w:fill="B8CCE4" w:themeFill="accent1" w:themeFillTint="66"/>
            <w:noWrap/>
            <w:vAlign w:val="center"/>
          </w:tcPr>
          <w:p w14:paraId="5A3F6538"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33.4</w:t>
            </w:r>
          </w:p>
        </w:tc>
        <w:tc>
          <w:tcPr>
            <w:tcW w:w="445" w:type="pct"/>
            <w:shd w:val="clear" w:color="auto" w:fill="B8CCE4" w:themeFill="accent1" w:themeFillTint="66"/>
            <w:noWrap/>
            <w:vAlign w:val="center"/>
          </w:tcPr>
          <w:p w14:paraId="4D1AFF71"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37.4</w:t>
            </w:r>
          </w:p>
        </w:tc>
        <w:tc>
          <w:tcPr>
            <w:tcW w:w="445" w:type="pct"/>
            <w:shd w:val="clear" w:color="auto" w:fill="B8CCE4" w:themeFill="accent1" w:themeFillTint="66"/>
            <w:noWrap/>
            <w:vAlign w:val="center"/>
          </w:tcPr>
          <w:p w14:paraId="1FC673AF"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35.3</w:t>
            </w:r>
          </w:p>
        </w:tc>
        <w:tc>
          <w:tcPr>
            <w:tcW w:w="445" w:type="pct"/>
            <w:shd w:val="clear" w:color="auto" w:fill="B8CCE4" w:themeFill="accent1" w:themeFillTint="66"/>
            <w:noWrap/>
            <w:vAlign w:val="center"/>
          </w:tcPr>
          <w:p w14:paraId="1B50CE0D"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40.9</w:t>
            </w:r>
          </w:p>
        </w:tc>
        <w:tc>
          <w:tcPr>
            <w:tcW w:w="445" w:type="pct"/>
            <w:shd w:val="clear" w:color="auto" w:fill="B8CCE4" w:themeFill="accent1" w:themeFillTint="66"/>
            <w:noWrap/>
            <w:vAlign w:val="center"/>
          </w:tcPr>
          <w:p w14:paraId="05FD9B86"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36.8</w:t>
            </w:r>
          </w:p>
        </w:tc>
        <w:tc>
          <w:tcPr>
            <w:tcW w:w="445" w:type="pct"/>
            <w:shd w:val="clear" w:color="auto" w:fill="B8CCE4" w:themeFill="accent1" w:themeFillTint="66"/>
            <w:noWrap/>
            <w:vAlign w:val="center"/>
          </w:tcPr>
          <w:p w14:paraId="6D440C23"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43.8</w:t>
            </w:r>
          </w:p>
        </w:tc>
        <w:tc>
          <w:tcPr>
            <w:tcW w:w="447" w:type="pct"/>
            <w:tcBorders>
              <w:right w:val="single" w:sz="12" w:space="0" w:color="4BACC6" w:themeColor="accent5"/>
            </w:tcBorders>
            <w:shd w:val="clear" w:color="auto" w:fill="B8CCE4" w:themeFill="accent1" w:themeFillTint="66"/>
            <w:noWrap/>
            <w:vAlign w:val="center"/>
          </w:tcPr>
          <w:p w14:paraId="66929E36"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37.8</w:t>
            </w:r>
          </w:p>
        </w:tc>
      </w:tr>
      <w:tr w:rsidR="00B7540A" w:rsidRPr="00586097" w14:paraId="000193FD" w14:textId="77777777" w:rsidTr="00B7540A">
        <w:trPr>
          <w:gridAfter w:val="1"/>
          <w:wAfter w:w="4" w:type="pct"/>
          <w:trHeight w:val="360"/>
        </w:trPr>
        <w:tc>
          <w:tcPr>
            <w:cnfStyle w:val="001000000000" w:firstRow="0" w:lastRow="0" w:firstColumn="1" w:lastColumn="0" w:oddVBand="0" w:evenVBand="0" w:oddHBand="0" w:evenHBand="0" w:firstRowFirstColumn="0" w:firstRowLastColumn="0" w:lastRowFirstColumn="0" w:lastRowLastColumn="0"/>
            <w:tcW w:w="1431" w:type="pct"/>
            <w:tcBorders>
              <w:left w:val="single" w:sz="12" w:space="0" w:color="4BACC6" w:themeColor="accent5"/>
            </w:tcBorders>
            <w:noWrap/>
            <w:vAlign w:val="center"/>
            <w:hideMark/>
          </w:tcPr>
          <w:p w14:paraId="3BC1C172" w14:textId="77777777" w:rsidR="00B7540A" w:rsidRPr="00586097" w:rsidRDefault="00B7540A" w:rsidP="00B7540A">
            <w:pPr>
              <w:spacing w:line="276" w:lineRule="auto"/>
              <w:ind w:firstLine="31"/>
              <w:jc w:val="left"/>
              <w:rPr>
                <w:b w:val="0"/>
                <w:bCs w:val="0"/>
              </w:rPr>
            </w:pPr>
            <w:r w:rsidRPr="00586097">
              <w:t>Ներմուծում, % ՀՆԱ-ում</w:t>
            </w:r>
          </w:p>
        </w:tc>
        <w:tc>
          <w:tcPr>
            <w:tcW w:w="445" w:type="pct"/>
            <w:noWrap/>
            <w:vAlign w:val="center"/>
          </w:tcPr>
          <w:p w14:paraId="13270D01"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39.6</w:t>
            </w:r>
          </w:p>
        </w:tc>
        <w:tc>
          <w:tcPr>
            <w:tcW w:w="448" w:type="pct"/>
            <w:noWrap/>
            <w:vAlign w:val="center"/>
          </w:tcPr>
          <w:p w14:paraId="5C2AA9FE"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43.1</w:t>
            </w:r>
          </w:p>
        </w:tc>
        <w:tc>
          <w:tcPr>
            <w:tcW w:w="445" w:type="pct"/>
            <w:shd w:val="clear" w:color="auto" w:fill="B8CCE4" w:themeFill="accent1" w:themeFillTint="66"/>
            <w:noWrap/>
            <w:vAlign w:val="center"/>
          </w:tcPr>
          <w:p w14:paraId="6BC84BD0"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48.6</w:t>
            </w:r>
          </w:p>
        </w:tc>
        <w:tc>
          <w:tcPr>
            <w:tcW w:w="445" w:type="pct"/>
            <w:noWrap/>
            <w:vAlign w:val="center"/>
          </w:tcPr>
          <w:p w14:paraId="7E1162E5"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45.6</w:t>
            </w:r>
          </w:p>
        </w:tc>
        <w:tc>
          <w:tcPr>
            <w:tcW w:w="445" w:type="pct"/>
            <w:shd w:val="clear" w:color="auto" w:fill="B8CCE4" w:themeFill="accent1" w:themeFillTint="66"/>
            <w:noWrap/>
            <w:vAlign w:val="center"/>
          </w:tcPr>
          <w:p w14:paraId="7C0BE09A"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52.2</w:t>
            </w:r>
          </w:p>
        </w:tc>
        <w:tc>
          <w:tcPr>
            <w:tcW w:w="445" w:type="pct"/>
            <w:noWrap/>
            <w:vAlign w:val="center"/>
          </w:tcPr>
          <w:p w14:paraId="6EB4660F"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47.2</w:t>
            </w:r>
          </w:p>
        </w:tc>
        <w:tc>
          <w:tcPr>
            <w:tcW w:w="445" w:type="pct"/>
            <w:shd w:val="clear" w:color="auto" w:fill="B8CCE4" w:themeFill="accent1" w:themeFillTint="66"/>
            <w:noWrap/>
            <w:vAlign w:val="center"/>
          </w:tcPr>
          <w:p w14:paraId="19BC3FDE"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54.3</w:t>
            </w:r>
          </w:p>
        </w:tc>
        <w:tc>
          <w:tcPr>
            <w:tcW w:w="447" w:type="pct"/>
            <w:tcBorders>
              <w:right w:val="single" w:sz="12" w:space="0" w:color="4BACC6" w:themeColor="accent5"/>
            </w:tcBorders>
            <w:noWrap/>
            <w:vAlign w:val="center"/>
          </w:tcPr>
          <w:p w14:paraId="65EAE935" w14:textId="77777777" w:rsidR="00B7540A" w:rsidRPr="00586097" w:rsidRDefault="00B7540A" w:rsidP="00B7540A">
            <w:pPr>
              <w:spacing w:line="276" w:lineRule="auto"/>
              <w:ind w:firstLine="31"/>
              <w:jc w:val="center"/>
              <w:cnfStyle w:val="000000000000" w:firstRow="0" w:lastRow="0" w:firstColumn="0" w:lastColumn="0" w:oddVBand="0" w:evenVBand="0" w:oddHBand="0" w:evenHBand="0" w:firstRowFirstColumn="0" w:firstRowLastColumn="0" w:lastRowFirstColumn="0" w:lastRowLastColumn="0"/>
            </w:pPr>
            <w:r w:rsidRPr="00586097">
              <w:t>47.9</w:t>
            </w:r>
          </w:p>
        </w:tc>
      </w:tr>
    </w:tbl>
    <w:p w14:paraId="5796FC71" w14:textId="77777777" w:rsidR="00B7540A" w:rsidRPr="00586097" w:rsidRDefault="00B7540A" w:rsidP="00B7540A">
      <w:pPr>
        <w:spacing w:line="276" w:lineRule="auto"/>
        <w:ind w:firstLine="0"/>
        <w:rPr>
          <w:rFonts w:eastAsia="Calibri"/>
        </w:rPr>
        <w:sectPr w:rsidR="00B7540A" w:rsidRPr="00586097" w:rsidSect="00B7540A">
          <w:pgSz w:w="16838" w:h="11906" w:orient="landscape" w:code="9"/>
          <w:pgMar w:top="1021" w:right="851" w:bottom="851" w:left="851" w:header="431" w:footer="578" w:gutter="0"/>
          <w:cols w:space="720"/>
          <w:titlePg/>
          <w:docGrid w:linePitch="360"/>
        </w:sectPr>
      </w:pPr>
    </w:p>
    <w:p w14:paraId="565F6958" w14:textId="77777777" w:rsidR="00B7540A" w:rsidRPr="00586097" w:rsidRDefault="00B7540A" w:rsidP="00B7540A">
      <w:pPr>
        <w:pStyle w:val="afa"/>
        <w:spacing w:line="276" w:lineRule="auto"/>
        <w:rPr>
          <w:rFonts w:cs="Times Armenian"/>
          <w:bCs w:val="0"/>
        </w:rPr>
      </w:pPr>
      <w:bookmarkStart w:id="170" w:name="_Toc77254384"/>
      <w:r w:rsidRPr="00586097">
        <w:t>Աղյուսակ 1.2. 2022-2024թթ. ՄԺԾԾ (ներառյալ 2022թ. պետական բյուջեի) մակրոտնտեսական շրջանակ</w:t>
      </w:r>
    </w:p>
    <w:tbl>
      <w:tblPr>
        <w:tblStyle w:val="GridTable1Light-Accent51111"/>
        <w:tblpPr w:leftFromText="180" w:rightFromText="180" w:vertAnchor="text" w:horzAnchor="margin" w:tblpX="-371" w:tblpY="47"/>
        <w:tblW w:w="11076" w:type="dxa"/>
        <w:tblBorders>
          <w:top w:val="single" w:sz="12" w:space="0" w:color="4472C4"/>
          <w:left w:val="single" w:sz="12" w:space="0" w:color="4472C4"/>
          <w:bottom w:val="single" w:sz="12" w:space="0" w:color="4472C4"/>
          <w:right w:val="single" w:sz="12" w:space="0" w:color="4472C4"/>
          <w:insideH w:val="single" w:sz="6" w:space="0" w:color="4472C4"/>
          <w:insideV w:val="single" w:sz="6" w:space="0" w:color="4472C4"/>
        </w:tblBorders>
        <w:tblLayout w:type="fixed"/>
        <w:tblLook w:val="0000" w:firstRow="0" w:lastRow="0" w:firstColumn="0" w:lastColumn="0" w:noHBand="0" w:noVBand="0"/>
      </w:tblPr>
      <w:tblGrid>
        <w:gridCol w:w="3495"/>
        <w:gridCol w:w="1080"/>
        <w:gridCol w:w="1080"/>
        <w:gridCol w:w="990"/>
        <w:gridCol w:w="1260"/>
        <w:gridCol w:w="1080"/>
        <w:gridCol w:w="990"/>
        <w:gridCol w:w="1101"/>
      </w:tblGrid>
      <w:tr w:rsidR="00D26A99" w:rsidRPr="00586097" w14:paraId="61783617" w14:textId="77777777" w:rsidTr="00D26A99">
        <w:trPr>
          <w:trHeight w:val="258"/>
        </w:trPr>
        <w:tc>
          <w:tcPr>
            <w:tcW w:w="3495" w:type="dxa"/>
            <w:vMerge w:val="restart"/>
            <w:noWrap/>
          </w:tcPr>
          <w:p w14:paraId="25594B0F" w14:textId="77777777" w:rsidR="00B7540A" w:rsidRPr="00586097" w:rsidRDefault="00B7540A" w:rsidP="00920983">
            <w:pPr>
              <w:spacing w:line="276" w:lineRule="auto"/>
              <w:ind w:firstLine="22"/>
              <w:rPr>
                <w:rFonts w:cs="Sylfaen"/>
                <w:i/>
                <w:iCs/>
              </w:rPr>
            </w:pPr>
            <w:r w:rsidRPr="00586097">
              <w:rPr>
                <w:rFonts w:cs="Sylfaen"/>
                <w:i/>
                <w:iCs/>
              </w:rPr>
              <w:t>Հիմնական մակրոտնտեսական ցուցանիշներ</w:t>
            </w:r>
          </w:p>
        </w:tc>
        <w:tc>
          <w:tcPr>
            <w:tcW w:w="1080" w:type="dxa"/>
          </w:tcPr>
          <w:p w14:paraId="6DA13C1D" w14:textId="77777777" w:rsidR="00B7540A" w:rsidRPr="00586097" w:rsidRDefault="00B7540A" w:rsidP="00920983">
            <w:pPr>
              <w:spacing w:line="276" w:lineRule="auto"/>
              <w:ind w:firstLine="0"/>
              <w:jc w:val="center"/>
              <w:rPr>
                <w:rFonts w:cs="Arial"/>
                <w:b/>
                <w:bCs/>
              </w:rPr>
            </w:pPr>
            <w:r w:rsidRPr="00586097">
              <w:rPr>
                <w:rFonts w:cs="Arial"/>
                <w:b/>
                <w:bCs/>
              </w:rPr>
              <w:t>2018</w:t>
            </w:r>
          </w:p>
        </w:tc>
        <w:tc>
          <w:tcPr>
            <w:tcW w:w="1080" w:type="dxa"/>
          </w:tcPr>
          <w:p w14:paraId="5D8C112E" w14:textId="77777777" w:rsidR="00B7540A" w:rsidRPr="00586097" w:rsidRDefault="00B7540A" w:rsidP="00920983">
            <w:pPr>
              <w:spacing w:line="276" w:lineRule="auto"/>
              <w:ind w:firstLine="0"/>
              <w:jc w:val="center"/>
              <w:rPr>
                <w:rFonts w:cs="Arial"/>
                <w:b/>
                <w:bCs/>
              </w:rPr>
            </w:pPr>
            <w:r w:rsidRPr="00586097">
              <w:rPr>
                <w:rFonts w:cs="Arial"/>
                <w:b/>
                <w:bCs/>
              </w:rPr>
              <w:t>2019</w:t>
            </w:r>
          </w:p>
        </w:tc>
        <w:tc>
          <w:tcPr>
            <w:tcW w:w="990" w:type="dxa"/>
          </w:tcPr>
          <w:p w14:paraId="617BFA3C" w14:textId="77777777" w:rsidR="00B7540A" w:rsidRPr="00586097" w:rsidRDefault="00B7540A" w:rsidP="00920983">
            <w:pPr>
              <w:spacing w:line="276" w:lineRule="auto"/>
              <w:ind w:firstLine="0"/>
              <w:jc w:val="center"/>
              <w:rPr>
                <w:rFonts w:cs="Arial"/>
                <w:b/>
                <w:bCs/>
              </w:rPr>
            </w:pPr>
            <w:r w:rsidRPr="00586097">
              <w:rPr>
                <w:rFonts w:cs="Arial"/>
                <w:b/>
                <w:bCs/>
              </w:rPr>
              <w:t>2020</w:t>
            </w:r>
          </w:p>
        </w:tc>
        <w:tc>
          <w:tcPr>
            <w:tcW w:w="1260" w:type="dxa"/>
            <w:shd w:val="clear" w:color="auto" w:fill="D9E2F3"/>
          </w:tcPr>
          <w:p w14:paraId="6C3BB88B" w14:textId="77777777" w:rsidR="00B7540A" w:rsidRPr="00586097" w:rsidRDefault="00B7540A" w:rsidP="00920983">
            <w:pPr>
              <w:spacing w:line="276" w:lineRule="auto"/>
              <w:ind w:firstLine="0"/>
              <w:jc w:val="center"/>
              <w:rPr>
                <w:rFonts w:cs="Arial"/>
                <w:b/>
                <w:bCs/>
              </w:rPr>
            </w:pPr>
            <w:r w:rsidRPr="00586097">
              <w:rPr>
                <w:rFonts w:cs="Arial"/>
                <w:b/>
                <w:bCs/>
              </w:rPr>
              <w:t>2021</w:t>
            </w:r>
          </w:p>
        </w:tc>
        <w:tc>
          <w:tcPr>
            <w:tcW w:w="1080" w:type="dxa"/>
            <w:shd w:val="clear" w:color="auto" w:fill="D9E2F3"/>
          </w:tcPr>
          <w:p w14:paraId="4A23AA27" w14:textId="77777777" w:rsidR="00B7540A" w:rsidRPr="00586097" w:rsidRDefault="00B7540A" w:rsidP="00920983">
            <w:pPr>
              <w:spacing w:line="276" w:lineRule="auto"/>
              <w:ind w:firstLine="0"/>
              <w:jc w:val="center"/>
              <w:rPr>
                <w:rFonts w:cs="Arial"/>
                <w:b/>
                <w:bCs/>
              </w:rPr>
            </w:pPr>
            <w:r w:rsidRPr="00586097">
              <w:rPr>
                <w:rFonts w:cs="Arial"/>
                <w:b/>
                <w:bCs/>
              </w:rPr>
              <w:t>2022</w:t>
            </w:r>
          </w:p>
        </w:tc>
        <w:tc>
          <w:tcPr>
            <w:tcW w:w="990" w:type="dxa"/>
            <w:shd w:val="clear" w:color="auto" w:fill="D9E2F3"/>
          </w:tcPr>
          <w:p w14:paraId="5543652C" w14:textId="77777777" w:rsidR="00B7540A" w:rsidRPr="00586097" w:rsidRDefault="00B7540A" w:rsidP="00920983">
            <w:pPr>
              <w:spacing w:line="276" w:lineRule="auto"/>
              <w:ind w:firstLine="0"/>
              <w:jc w:val="center"/>
              <w:rPr>
                <w:rFonts w:cs="Arial"/>
                <w:b/>
                <w:bCs/>
              </w:rPr>
            </w:pPr>
            <w:r w:rsidRPr="00586097">
              <w:rPr>
                <w:rFonts w:cs="Arial"/>
                <w:b/>
                <w:bCs/>
              </w:rPr>
              <w:t>2023</w:t>
            </w:r>
          </w:p>
        </w:tc>
        <w:tc>
          <w:tcPr>
            <w:tcW w:w="1101" w:type="dxa"/>
            <w:shd w:val="clear" w:color="auto" w:fill="D9E2F3"/>
          </w:tcPr>
          <w:p w14:paraId="158D1C02" w14:textId="77777777" w:rsidR="00B7540A" w:rsidRPr="00586097" w:rsidRDefault="00B7540A" w:rsidP="00920983">
            <w:pPr>
              <w:spacing w:line="276" w:lineRule="auto"/>
              <w:ind w:firstLine="0"/>
              <w:jc w:val="center"/>
              <w:rPr>
                <w:rFonts w:cs="Arial"/>
                <w:b/>
                <w:bCs/>
              </w:rPr>
            </w:pPr>
            <w:r w:rsidRPr="00586097">
              <w:rPr>
                <w:rFonts w:cs="Arial"/>
                <w:b/>
                <w:bCs/>
              </w:rPr>
              <w:t>2024</w:t>
            </w:r>
          </w:p>
        </w:tc>
      </w:tr>
      <w:tr w:rsidR="00D26A99" w:rsidRPr="00586097" w14:paraId="337B431E" w14:textId="77777777" w:rsidTr="00D26A99">
        <w:trPr>
          <w:trHeight w:val="272"/>
        </w:trPr>
        <w:tc>
          <w:tcPr>
            <w:tcW w:w="3495" w:type="dxa"/>
            <w:vMerge/>
            <w:noWrap/>
          </w:tcPr>
          <w:p w14:paraId="5BC0077D" w14:textId="77777777" w:rsidR="00B7540A" w:rsidRPr="00586097" w:rsidRDefault="00B7540A" w:rsidP="00920983">
            <w:pPr>
              <w:spacing w:line="276" w:lineRule="auto"/>
              <w:ind w:firstLine="22"/>
              <w:rPr>
                <w:rFonts w:cs="Sylfaen"/>
              </w:rPr>
            </w:pPr>
          </w:p>
        </w:tc>
        <w:tc>
          <w:tcPr>
            <w:tcW w:w="1080" w:type="dxa"/>
          </w:tcPr>
          <w:p w14:paraId="70EC3F44" w14:textId="77777777" w:rsidR="00B7540A" w:rsidRPr="00586097" w:rsidRDefault="00B7540A" w:rsidP="00920983">
            <w:pPr>
              <w:spacing w:line="276" w:lineRule="auto"/>
              <w:ind w:firstLine="0"/>
              <w:jc w:val="center"/>
              <w:rPr>
                <w:rFonts w:cs="Arial"/>
                <w:b/>
                <w:bCs/>
              </w:rPr>
            </w:pPr>
            <w:r w:rsidRPr="00586097">
              <w:rPr>
                <w:rFonts w:cs="Sylfaen"/>
                <w:b/>
              </w:rPr>
              <w:t>փաստ</w:t>
            </w:r>
          </w:p>
        </w:tc>
        <w:tc>
          <w:tcPr>
            <w:tcW w:w="1080" w:type="dxa"/>
          </w:tcPr>
          <w:p w14:paraId="32441362" w14:textId="77777777" w:rsidR="00B7540A" w:rsidRPr="00586097" w:rsidRDefault="00B7540A" w:rsidP="00920983">
            <w:pPr>
              <w:spacing w:line="276" w:lineRule="auto"/>
              <w:ind w:firstLine="0"/>
              <w:jc w:val="center"/>
              <w:rPr>
                <w:rFonts w:cs="Arial"/>
                <w:b/>
                <w:bCs/>
              </w:rPr>
            </w:pPr>
            <w:r w:rsidRPr="00586097">
              <w:rPr>
                <w:rFonts w:cs="Sylfaen"/>
                <w:b/>
              </w:rPr>
              <w:t>փաստ</w:t>
            </w:r>
          </w:p>
        </w:tc>
        <w:tc>
          <w:tcPr>
            <w:tcW w:w="990" w:type="dxa"/>
          </w:tcPr>
          <w:p w14:paraId="78A85DDB" w14:textId="77777777" w:rsidR="00B7540A" w:rsidRPr="00586097" w:rsidRDefault="00B7540A" w:rsidP="00920983">
            <w:pPr>
              <w:spacing w:line="276" w:lineRule="auto"/>
              <w:ind w:firstLine="0"/>
              <w:jc w:val="center"/>
              <w:rPr>
                <w:rFonts w:cs="Arial"/>
                <w:b/>
                <w:bCs/>
              </w:rPr>
            </w:pPr>
            <w:r w:rsidRPr="00586097">
              <w:rPr>
                <w:rFonts w:cs="Sylfaen"/>
                <w:b/>
              </w:rPr>
              <w:t>փաստ</w:t>
            </w:r>
          </w:p>
        </w:tc>
        <w:tc>
          <w:tcPr>
            <w:tcW w:w="1260" w:type="dxa"/>
            <w:shd w:val="clear" w:color="auto" w:fill="D9E2F3"/>
          </w:tcPr>
          <w:p w14:paraId="6E2590CB" w14:textId="77777777" w:rsidR="00B7540A" w:rsidRPr="00586097" w:rsidRDefault="00B7540A" w:rsidP="00920983">
            <w:pPr>
              <w:spacing w:line="276" w:lineRule="auto"/>
              <w:ind w:firstLine="0"/>
              <w:jc w:val="center"/>
              <w:rPr>
                <w:rFonts w:cs="Arial"/>
                <w:b/>
                <w:bCs/>
              </w:rPr>
            </w:pPr>
            <w:r w:rsidRPr="00586097">
              <w:rPr>
                <w:rFonts w:cs="Sylfaen"/>
                <w:b/>
              </w:rPr>
              <w:t>սպասում</w:t>
            </w:r>
          </w:p>
        </w:tc>
        <w:tc>
          <w:tcPr>
            <w:tcW w:w="1080" w:type="dxa"/>
            <w:shd w:val="clear" w:color="auto" w:fill="D9E2F3"/>
          </w:tcPr>
          <w:p w14:paraId="3230ADDD" w14:textId="77777777" w:rsidR="00B7540A" w:rsidRPr="00586097" w:rsidRDefault="00B7540A" w:rsidP="00920983">
            <w:pPr>
              <w:spacing w:line="276" w:lineRule="auto"/>
              <w:ind w:firstLine="0"/>
              <w:jc w:val="center"/>
              <w:rPr>
                <w:rFonts w:cs="Arial"/>
                <w:b/>
                <w:bCs/>
              </w:rPr>
            </w:pPr>
            <w:r w:rsidRPr="00586097">
              <w:rPr>
                <w:b/>
              </w:rPr>
              <w:t>ծրագիր</w:t>
            </w:r>
          </w:p>
        </w:tc>
        <w:tc>
          <w:tcPr>
            <w:tcW w:w="990" w:type="dxa"/>
            <w:shd w:val="clear" w:color="auto" w:fill="D9E2F3"/>
          </w:tcPr>
          <w:p w14:paraId="108AC357" w14:textId="77777777" w:rsidR="00B7540A" w:rsidRPr="00586097" w:rsidRDefault="00B7540A" w:rsidP="00920983">
            <w:pPr>
              <w:spacing w:line="276" w:lineRule="auto"/>
              <w:ind w:firstLine="0"/>
              <w:jc w:val="center"/>
              <w:rPr>
                <w:rFonts w:cs="Arial"/>
                <w:b/>
                <w:bCs/>
              </w:rPr>
            </w:pPr>
            <w:r w:rsidRPr="00586097">
              <w:rPr>
                <w:rFonts w:cs="Sylfaen"/>
                <w:b/>
              </w:rPr>
              <w:t>կանխ</w:t>
            </w:r>
            <w:r w:rsidRPr="00586097">
              <w:rPr>
                <w:b/>
              </w:rPr>
              <w:t>.</w:t>
            </w:r>
          </w:p>
        </w:tc>
        <w:tc>
          <w:tcPr>
            <w:tcW w:w="1101" w:type="dxa"/>
            <w:shd w:val="clear" w:color="auto" w:fill="D9E2F3"/>
          </w:tcPr>
          <w:p w14:paraId="3674A218" w14:textId="77777777" w:rsidR="00B7540A" w:rsidRPr="00586097" w:rsidRDefault="00B7540A" w:rsidP="00920983">
            <w:pPr>
              <w:spacing w:line="276" w:lineRule="auto"/>
              <w:ind w:firstLine="0"/>
              <w:jc w:val="center"/>
              <w:rPr>
                <w:rFonts w:cs="Arial"/>
                <w:b/>
                <w:bCs/>
              </w:rPr>
            </w:pPr>
            <w:r w:rsidRPr="00586097">
              <w:rPr>
                <w:rFonts w:cs="Sylfaen"/>
                <w:b/>
              </w:rPr>
              <w:t>կանխ</w:t>
            </w:r>
            <w:r w:rsidRPr="00586097">
              <w:rPr>
                <w:b/>
              </w:rPr>
              <w:t>.</w:t>
            </w:r>
          </w:p>
        </w:tc>
      </w:tr>
      <w:tr w:rsidR="00D26A99" w:rsidRPr="00586097" w14:paraId="7DCA8068" w14:textId="77777777" w:rsidTr="00D26A99">
        <w:trPr>
          <w:trHeight w:val="258"/>
        </w:trPr>
        <w:tc>
          <w:tcPr>
            <w:tcW w:w="3495" w:type="dxa"/>
            <w:noWrap/>
          </w:tcPr>
          <w:p w14:paraId="1ACAABEB" w14:textId="77777777" w:rsidR="00B7540A" w:rsidRPr="00586097" w:rsidRDefault="00B7540A" w:rsidP="00920983">
            <w:pPr>
              <w:spacing w:line="276" w:lineRule="auto"/>
              <w:ind w:firstLine="22"/>
              <w:rPr>
                <w:rFonts w:cs="Sylfaen"/>
                <w:b/>
                <w:bCs/>
              </w:rPr>
            </w:pPr>
            <w:r w:rsidRPr="00586097">
              <w:rPr>
                <w:rFonts w:cs="Sylfaen"/>
                <w:b/>
                <w:bCs/>
              </w:rPr>
              <w:t>Անվանական ՀՆԱ, մլրդ դրամ</w:t>
            </w:r>
          </w:p>
        </w:tc>
        <w:tc>
          <w:tcPr>
            <w:tcW w:w="1080" w:type="dxa"/>
          </w:tcPr>
          <w:p w14:paraId="6C321DED" w14:textId="77777777" w:rsidR="00B7540A" w:rsidRPr="00586097" w:rsidRDefault="00B7540A" w:rsidP="00920983">
            <w:pPr>
              <w:spacing w:line="276" w:lineRule="auto"/>
              <w:ind w:firstLine="0"/>
              <w:jc w:val="center"/>
              <w:rPr>
                <w:rFonts w:cs="Arial"/>
                <w:bCs/>
              </w:rPr>
            </w:pPr>
            <w:r w:rsidRPr="00586097">
              <w:rPr>
                <w:rFonts w:cs="Arial"/>
                <w:bCs/>
              </w:rPr>
              <w:t>6,017.0</w:t>
            </w:r>
          </w:p>
        </w:tc>
        <w:tc>
          <w:tcPr>
            <w:tcW w:w="1080" w:type="dxa"/>
          </w:tcPr>
          <w:p w14:paraId="59B2F8D8" w14:textId="77777777" w:rsidR="00B7540A" w:rsidRPr="00586097" w:rsidRDefault="00B7540A" w:rsidP="00920983">
            <w:pPr>
              <w:spacing w:line="276" w:lineRule="auto"/>
              <w:ind w:firstLine="0"/>
              <w:jc w:val="center"/>
              <w:rPr>
                <w:rFonts w:cs="Arial"/>
                <w:bCs/>
              </w:rPr>
            </w:pPr>
            <w:r w:rsidRPr="00586097">
              <w:rPr>
                <w:rFonts w:cs="Arial"/>
                <w:bCs/>
              </w:rPr>
              <w:t>6,543.3</w:t>
            </w:r>
          </w:p>
        </w:tc>
        <w:tc>
          <w:tcPr>
            <w:tcW w:w="990" w:type="dxa"/>
          </w:tcPr>
          <w:p w14:paraId="4201581A" w14:textId="77777777" w:rsidR="00B7540A" w:rsidRPr="00586097" w:rsidRDefault="00B7540A" w:rsidP="00920983">
            <w:pPr>
              <w:spacing w:line="276" w:lineRule="auto"/>
              <w:ind w:firstLine="0"/>
              <w:jc w:val="center"/>
              <w:rPr>
                <w:rFonts w:cs="Arial"/>
                <w:bCs/>
              </w:rPr>
            </w:pPr>
            <w:r w:rsidRPr="00586097">
              <w:rPr>
                <w:rFonts w:cs="Arial"/>
                <w:bCs/>
              </w:rPr>
              <w:t>6,181.7</w:t>
            </w:r>
          </w:p>
        </w:tc>
        <w:tc>
          <w:tcPr>
            <w:tcW w:w="1260" w:type="dxa"/>
            <w:shd w:val="clear" w:color="auto" w:fill="D9E2F3"/>
          </w:tcPr>
          <w:p w14:paraId="489DAAEC" w14:textId="77777777" w:rsidR="00B7540A" w:rsidRPr="00586097" w:rsidRDefault="00B7540A" w:rsidP="00920983">
            <w:pPr>
              <w:spacing w:line="276" w:lineRule="auto"/>
              <w:ind w:firstLine="0"/>
              <w:jc w:val="center"/>
              <w:rPr>
                <w:rFonts w:cs="Arial"/>
                <w:bCs/>
              </w:rPr>
            </w:pPr>
            <w:r w:rsidRPr="00586097">
              <w:rPr>
                <w:rFonts w:cs="Arial"/>
                <w:bCs/>
              </w:rPr>
              <w:t xml:space="preserve"> 6,880.2 </w:t>
            </w:r>
          </w:p>
        </w:tc>
        <w:tc>
          <w:tcPr>
            <w:tcW w:w="1080" w:type="dxa"/>
            <w:shd w:val="clear" w:color="auto" w:fill="D9E2F3"/>
          </w:tcPr>
          <w:p w14:paraId="63B2F287" w14:textId="77777777" w:rsidR="00B7540A" w:rsidRPr="00586097" w:rsidRDefault="00B7540A" w:rsidP="00920983">
            <w:pPr>
              <w:spacing w:line="276" w:lineRule="auto"/>
              <w:ind w:firstLine="0"/>
              <w:jc w:val="center"/>
              <w:rPr>
                <w:rFonts w:cs="Arial"/>
                <w:bCs/>
              </w:rPr>
            </w:pPr>
            <w:r w:rsidRPr="00586097">
              <w:rPr>
                <w:rFonts w:cs="Arial"/>
                <w:bCs/>
              </w:rPr>
              <w:t xml:space="preserve"> 7,570.8 </w:t>
            </w:r>
          </w:p>
        </w:tc>
        <w:tc>
          <w:tcPr>
            <w:tcW w:w="990" w:type="dxa"/>
            <w:shd w:val="clear" w:color="auto" w:fill="D9E2F3"/>
          </w:tcPr>
          <w:p w14:paraId="630F1A3B" w14:textId="77777777" w:rsidR="00B7540A" w:rsidRPr="00586097" w:rsidRDefault="00B7540A" w:rsidP="00920983">
            <w:pPr>
              <w:spacing w:line="276" w:lineRule="auto"/>
              <w:ind w:firstLine="0"/>
              <w:jc w:val="center"/>
              <w:rPr>
                <w:rFonts w:cs="Arial"/>
                <w:bCs/>
              </w:rPr>
            </w:pPr>
            <w:r w:rsidRPr="00586097">
              <w:rPr>
                <w:rFonts w:cs="Arial"/>
                <w:bCs/>
              </w:rPr>
              <w:t xml:space="preserve"> 8,171.1 </w:t>
            </w:r>
          </w:p>
        </w:tc>
        <w:tc>
          <w:tcPr>
            <w:tcW w:w="1101" w:type="dxa"/>
            <w:shd w:val="clear" w:color="auto" w:fill="D9E2F3"/>
          </w:tcPr>
          <w:p w14:paraId="556E2692" w14:textId="77777777" w:rsidR="00B7540A" w:rsidRPr="00586097" w:rsidRDefault="00B7540A" w:rsidP="00920983">
            <w:pPr>
              <w:spacing w:line="276" w:lineRule="auto"/>
              <w:ind w:firstLine="0"/>
              <w:jc w:val="center"/>
              <w:rPr>
                <w:rFonts w:cs="Arial"/>
                <w:bCs/>
              </w:rPr>
            </w:pPr>
            <w:r w:rsidRPr="00586097">
              <w:rPr>
                <w:rFonts w:cs="Arial"/>
                <w:bCs/>
              </w:rPr>
              <w:t xml:space="preserve"> 8,835.4 </w:t>
            </w:r>
          </w:p>
        </w:tc>
      </w:tr>
      <w:tr w:rsidR="00D26A99" w:rsidRPr="00586097" w14:paraId="7FAB554F" w14:textId="77777777" w:rsidTr="00D26A99">
        <w:trPr>
          <w:trHeight w:val="258"/>
        </w:trPr>
        <w:tc>
          <w:tcPr>
            <w:tcW w:w="3495" w:type="dxa"/>
            <w:noWrap/>
          </w:tcPr>
          <w:p w14:paraId="5CAD2006" w14:textId="77777777" w:rsidR="00B7540A" w:rsidRPr="00586097" w:rsidRDefault="00B7540A" w:rsidP="00920983">
            <w:pPr>
              <w:spacing w:line="276" w:lineRule="auto"/>
              <w:ind w:left="284" w:firstLine="22"/>
              <w:rPr>
                <w:rFonts w:cs="Sylfaen"/>
              </w:rPr>
            </w:pPr>
            <w:r w:rsidRPr="00586097">
              <w:rPr>
                <w:rFonts w:cs="Sylfaen"/>
              </w:rPr>
              <w:t>Տնտեսական աճ, %</w:t>
            </w:r>
          </w:p>
        </w:tc>
        <w:tc>
          <w:tcPr>
            <w:tcW w:w="1080" w:type="dxa"/>
          </w:tcPr>
          <w:p w14:paraId="78B264F6" w14:textId="77777777" w:rsidR="00B7540A" w:rsidRPr="00586097" w:rsidRDefault="00B7540A" w:rsidP="00920983">
            <w:pPr>
              <w:spacing w:line="276" w:lineRule="auto"/>
              <w:ind w:firstLine="0"/>
              <w:jc w:val="center"/>
              <w:rPr>
                <w:rFonts w:cs="Arial"/>
                <w:bCs/>
              </w:rPr>
            </w:pPr>
            <w:r w:rsidRPr="00586097">
              <w:rPr>
                <w:rFonts w:cs="Arial"/>
                <w:bCs/>
              </w:rPr>
              <w:t>5.2</w:t>
            </w:r>
          </w:p>
        </w:tc>
        <w:tc>
          <w:tcPr>
            <w:tcW w:w="1080" w:type="dxa"/>
          </w:tcPr>
          <w:p w14:paraId="6ED828F3" w14:textId="77777777" w:rsidR="00B7540A" w:rsidRPr="00586097" w:rsidRDefault="00B7540A" w:rsidP="00920983">
            <w:pPr>
              <w:spacing w:line="276" w:lineRule="auto"/>
              <w:ind w:firstLine="0"/>
              <w:jc w:val="center"/>
              <w:rPr>
                <w:rFonts w:cs="Arial"/>
                <w:bCs/>
              </w:rPr>
            </w:pPr>
            <w:r w:rsidRPr="00586097">
              <w:rPr>
                <w:rFonts w:cs="Arial"/>
                <w:bCs/>
              </w:rPr>
              <w:t>7.6</w:t>
            </w:r>
          </w:p>
        </w:tc>
        <w:tc>
          <w:tcPr>
            <w:tcW w:w="990" w:type="dxa"/>
          </w:tcPr>
          <w:p w14:paraId="75A7EE95" w14:textId="77777777" w:rsidR="00B7540A" w:rsidRPr="00586097" w:rsidRDefault="00B7540A" w:rsidP="00920983">
            <w:pPr>
              <w:spacing w:line="276" w:lineRule="auto"/>
              <w:ind w:firstLine="0"/>
              <w:jc w:val="center"/>
              <w:rPr>
                <w:rFonts w:cs="Arial"/>
                <w:bCs/>
              </w:rPr>
            </w:pPr>
            <w:r w:rsidRPr="00586097">
              <w:rPr>
                <w:rFonts w:cs="Arial"/>
                <w:bCs/>
              </w:rPr>
              <w:t>-7.4</w:t>
            </w:r>
          </w:p>
        </w:tc>
        <w:tc>
          <w:tcPr>
            <w:tcW w:w="1260" w:type="dxa"/>
            <w:shd w:val="clear" w:color="auto" w:fill="D9E2F3"/>
          </w:tcPr>
          <w:p w14:paraId="4678B128" w14:textId="77777777" w:rsidR="00B7540A" w:rsidRPr="00586097" w:rsidRDefault="00B7540A" w:rsidP="00920983">
            <w:pPr>
              <w:spacing w:line="276" w:lineRule="auto"/>
              <w:ind w:firstLine="0"/>
              <w:jc w:val="center"/>
              <w:rPr>
                <w:rFonts w:cs="Arial"/>
                <w:bCs/>
              </w:rPr>
            </w:pPr>
            <w:r w:rsidRPr="00586097">
              <w:rPr>
                <w:rFonts w:cs="Arial"/>
                <w:bCs/>
              </w:rPr>
              <w:t>6.0</w:t>
            </w:r>
          </w:p>
        </w:tc>
        <w:tc>
          <w:tcPr>
            <w:tcW w:w="1080" w:type="dxa"/>
            <w:shd w:val="clear" w:color="auto" w:fill="D9E2F3"/>
          </w:tcPr>
          <w:p w14:paraId="1F311C15" w14:textId="77777777" w:rsidR="00B7540A" w:rsidRPr="00586097" w:rsidRDefault="00B7540A" w:rsidP="00920983">
            <w:pPr>
              <w:spacing w:line="276" w:lineRule="auto"/>
              <w:ind w:firstLine="0"/>
              <w:jc w:val="center"/>
              <w:rPr>
                <w:rFonts w:cs="Arial"/>
                <w:bCs/>
              </w:rPr>
            </w:pPr>
            <w:r w:rsidRPr="00586097">
              <w:rPr>
                <w:rFonts w:cs="Arial"/>
                <w:bCs/>
              </w:rPr>
              <w:t>5.2</w:t>
            </w:r>
          </w:p>
        </w:tc>
        <w:tc>
          <w:tcPr>
            <w:tcW w:w="990" w:type="dxa"/>
            <w:shd w:val="clear" w:color="auto" w:fill="D9E2F3"/>
          </w:tcPr>
          <w:p w14:paraId="3A0F0F38" w14:textId="77777777" w:rsidR="00B7540A" w:rsidRPr="00586097" w:rsidRDefault="00B7540A" w:rsidP="00920983">
            <w:pPr>
              <w:spacing w:line="276" w:lineRule="auto"/>
              <w:ind w:firstLine="0"/>
              <w:jc w:val="center"/>
              <w:rPr>
                <w:rFonts w:cs="Arial"/>
                <w:bCs/>
              </w:rPr>
            </w:pPr>
            <w:r w:rsidRPr="00586097">
              <w:rPr>
                <w:rFonts w:cs="Arial"/>
                <w:bCs/>
              </w:rPr>
              <w:t>3.7</w:t>
            </w:r>
          </w:p>
        </w:tc>
        <w:tc>
          <w:tcPr>
            <w:tcW w:w="1101" w:type="dxa"/>
            <w:shd w:val="clear" w:color="auto" w:fill="D9E2F3"/>
          </w:tcPr>
          <w:p w14:paraId="6EC7BD05" w14:textId="77777777" w:rsidR="00B7540A" w:rsidRPr="00586097" w:rsidRDefault="00B7540A" w:rsidP="00920983">
            <w:pPr>
              <w:spacing w:line="276" w:lineRule="auto"/>
              <w:ind w:firstLine="0"/>
              <w:jc w:val="center"/>
              <w:rPr>
                <w:rFonts w:cs="Arial"/>
                <w:bCs/>
              </w:rPr>
            </w:pPr>
            <w:r w:rsidRPr="00586097">
              <w:rPr>
                <w:rFonts w:cs="Arial"/>
                <w:bCs/>
              </w:rPr>
              <w:t>4.0</w:t>
            </w:r>
          </w:p>
        </w:tc>
      </w:tr>
      <w:tr w:rsidR="00D26A99" w:rsidRPr="00586097" w14:paraId="1E77F02A" w14:textId="77777777" w:rsidTr="00D26A99">
        <w:trPr>
          <w:trHeight w:val="268"/>
        </w:trPr>
        <w:tc>
          <w:tcPr>
            <w:tcW w:w="3495" w:type="dxa"/>
            <w:noWrap/>
          </w:tcPr>
          <w:p w14:paraId="6AF4B880" w14:textId="77777777" w:rsidR="00B7540A" w:rsidRPr="00586097" w:rsidRDefault="00B7540A" w:rsidP="00920983">
            <w:pPr>
              <w:spacing w:line="276" w:lineRule="auto"/>
              <w:ind w:left="284" w:firstLine="22"/>
              <w:rPr>
                <w:rFonts w:cs="Sylfaen"/>
              </w:rPr>
            </w:pPr>
            <w:r w:rsidRPr="00586097">
              <w:rPr>
                <w:rFonts w:cs="Sylfaen"/>
              </w:rPr>
              <w:t>ՀՆԱ դեֆլյատորի աճ, %</w:t>
            </w:r>
          </w:p>
        </w:tc>
        <w:tc>
          <w:tcPr>
            <w:tcW w:w="1080" w:type="dxa"/>
          </w:tcPr>
          <w:p w14:paraId="4956E9A1" w14:textId="77777777" w:rsidR="00B7540A" w:rsidRPr="00586097" w:rsidRDefault="00B7540A" w:rsidP="00920983">
            <w:pPr>
              <w:spacing w:line="276" w:lineRule="auto"/>
              <w:ind w:firstLine="0"/>
              <w:jc w:val="center"/>
              <w:rPr>
                <w:rFonts w:cs="Arial"/>
                <w:bCs/>
              </w:rPr>
            </w:pPr>
            <w:r w:rsidRPr="00586097">
              <w:rPr>
                <w:rFonts w:cs="Arial"/>
                <w:bCs/>
              </w:rPr>
              <w:t>2.8</w:t>
            </w:r>
          </w:p>
        </w:tc>
        <w:tc>
          <w:tcPr>
            <w:tcW w:w="1080" w:type="dxa"/>
          </w:tcPr>
          <w:p w14:paraId="264DAB51" w14:textId="77777777" w:rsidR="00B7540A" w:rsidRPr="00586097" w:rsidRDefault="00B7540A" w:rsidP="00920983">
            <w:pPr>
              <w:spacing w:line="276" w:lineRule="auto"/>
              <w:ind w:firstLine="0"/>
              <w:jc w:val="center"/>
              <w:rPr>
                <w:rFonts w:cs="Arial"/>
                <w:bCs/>
              </w:rPr>
            </w:pPr>
            <w:r w:rsidRPr="00586097">
              <w:rPr>
                <w:rFonts w:cs="Arial"/>
                <w:bCs/>
              </w:rPr>
              <w:t>1.0</w:t>
            </w:r>
          </w:p>
        </w:tc>
        <w:tc>
          <w:tcPr>
            <w:tcW w:w="990" w:type="dxa"/>
          </w:tcPr>
          <w:p w14:paraId="0CB21680" w14:textId="77777777" w:rsidR="00B7540A" w:rsidRPr="00586097" w:rsidRDefault="00B7540A" w:rsidP="00920983">
            <w:pPr>
              <w:spacing w:line="276" w:lineRule="auto"/>
              <w:ind w:firstLine="0"/>
              <w:jc w:val="center"/>
              <w:rPr>
                <w:rFonts w:cs="Arial"/>
                <w:bCs/>
              </w:rPr>
            </w:pPr>
            <w:r w:rsidRPr="00586097">
              <w:rPr>
                <w:rFonts w:cs="Arial"/>
                <w:bCs/>
              </w:rPr>
              <w:t>2.0</w:t>
            </w:r>
          </w:p>
        </w:tc>
        <w:tc>
          <w:tcPr>
            <w:tcW w:w="1260" w:type="dxa"/>
            <w:shd w:val="clear" w:color="auto" w:fill="D9E2F3"/>
          </w:tcPr>
          <w:p w14:paraId="2715D856" w14:textId="77777777" w:rsidR="00B7540A" w:rsidRPr="00586097" w:rsidRDefault="00B7540A" w:rsidP="00920983">
            <w:pPr>
              <w:spacing w:line="276" w:lineRule="auto"/>
              <w:ind w:firstLine="0"/>
              <w:jc w:val="center"/>
              <w:rPr>
                <w:rFonts w:cs="Arial"/>
                <w:bCs/>
              </w:rPr>
            </w:pPr>
            <w:r w:rsidRPr="00586097">
              <w:rPr>
                <w:rFonts w:cs="Arial"/>
                <w:bCs/>
              </w:rPr>
              <w:t>5.0</w:t>
            </w:r>
          </w:p>
        </w:tc>
        <w:tc>
          <w:tcPr>
            <w:tcW w:w="1080" w:type="dxa"/>
            <w:shd w:val="clear" w:color="auto" w:fill="D9E2F3"/>
          </w:tcPr>
          <w:p w14:paraId="0C1918B0" w14:textId="77777777" w:rsidR="00B7540A" w:rsidRPr="00586097" w:rsidRDefault="00B7540A" w:rsidP="00920983">
            <w:pPr>
              <w:spacing w:line="276" w:lineRule="auto"/>
              <w:ind w:firstLine="0"/>
              <w:jc w:val="center"/>
              <w:rPr>
                <w:rFonts w:cs="Arial"/>
                <w:bCs/>
              </w:rPr>
            </w:pPr>
            <w:r w:rsidRPr="00586097">
              <w:rPr>
                <w:rFonts w:cs="Arial"/>
                <w:bCs/>
              </w:rPr>
              <w:t>4.6</w:t>
            </w:r>
          </w:p>
        </w:tc>
        <w:tc>
          <w:tcPr>
            <w:tcW w:w="990" w:type="dxa"/>
            <w:shd w:val="clear" w:color="auto" w:fill="D9E2F3"/>
          </w:tcPr>
          <w:p w14:paraId="39D4C951" w14:textId="77777777" w:rsidR="00B7540A" w:rsidRPr="00586097" w:rsidRDefault="00B7540A" w:rsidP="00920983">
            <w:pPr>
              <w:spacing w:line="276" w:lineRule="auto"/>
              <w:ind w:firstLine="0"/>
              <w:jc w:val="center"/>
              <w:rPr>
                <w:rFonts w:cs="Arial"/>
                <w:bCs/>
              </w:rPr>
            </w:pPr>
            <w:r w:rsidRPr="00586097">
              <w:rPr>
                <w:rFonts w:cs="Arial"/>
                <w:bCs/>
              </w:rPr>
              <w:t>4.0</w:t>
            </w:r>
          </w:p>
        </w:tc>
        <w:tc>
          <w:tcPr>
            <w:tcW w:w="1101" w:type="dxa"/>
            <w:shd w:val="clear" w:color="auto" w:fill="D9E2F3"/>
          </w:tcPr>
          <w:p w14:paraId="333BF6CD" w14:textId="77777777" w:rsidR="00B7540A" w:rsidRPr="00586097" w:rsidRDefault="00B7540A" w:rsidP="00920983">
            <w:pPr>
              <w:spacing w:line="276" w:lineRule="auto"/>
              <w:ind w:firstLine="0"/>
              <w:jc w:val="center"/>
              <w:rPr>
                <w:rFonts w:cs="Arial"/>
                <w:bCs/>
              </w:rPr>
            </w:pPr>
            <w:r w:rsidRPr="00586097">
              <w:rPr>
                <w:rFonts w:cs="Arial"/>
                <w:bCs/>
              </w:rPr>
              <w:t>4.0</w:t>
            </w:r>
          </w:p>
        </w:tc>
      </w:tr>
      <w:tr w:rsidR="00D26A99" w:rsidRPr="00586097" w14:paraId="656D01AE" w14:textId="77777777" w:rsidTr="00D26A99">
        <w:trPr>
          <w:trHeight w:val="258"/>
        </w:trPr>
        <w:tc>
          <w:tcPr>
            <w:tcW w:w="3495" w:type="dxa"/>
            <w:noWrap/>
          </w:tcPr>
          <w:p w14:paraId="7A453EFD" w14:textId="77777777" w:rsidR="00B7540A" w:rsidRPr="00586097" w:rsidRDefault="00B7540A" w:rsidP="00920983">
            <w:pPr>
              <w:spacing w:line="276" w:lineRule="auto"/>
              <w:ind w:firstLine="22"/>
              <w:rPr>
                <w:rFonts w:cs="Sylfaen"/>
              </w:rPr>
            </w:pPr>
            <w:r w:rsidRPr="00586097">
              <w:rPr>
                <w:rFonts w:cs="Sylfaen"/>
              </w:rPr>
              <w:t>Գնաճ (ժամանակաշրջանի վերջ)</w:t>
            </w:r>
            <w:r w:rsidRPr="00586097">
              <w:rPr>
                <w:rFonts w:cs="Sylfaen"/>
                <w:lang w:val="ru-RU"/>
              </w:rPr>
              <w:t>,</w:t>
            </w:r>
            <w:r w:rsidRPr="00586097">
              <w:rPr>
                <w:rFonts w:cs="Sylfaen"/>
              </w:rPr>
              <w:t xml:space="preserve"> %</w:t>
            </w:r>
          </w:p>
        </w:tc>
        <w:tc>
          <w:tcPr>
            <w:tcW w:w="1080" w:type="dxa"/>
          </w:tcPr>
          <w:p w14:paraId="4D8E77E8" w14:textId="77777777" w:rsidR="00B7540A" w:rsidRPr="00586097" w:rsidRDefault="00B7540A" w:rsidP="00920983">
            <w:pPr>
              <w:spacing w:line="276" w:lineRule="auto"/>
              <w:ind w:firstLine="0"/>
              <w:jc w:val="center"/>
              <w:rPr>
                <w:rFonts w:cs="Arial"/>
                <w:bCs/>
              </w:rPr>
            </w:pPr>
            <w:r w:rsidRPr="00586097">
              <w:rPr>
                <w:rFonts w:cs="Arial"/>
                <w:bCs/>
              </w:rPr>
              <w:t>1.8</w:t>
            </w:r>
          </w:p>
        </w:tc>
        <w:tc>
          <w:tcPr>
            <w:tcW w:w="1080" w:type="dxa"/>
          </w:tcPr>
          <w:p w14:paraId="6D9ACCD4" w14:textId="77777777" w:rsidR="00B7540A" w:rsidRPr="00586097" w:rsidRDefault="00B7540A" w:rsidP="00920983">
            <w:pPr>
              <w:spacing w:line="276" w:lineRule="auto"/>
              <w:ind w:firstLine="0"/>
              <w:jc w:val="center"/>
              <w:rPr>
                <w:rFonts w:cs="Arial"/>
                <w:bCs/>
              </w:rPr>
            </w:pPr>
            <w:r w:rsidRPr="00586097">
              <w:rPr>
                <w:rFonts w:cs="Arial"/>
                <w:bCs/>
              </w:rPr>
              <w:t>0.7</w:t>
            </w:r>
          </w:p>
        </w:tc>
        <w:tc>
          <w:tcPr>
            <w:tcW w:w="990" w:type="dxa"/>
          </w:tcPr>
          <w:p w14:paraId="66B0E124" w14:textId="77777777" w:rsidR="00B7540A" w:rsidRPr="00586097" w:rsidRDefault="00B7540A" w:rsidP="00920983">
            <w:pPr>
              <w:spacing w:line="276" w:lineRule="auto"/>
              <w:ind w:firstLine="0"/>
              <w:jc w:val="center"/>
              <w:rPr>
                <w:rFonts w:cs="Arial"/>
                <w:bCs/>
              </w:rPr>
            </w:pPr>
            <w:r w:rsidRPr="00586097">
              <w:rPr>
                <w:rFonts w:cs="Arial"/>
                <w:bCs/>
              </w:rPr>
              <w:t>3.7</w:t>
            </w:r>
          </w:p>
        </w:tc>
        <w:tc>
          <w:tcPr>
            <w:tcW w:w="1260" w:type="dxa"/>
            <w:shd w:val="clear" w:color="auto" w:fill="D9E2F3"/>
          </w:tcPr>
          <w:p w14:paraId="2ABA134C" w14:textId="77777777" w:rsidR="00B7540A" w:rsidRPr="00586097" w:rsidRDefault="00B7540A" w:rsidP="00920983">
            <w:pPr>
              <w:spacing w:line="276" w:lineRule="auto"/>
              <w:ind w:firstLine="0"/>
              <w:jc w:val="center"/>
              <w:rPr>
                <w:rFonts w:cs="Arial"/>
                <w:bCs/>
              </w:rPr>
            </w:pPr>
            <w:r w:rsidRPr="00586097">
              <w:rPr>
                <w:rFonts w:cs="Arial"/>
                <w:bCs/>
              </w:rPr>
              <w:t>5.2</w:t>
            </w:r>
          </w:p>
        </w:tc>
        <w:tc>
          <w:tcPr>
            <w:tcW w:w="1080" w:type="dxa"/>
            <w:shd w:val="clear" w:color="auto" w:fill="D9E2F3"/>
          </w:tcPr>
          <w:p w14:paraId="3F830FB2" w14:textId="77777777" w:rsidR="00B7540A" w:rsidRPr="00586097" w:rsidRDefault="00B7540A" w:rsidP="00920983">
            <w:pPr>
              <w:spacing w:line="276" w:lineRule="auto"/>
              <w:ind w:firstLine="0"/>
              <w:jc w:val="center"/>
              <w:rPr>
                <w:rFonts w:cs="Arial"/>
                <w:bCs/>
              </w:rPr>
            </w:pPr>
            <w:r w:rsidRPr="00586097">
              <w:rPr>
                <w:rFonts w:cs="Arial"/>
                <w:bCs/>
              </w:rPr>
              <w:t>4.0</w:t>
            </w:r>
          </w:p>
        </w:tc>
        <w:tc>
          <w:tcPr>
            <w:tcW w:w="990" w:type="dxa"/>
            <w:shd w:val="clear" w:color="auto" w:fill="D9E2F3"/>
          </w:tcPr>
          <w:p w14:paraId="21FDE546" w14:textId="77777777" w:rsidR="00B7540A" w:rsidRPr="00586097" w:rsidRDefault="00B7540A" w:rsidP="00920983">
            <w:pPr>
              <w:spacing w:line="276" w:lineRule="auto"/>
              <w:ind w:firstLine="0"/>
              <w:jc w:val="center"/>
              <w:rPr>
                <w:rFonts w:cs="Arial"/>
                <w:bCs/>
              </w:rPr>
            </w:pPr>
            <w:r w:rsidRPr="00586097">
              <w:rPr>
                <w:rFonts w:cs="Arial"/>
                <w:bCs/>
              </w:rPr>
              <w:t>4.0</w:t>
            </w:r>
          </w:p>
        </w:tc>
        <w:tc>
          <w:tcPr>
            <w:tcW w:w="1101" w:type="dxa"/>
            <w:shd w:val="clear" w:color="auto" w:fill="D9E2F3"/>
          </w:tcPr>
          <w:p w14:paraId="24517E75" w14:textId="77777777" w:rsidR="00B7540A" w:rsidRPr="00586097" w:rsidRDefault="00B7540A" w:rsidP="00920983">
            <w:pPr>
              <w:spacing w:line="276" w:lineRule="auto"/>
              <w:ind w:firstLine="0"/>
              <w:jc w:val="center"/>
              <w:rPr>
                <w:rFonts w:cs="Arial"/>
                <w:bCs/>
              </w:rPr>
            </w:pPr>
            <w:r w:rsidRPr="00586097">
              <w:rPr>
                <w:rFonts w:cs="Arial"/>
                <w:bCs/>
              </w:rPr>
              <w:t>4.0</w:t>
            </w:r>
          </w:p>
        </w:tc>
      </w:tr>
      <w:tr w:rsidR="00D26A99" w:rsidRPr="00586097" w14:paraId="59B7C2BD" w14:textId="77777777" w:rsidTr="00D26A99">
        <w:trPr>
          <w:trHeight w:val="265"/>
        </w:trPr>
        <w:tc>
          <w:tcPr>
            <w:tcW w:w="3495" w:type="dxa"/>
          </w:tcPr>
          <w:p w14:paraId="21E64C60" w14:textId="77777777" w:rsidR="00B7540A" w:rsidRPr="00586097" w:rsidRDefault="00B7540A" w:rsidP="00920983">
            <w:pPr>
              <w:spacing w:line="276" w:lineRule="auto"/>
              <w:ind w:firstLine="22"/>
              <w:rPr>
                <w:rFonts w:cs="Sylfaen"/>
              </w:rPr>
            </w:pPr>
            <w:r w:rsidRPr="00586097">
              <w:rPr>
                <w:rFonts w:cs="Sylfaen"/>
              </w:rPr>
              <w:t>Գնաճ (միջին), %</w:t>
            </w:r>
          </w:p>
        </w:tc>
        <w:tc>
          <w:tcPr>
            <w:tcW w:w="1080" w:type="dxa"/>
          </w:tcPr>
          <w:p w14:paraId="1B0CC263" w14:textId="77777777" w:rsidR="00B7540A" w:rsidRPr="00586097" w:rsidRDefault="00B7540A" w:rsidP="00920983">
            <w:pPr>
              <w:spacing w:line="276" w:lineRule="auto"/>
              <w:ind w:firstLine="0"/>
              <w:jc w:val="center"/>
              <w:rPr>
                <w:rFonts w:cs="Arial"/>
                <w:bCs/>
              </w:rPr>
            </w:pPr>
            <w:r w:rsidRPr="00586097">
              <w:rPr>
                <w:rFonts w:cs="Arial"/>
                <w:bCs/>
              </w:rPr>
              <w:t>2.5</w:t>
            </w:r>
          </w:p>
        </w:tc>
        <w:tc>
          <w:tcPr>
            <w:tcW w:w="1080" w:type="dxa"/>
          </w:tcPr>
          <w:p w14:paraId="538A1CB1" w14:textId="77777777" w:rsidR="00B7540A" w:rsidRPr="00586097" w:rsidRDefault="00B7540A" w:rsidP="00920983">
            <w:pPr>
              <w:spacing w:line="276" w:lineRule="auto"/>
              <w:ind w:firstLine="0"/>
              <w:jc w:val="center"/>
              <w:rPr>
                <w:rFonts w:cs="Arial"/>
                <w:bCs/>
              </w:rPr>
            </w:pPr>
            <w:r w:rsidRPr="00586097">
              <w:rPr>
                <w:rFonts w:cs="Arial"/>
                <w:bCs/>
              </w:rPr>
              <w:t>1.4</w:t>
            </w:r>
          </w:p>
        </w:tc>
        <w:tc>
          <w:tcPr>
            <w:tcW w:w="990" w:type="dxa"/>
          </w:tcPr>
          <w:p w14:paraId="747B8C23" w14:textId="77777777" w:rsidR="00B7540A" w:rsidRPr="00586097" w:rsidRDefault="00B7540A" w:rsidP="00920983">
            <w:pPr>
              <w:spacing w:line="276" w:lineRule="auto"/>
              <w:ind w:firstLine="0"/>
              <w:jc w:val="center"/>
              <w:rPr>
                <w:rFonts w:cs="Arial"/>
                <w:bCs/>
              </w:rPr>
            </w:pPr>
            <w:r w:rsidRPr="00586097">
              <w:rPr>
                <w:rFonts w:cs="Arial"/>
                <w:bCs/>
              </w:rPr>
              <w:t>1.2</w:t>
            </w:r>
          </w:p>
        </w:tc>
        <w:tc>
          <w:tcPr>
            <w:tcW w:w="1260" w:type="dxa"/>
            <w:shd w:val="clear" w:color="auto" w:fill="D9E2F3"/>
          </w:tcPr>
          <w:p w14:paraId="42BC12C0" w14:textId="77777777" w:rsidR="00B7540A" w:rsidRPr="00586097" w:rsidRDefault="00B7540A" w:rsidP="00920983">
            <w:pPr>
              <w:spacing w:line="276" w:lineRule="auto"/>
              <w:ind w:firstLine="0"/>
              <w:jc w:val="center"/>
              <w:rPr>
                <w:rFonts w:cs="Arial"/>
                <w:bCs/>
              </w:rPr>
            </w:pPr>
            <w:r w:rsidRPr="00586097">
              <w:rPr>
                <w:rFonts w:cs="Arial"/>
                <w:bCs/>
              </w:rPr>
              <w:t>5.3</w:t>
            </w:r>
          </w:p>
        </w:tc>
        <w:tc>
          <w:tcPr>
            <w:tcW w:w="1080" w:type="dxa"/>
            <w:shd w:val="clear" w:color="auto" w:fill="D9E2F3"/>
          </w:tcPr>
          <w:p w14:paraId="4428294A" w14:textId="77777777" w:rsidR="00B7540A" w:rsidRPr="00586097" w:rsidRDefault="00B7540A" w:rsidP="00920983">
            <w:pPr>
              <w:spacing w:line="276" w:lineRule="auto"/>
              <w:ind w:firstLine="0"/>
              <w:jc w:val="center"/>
              <w:rPr>
                <w:rFonts w:cs="Arial"/>
                <w:bCs/>
              </w:rPr>
            </w:pPr>
            <w:r w:rsidRPr="00586097">
              <w:rPr>
                <w:rFonts w:cs="Arial"/>
                <w:bCs/>
              </w:rPr>
              <w:t>4.1</w:t>
            </w:r>
          </w:p>
        </w:tc>
        <w:tc>
          <w:tcPr>
            <w:tcW w:w="990" w:type="dxa"/>
            <w:shd w:val="clear" w:color="auto" w:fill="D9E2F3"/>
          </w:tcPr>
          <w:p w14:paraId="53C4D80B" w14:textId="77777777" w:rsidR="00B7540A" w:rsidRPr="00586097" w:rsidRDefault="00B7540A" w:rsidP="00920983">
            <w:pPr>
              <w:spacing w:line="276" w:lineRule="auto"/>
              <w:ind w:firstLine="0"/>
              <w:jc w:val="center"/>
              <w:rPr>
                <w:rFonts w:cs="Arial"/>
                <w:bCs/>
              </w:rPr>
            </w:pPr>
            <w:r w:rsidRPr="00586097">
              <w:rPr>
                <w:rFonts w:cs="Arial"/>
                <w:bCs/>
              </w:rPr>
              <w:t>4.0</w:t>
            </w:r>
          </w:p>
        </w:tc>
        <w:tc>
          <w:tcPr>
            <w:tcW w:w="1101" w:type="dxa"/>
            <w:shd w:val="clear" w:color="auto" w:fill="D9E2F3"/>
          </w:tcPr>
          <w:p w14:paraId="41A107DF" w14:textId="77777777" w:rsidR="00B7540A" w:rsidRPr="00586097" w:rsidRDefault="00B7540A" w:rsidP="00920983">
            <w:pPr>
              <w:spacing w:line="276" w:lineRule="auto"/>
              <w:ind w:firstLine="0"/>
              <w:jc w:val="center"/>
              <w:rPr>
                <w:rFonts w:cs="Arial"/>
                <w:bCs/>
              </w:rPr>
            </w:pPr>
            <w:r w:rsidRPr="00586097">
              <w:rPr>
                <w:rFonts w:cs="Arial"/>
                <w:bCs/>
              </w:rPr>
              <w:t>4.0</w:t>
            </w:r>
          </w:p>
        </w:tc>
      </w:tr>
      <w:tr w:rsidR="00B7540A" w:rsidRPr="00586097" w14:paraId="6F1E4E2B" w14:textId="77777777" w:rsidTr="00920983">
        <w:trPr>
          <w:trHeight w:val="258"/>
        </w:trPr>
        <w:tc>
          <w:tcPr>
            <w:tcW w:w="11076" w:type="dxa"/>
            <w:gridSpan w:val="8"/>
            <w:shd w:val="clear" w:color="auto" w:fill="auto"/>
            <w:noWrap/>
          </w:tcPr>
          <w:p w14:paraId="79B6A67F" w14:textId="77777777" w:rsidR="00B7540A" w:rsidRPr="00586097" w:rsidRDefault="00B7540A" w:rsidP="00920983">
            <w:pPr>
              <w:spacing w:line="276" w:lineRule="auto"/>
              <w:ind w:firstLine="0"/>
              <w:rPr>
                <w:rFonts w:cs="Arial"/>
                <w:bCs/>
              </w:rPr>
            </w:pPr>
            <w:r w:rsidRPr="00586097">
              <w:rPr>
                <w:rFonts w:cs="Sylfaen"/>
                <w:b/>
                <w:u w:val="single"/>
              </w:rPr>
              <w:t>ՀՆԱ իրական աճն ըստ ճյուղերի ավելացված արժեքների, %</w:t>
            </w:r>
          </w:p>
        </w:tc>
      </w:tr>
      <w:tr w:rsidR="00D26A99" w:rsidRPr="00586097" w14:paraId="7B774E02" w14:textId="77777777" w:rsidTr="00D26A99">
        <w:trPr>
          <w:trHeight w:val="295"/>
        </w:trPr>
        <w:tc>
          <w:tcPr>
            <w:tcW w:w="3495" w:type="dxa"/>
            <w:noWrap/>
          </w:tcPr>
          <w:p w14:paraId="78A9C785" w14:textId="77777777" w:rsidR="00B7540A" w:rsidRPr="00586097" w:rsidRDefault="00B7540A" w:rsidP="00920983">
            <w:pPr>
              <w:spacing w:line="276" w:lineRule="auto"/>
              <w:ind w:firstLineChars="100" w:firstLine="220"/>
              <w:rPr>
                <w:rFonts w:cs="Sylfaen"/>
              </w:rPr>
            </w:pPr>
            <w:r w:rsidRPr="00586097">
              <w:rPr>
                <w:rFonts w:cs="Sylfaen"/>
              </w:rPr>
              <w:t>Արդյունաբերություն</w:t>
            </w:r>
          </w:p>
        </w:tc>
        <w:tc>
          <w:tcPr>
            <w:tcW w:w="1080" w:type="dxa"/>
            <w:vAlign w:val="center"/>
          </w:tcPr>
          <w:p w14:paraId="24583BEB" w14:textId="77777777" w:rsidR="00B7540A" w:rsidRPr="00586097" w:rsidRDefault="00B7540A" w:rsidP="00920983">
            <w:pPr>
              <w:spacing w:line="276" w:lineRule="auto"/>
              <w:ind w:firstLine="0"/>
              <w:jc w:val="center"/>
              <w:rPr>
                <w:rFonts w:cs="Arial"/>
                <w:bCs/>
              </w:rPr>
            </w:pPr>
            <w:r w:rsidRPr="00586097">
              <w:t>4.9</w:t>
            </w:r>
          </w:p>
        </w:tc>
        <w:tc>
          <w:tcPr>
            <w:tcW w:w="1080" w:type="dxa"/>
            <w:vAlign w:val="center"/>
          </w:tcPr>
          <w:p w14:paraId="67FF70EC" w14:textId="77777777" w:rsidR="00B7540A" w:rsidRPr="00586097" w:rsidRDefault="00B7540A" w:rsidP="00920983">
            <w:pPr>
              <w:spacing w:line="276" w:lineRule="auto"/>
              <w:ind w:firstLine="0"/>
              <w:jc w:val="center"/>
              <w:rPr>
                <w:rFonts w:cs="Arial"/>
                <w:bCs/>
              </w:rPr>
            </w:pPr>
            <w:r w:rsidRPr="00586097">
              <w:t>11.9</w:t>
            </w:r>
          </w:p>
        </w:tc>
        <w:tc>
          <w:tcPr>
            <w:tcW w:w="990" w:type="dxa"/>
            <w:vAlign w:val="center"/>
          </w:tcPr>
          <w:p w14:paraId="4D9C03AC" w14:textId="77777777" w:rsidR="00B7540A" w:rsidRPr="00586097" w:rsidRDefault="00B7540A" w:rsidP="00920983">
            <w:pPr>
              <w:spacing w:line="276" w:lineRule="auto"/>
              <w:ind w:firstLine="0"/>
              <w:jc w:val="center"/>
              <w:rPr>
                <w:rFonts w:cs="Arial"/>
                <w:bCs/>
              </w:rPr>
            </w:pPr>
            <w:r w:rsidRPr="00586097">
              <w:t>-1.7</w:t>
            </w:r>
          </w:p>
        </w:tc>
        <w:tc>
          <w:tcPr>
            <w:tcW w:w="1260" w:type="dxa"/>
            <w:shd w:val="clear" w:color="auto" w:fill="D9E2F3"/>
          </w:tcPr>
          <w:p w14:paraId="7545B393" w14:textId="77777777" w:rsidR="00B7540A" w:rsidRPr="00586097" w:rsidRDefault="00B7540A" w:rsidP="00920983">
            <w:pPr>
              <w:spacing w:line="276" w:lineRule="auto"/>
              <w:ind w:firstLine="0"/>
              <w:jc w:val="center"/>
              <w:rPr>
                <w:rFonts w:cs="Arial"/>
                <w:bCs/>
              </w:rPr>
            </w:pPr>
            <w:r w:rsidRPr="00586097">
              <w:t>4.9</w:t>
            </w:r>
          </w:p>
        </w:tc>
        <w:tc>
          <w:tcPr>
            <w:tcW w:w="1080" w:type="dxa"/>
            <w:shd w:val="clear" w:color="auto" w:fill="D9E2F3"/>
          </w:tcPr>
          <w:p w14:paraId="0E07034B" w14:textId="77777777" w:rsidR="00B7540A" w:rsidRPr="00586097" w:rsidRDefault="00B7540A" w:rsidP="00920983">
            <w:pPr>
              <w:spacing w:line="276" w:lineRule="auto"/>
              <w:ind w:firstLine="0"/>
              <w:jc w:val="center"/>
              <w:rPr>
                <w:rFonts w:cs="Arial"/>
                <w:bCs/>
              </w:rPr>
            </w:pPr>
            <w:r w:rsidRPr="00586097">
              <w:t>6.0</w:t>
            </w:r>
          </w:p>
        </w:tc>
        <w:tc>
          <w:tcPr>
            <w:tcW w:w="990" w:type="dxa"/>
            <w:shd w:val="clear" w:color="auto" w:fill="D9E2F3"/>
          </w:tcPr>
          <w:p w14:paraId="3E161582" w14:textId="77777777" w:rsidR="00B7540A" w:rsidRPr="00586097" w:rsidRDefault="00B7540A" w:rsidP="00920983">
            <w:pPr>
              <w:spacing w:line="276" w:lineRule="auto"/>
              <w:ind w:firstLine="0"/>
              <w:jc w:val="center"/>
              <w:rPr>
                <w:rFonts w:cs="Arial"/>
                <w:bCs/>
              </w:rPr>
            </w:pPr>
            <w:r w:rsidRPr="00586097">
              <w:t>4.3</w:t>
            </w:r>
          </w:p>
        </w:tc>
        <w:tc>
          <w:tcPr>
            <w:tcW w:w="1101" w:type="dxa"/>
            <w:shd w:val="clear" w:color="auto" w:fill="D9E2F3"/>
          </w:tcPr>
          <w:p w14:paraId="7043FE15" w14:textId="77777777" w:rsidR="00B7540A" w:rsidRPr="00586097" w:rsidRDefault="00B7540A" w:rsidP="00920983">
            <w:pPr>
              <w:spacing w:line="276" w:lineRule="auto"/>
              <w:ind w:firstLine="0"/>
              <w:jc w:val="center"/>
              <w:rPr>
                <w:rFonts w:cs="Arial"/>
                <w:bCs/>
              </w:rPr>
            </w:pPr>
            <w:r w:rsidRPr="00586097">
              <w:t>4.4</w:t>
            </w:r>
          </w:p>
        </w:tc>
      </w:tr>
      <w:tr w:rsidR="00D26A99" w:rsidRPr="00586097" w14:paraId="78AE8168" w14:textId="77777777" w:rsidTr="00D26A99">
        <w:trPr>
          <w:trHeight w:val="258"/>
        </w:trPr>
        <w:tc>
          <w:tcPr>
            <w:tcW w:w="3495" w:type="dxa"/>
          </w:tcPr>
          <w:p w14:paraId="2AF88F99" w14:textId="77777777" w:rsidR="00B7540A" w:rsidRPr="00586097" w:rsidRDefault="00B7540A" w:rsidP="00920983">
            <w:pPr>
              <w:spacing w:line="276" w:lineRule="auto"/>
              <w:ind w:firstLineChars="100" w:firstLine="220"/>
              <w:rPr>
                <w:rFonts w:cs="Sylfaen"/>
              </w:rPr>
            </w:pPr>
            <w:r w:rsidRPr="00586097">
              <w:rPr>
                <w:rFonts w:cs="Sylfaen"/>
              </w:rPr>
              <w:t xml:space="preserve">Գյուղատնտեսություն </w:t>
            </w:r>
          </w:p>
        </w:tc>
        <w:tc>
          <w:tcPr>
            <w:tcW w:w="1080" w:type="dxa"/>
            <w:vAlign w:val="center"/>
          </w:tcPr>
          <w:p w14:paraId="1CA9B794" w14:textId="77777777" w:rsidR="00B7540A" w:rsidRPr="00586097" w:rsidRDefault="00B7540A" w:rsidP="00920983">
            <w:pPr>
              <w:spacing w:line="276" w:lineRule="auto"/>
              <w:ind w:firstLine="0"/>
              <w:jc w:val="center"/>
              <w:rPr>
                <w:rFonts w:cs="Arial"/>
                <w:bCs/>
              </w:rPr>
            </w:pPr>
            <w:r w:rsidRPr="00586097">
              <w:t>-6.9</w:t>
            </w:r>
          </w:p>
        </w:tc>
        <w:tc>
          <w:tcPr>
            <w:tcW w:w="1080" w:type="dxa"/>
            <w:vAlign w:val="center"/>
          </w:tcPr>
          <w:p w14:paraId="35F457D2" w14:textId="77777777" w:rsidR="00B7540A" w:rsidRPr="00586097" w:rsidRDefault="00B7540A" w:rsidP="00920983">
            <w:pPr>
              <w:spacing w:line="276" w:lineRule="auto"/>
              <w:ind w:firstLine="0"/>
              <w:jc w:val="center"/>
              <w:rPr>
                <w:rFonts w:cs="Arial"/>
                <w:bCs/>
              </w:rPr>
            </w:pPr>
            <w:r w:rsidRPr="00586097">
              <w:t>-5.8</w:t>
            </w:r>
          </w:p>
        </w:tc>
        <w:tc>
          <w:tcPr>
            <w:tcW w:w="990" w:type="dxa"/>
            <w:vAlign w:val="center"/>
          </w:tcPr>
          <w:p w14:paraId="79D9EFD3" w14:textId="77777777" w:rsidR="00B7540A" w:rsidRPr="00586097" w:rsidRDefault="00B7540A" w:rsidP="00920983">
            <w:pPr>
              <w:spacing w:line="276" w:lineRule="auto"/>
              <w:ind w:firstLine="0"/>
              <w:jc w:val="center"/>
              <w:rPr>
                <w:rFonts w:cs="Arial"/>
                <w:bCs/>
              </w:rPr>
            </w:pPr>
            <w:r w:rsidRPr="00586097">
              <w:t>-4.1</w:t>
            </w:r>
          </w:p>
        </w:tc>
        <w:tc>
          <w:tcPr>
            <w:tcW w:w="1260" w:type="dxa"/>
            <w:shd w:val="clear" w:color="auto" w:fill="D9E2F3"/>
          </w:tcPr>
          <w:p w14:paraId="38D25801" w14:textId="77777777" w:rsidR="00B7540A" w:rsidRPr="00586097" w:rsidRDefault="00B7540A" w:rsidP="00920983">
            <w:pPr>
              <w:spacing w:line="276" w:lineRule="auto"/>
              <w:ind w:firstLine="0"/>
              <w:jc w:val="center"/>
              <w:rPr>
                <w:rFonts w:cs="Arial"/>
                <w:bCs/>
              </w:rPr>
            </w:pPr>
            <w:r w:rsidRPr="00586097">
              <w:t>3.1</w:t>
            </w:r>
          </w:p>
        </w:tc>
        <w:tc>
          <w:tcPr>
            <w:tcW w:w="1080" w:type="dxa"/>
            <w:shd w:val="clear" w:color="auto" w:fill="D9E2F3"/>
          </w:tcPr>
          <w:p w14:paraId="7886FCFF" w14:textId="77777777" w:rsidR="00B7540A" w:rsidRPr="00586097" w:rsidRDefault="00B7540A" w:rsidP="00920983">
            <w:pPr>
              <w:spacing w:line="276" w:lineRule="auto"/>
              <w:ind w:firstLine="0"/>
              <w:jc w:val="center"/>
              <w:rPr>
                <w:rFonts w:cs="Arial"/>
                <w:bCs/>
              </w:rPr>
            </w:pPr>
            <w:r w:rsidRPr="00586097">
              <w:t>2.5</w:t>
            </w:r>
          </w:p>
        </w:tc>
        <w:tc>
          <w:tcPr>
            <w:tcW w:w="990" w:type="dxa"/>
            <w:shd w:val="clear" w:color="auto" w:fill="D9E2F3"/>
          </w:tcPr>
          <w:p w14:paraId="6DA4AC48" w14:textId="77777777" w:rsidR="00B7540A" w:rsidRPr="00586097" w:rsidRDefault="00B7540A" w:rsidP="00920983">
            <w:pPr>
              <w:spacing w:line="276" w:lineRule="auto"/>
              <w:ind w:firstLine="0"/>
              <w:jc w:val="center"/>
              <w:rPr>
                <w:rFonts w:cs="Arial"/>
                <w:bCs/>
              </w:rPr>
            </w:pPr>
            <w:r w:rsidRPr="00586097">
              <w:t>2.3</w:t>
            </w:r>
          </w:p>
        </w:tc>
        <w:tc>
          <w:tcPr>
            <w:tcW w:w="1101" w:type="dxa"/>
            <w:shd w:val="clear" w:color="auto" w:fill="D9E2F3"/>
          </w:tcPr>
          <w:p w14:paraId="61724ADA" w14:textId="77777777" w:rsidR="00B7540A" w:rsidRPr="00586097" w:rsidRDefault="00B7540A" w:rsidP="00920983">
            <w:pPr>
              <w:spacing w:line="276" w:lineRule="auto"/>
              <w:ind w:firstLine="0"/>
              <w:jc w:val="center"/>
              <w:rPr>
                <w:rFonts w:cs="Arial"/>
                <w:bCs/>
              </w:rPr>
            </w:pPr>
            <w:r w:rsidRPr="00586097">
              <w:t>2.5</w:t>
            </w:r>
          </w:p>
        </w:tc>
      </w:tr>
      <w:tr w:rsidR="00D26A99" w:rsidRPr="00586097" w14:paraId="41EF7D43" w14:textId="77777777" w:rsidTr="00D26A99">
        <w:trPr>
          <w:trHeight w:val="258"/>
        </w:trPr>
        <w:tc>
          <w:tcPr>
            <w:tcW w:w="3495" w:type="dxa"/>
            <w:noWrap/>
          </w:tcPr>
          <w:p w14:paraId="59A7686B" w14:textId="77777777" w:rsidR="00B7540A" w:rsidRPr="00586097" w:rsidRDefault="00B7540A" w:rsidP="00920983">
            <w:pPr>
              <w:spacing w:line="276" w:lineRule="auto"/>
              <w:ind w:firstLineChars="100" w:firstLine="220"/>
              <w:rPr>
                <w:rFonts w:cs="Sylfaen"/>
              </w:rPr>
            </w:pPr>
            <w:r w:rsidRPr="00586097">
              <w:rPr>
                <w:rFonts w:cs="Sylfaen"/>
              </w:rPr>
              <w:t xml:space="preserve">Շինարարություն </w:t>
            </w:r>
          </w:p>
        </w:tc>
        <w:tc>
          <w:tcPr>
            <w:tcW w:w="1080" w:type="dxa"/>
            <w:vAlign w:val="center"/>
          </w:tcPr>
          <w:p w14:paraId="065DB19B" w14:textId="77777777" w:rsidR="00B7540A" w:rsidRPr="00586097" w:rsidRDefault="00B7540A" w:rsidP="00920983">
            <w:pPr>
              <w:spacing w:line="276" w:lineRule="auto"/>
              <w:ind w:firstLine="0"/>
              <w:jc w:val="center"/>
              <w:rPr>
                <w:rFonts w:cs="Arial"/>
                <w:bCs/>
              </w:rPr>
            </w:pPr>
            <w:r w:rsidRPr="00586097">
              <w:t>0.6</w:t>
            </w:r>
          </w:p>
        </w:tc>
        <w:tc>
          <w:tcPr>
            <w:tcW w:w="1080" w:type="dxa"/>
            <w:vAlign w:val="center"/>
          </w:tcPr>
          <w:p w14:paraId="53734DE4" w14:textId="77777777" w:rsidR="00B7540A" w:rsidRPr="00586097" w:rsidRDefault="00B7540A" w:rsidP="00920983">
            <w:pPr>
              <w:spacing w:line="276" w:lineRule="auto"/>
              <w:ind w:firstLine="0"/>
              <w:jc w:val="center"/>
              <w:rPr>
                <w:rFonts w:cs="Arial"/>
                <w:bCs/>
              </w:rPr>
            </w:pPr>
            <w:r w:rsidRPr="00586097">
              <w:t>6.5</w:t>
            </w:r>
          </w:p>
        </w:tc>
        <w:tc>
          <w:tcPr>
            <w:tcW w:w="990" w:type="dxa"/>
            <w:vAlign w:val="center"/>
          </w:tcPr>
          <w:p w14:paraId="098001B8" w14:textId="77777777" w:rsidR="00B7540A" w:rsidRPr="00586097" w:rsidRDefault="00B7540A" w:rsidP="00920983">
            <w:pPr>
              <w:spacing w:line="276" w:lineRule="auto"/>
              <w:ind w:firstLine="0"/>
              <w:jc w:val="center"/>
              <w:rPr>
                <w:rFonts w:cs="Arial"/>
                <w:bCs/>
              </w:rPr>
            </w:pPr>
            <w:r w:rsidRPr="00586097">
              <w:t>-6.7</w:t>
            </w:r>
          </w:p>
        </w:tc>
        <w:tc>
          <w:tcPr>
            <w:tcW w:w="1260" w:type="dxa"/>
            <w:shd w:val="clear" w:color="auto" w:fill="D9E2F3"/>
          </w:tcPr>
          <w:p w14:paraId="0ECE93D0" w14:textId="77777777" w:rsidR="00B7540A" w:rsidRPr="00586097" w:rsidRDefault="00B7540A" w:rsidP="00920983">
            <w:pPr>
              <w:spacing w:line="276" w:lineRule="auto"/>
              <w:ind w:firstLine="0"/>
              <w:jc w:val="center"/>
              <w:rPr>
                <w:rFonts w:cs="Arial"/>
                <w:bCs/>
              </w:rPr>
            </w:pPr>
            <w:r w:rsidRPr="00586097">
              <w:t>5.5</w:t>
            </w:r>
          </w:p>
        </w:tc>
        <w:tc>
          <w:tcPr>
            <w:tcW w:w="1080" w:type="dxa"/>
            <w:shd w:val="clear" w:color="auto" w:fill="D9E2F3"/>
          </w:tcPr>
          <w:p w14:paraId="26094D3C" w14:textId="77777777" w:rsidR="00B7540A" w:rsidRPr="00586097" w:rsidRDefault="00B7540A" w:rsidP="00920983">
            <w:pPr>
              <w:spacing w:line="276" w:lineRule="auto"/>
              <w:ind w:firstLine="0"/>
              <w:jc w:val="center"/>
              <w:rPr>
                <w:rFonts w:cs="Arial"/>
                <w:bCs/>
              </w:rPr>
            </w:pPr>
            <w:r w:rsidRPr="00586097">
              <w:t>6.3</w:t>
            </w:r>
          </w:p>
        </w:tc>
        <w:tc>
          <w:tcPr>
            <w:tcW w:w="990" w:type="dxa"/>
            <w:shd w:val="clear" w:color="auto" w:fill="D9E2F3"/>
          </w:tcPr>
          <w:p w14:paraId="4DE4B2E4" w14:textId="77777777" w:rsidR="00B7540A" w:rsidRPr="00586097" w:rsidRDefault="00B7540A" w:rsidP="00920983">
            <w:pPr>
              <w:spacing w:line="276" w:lineRule="auto"/>
              <w:ind w:firstLine="0"/>
              <w:jc w:val="center"/>
              <w:rPr>
                <w:rFonts w:cs="Arial"/>
                <w:bCs/>
              </w:rPr>
            </w:pPr>
            <w:r w:rsidRPr="00586097">
              <w:t>3.2</w:t>
            </w:r>
          </w:p>
        </w:tc>
        <w:tc>
          <w:tcPr>
            <w:tcW w:w="1101" w:type="dxa"/>
            <w:shd w:val="clear" w:color="auto" w:fill="D9E2F3"/>
          </w:tcPr>
          <w:p w14:paraId="59AFA23A" w14:textId="77777777" w:rsidR="00B7540A" w:rsidRPr="00586097" w:rsidRDefault="00B7540A" w:rsidP="00920983">
            <w:pPr>
              <w:spacing w:line="276" w:lineRule="auto"/>
              <w:ind w:firstLine="0"/>
              <w:jc w:val="center"/>
              <w:rPr>
                <w:rFonts w:cs="Arial"/>
                <w:bCs/>
              </w:rPr>
            </w:pPr>
            <w:r w:rsidRPr="00586097">
              <w:t>5.2</w:t>
            </w:r>
          </w:p>
        </w:tc>
      </w:tr>
      <w:tr w:rsidR="00D26A99" w:rsidRPr="00586097" w14:paraId="6FBD68D2" w14:textId="77777777" w:rsidTr="00D26A99">
        <w:trPr>
          <w:trHeight w:val="258"/>
        </w:trPr>
        <w:tc>
          <w:tcPr>
            <w:tcW w:w="3495" w:type="dxa"/>
            <w:noWrap/>
          </w:tcPr>
          <w:p w14:paraId="1BA5464A" w14:textId="77777777" w:rsidR="00B7540A" w:rsidRPr="00586097" w:rsidRDefault="00B7540A" w:rsidP="00920983">
            <w:pPr>
              <w:spacing w:line="276" w:lineRule="auto"/>
              <w:ind w:firstLineChars="100" w:firstLine="220"/>
              <w:rPr>
                <w:rFonts w:cs="Sylfaen"/>
              </w:rPr>
            </w:pPr>
            <w:r w:rsidRPr="00586097">
              <w:rPr>
                <w:rFonts w:cs="Sylfaen"/>
              </w:rPr>
              <w:t>Ծառայություններ</w:t>
            </w:r>
          </w:p>
        </w:tc>
        <w:tc>
          <w:tcPr>
            <w:tcW w:w="1080" w:type="dxa"/>
            <w:vAlign w:val="center"/>
          </w:tcPr>
          <w:p w14:paraId="2E863B48" w14:textId="77777777" w:rsidR="00B7540A" w:rsidRPr="00586097" w:rsidRDefault="00B7540A" w:rsidP="00920983">
            <w:pPr>
              <w:spacing w:line="276" w:lineRule="auto"/>
              <w:ind w:firstLine="0"/>
              <w:jc w:val="center"/>
              <w:rPr>
                <w:rFonts w:cs="Arial"/>
                <w:bCs/>
              </w:rPr>
            </w:pPr>
            <w:r w:rsidRPr="00586097">
              <w:t>9.1</w:t>
            </w:r>
          </w:p>
        </w:tc>
        <w:tc>
          <w:tcPr>
            <w:tcW w:w="1080" w:type="dxa"/>
            <w:vAlign w:val="center"/>
          </w:tcPr>
          <w:p w14:paraId="6E9D0E0C" w14:textId="77777777" w:rsidR="00B7540A" w:rsidRPr="00586097" w:rsidRDefault="00B7540A" w:rsidP="00920983">
            <w:pPr>
              <w:spacing w:line="276" w:lineRule="auto"/>
              <w:ind w:firstLine="0"/>
              <w:jc w:val="center"/>
              <w:rPr>
                <w:rFonts w:cs="Arial"/>
                <w:bCs/>
              </w:rPr>
            </w:pPr>
            <w:r w:rsidRPr="00586097">
              <w:t>10.0</w:t>
            </w:r>
          </w:p>
        </w:tc>
        <w:tc>
          <w:tcPr>
            <w:tcW w:w="990" w:type="dxa"/>
            <w:vAlign w:val="center"/>
          </w:tcPr>
          <w:p w14:paraId="1A30DAD9" w14:textId="77777777" w:rsidR="00B7540A" w:rsidRPr="00586097" w:rsidRDefault="00B7540A" w:rsidP="00920983">
            <w:pPr>
              <w:spacing w:line="276" w:lineRule="auto"/>
              <w:ind w:firstLine="0"/>
              <w:jc w:val="center"/>
              <w:rPr>
                <w:rFonts w:cs="Arial"/>
                <w:bCs/>
              </w:rPr>
            </w:pPr>
            <w:r w:rsidRPr="00586097">
              <w:t>-9.7</w:t>
            </w:r>
          </w:p>
        </w:tc>
        <w:tc>
          <w:tcPr>
            <w:tcW w:w="1260" w:type="dxa"/>
            <w:shd w:val="clear" w:color="auto" w:fill="D9E2F3"/>
          </w:tcPr>
          <w:p w14:paraId="5F486D4E" w14:textId="77777777" w:rsidR="00B7540A" w:rsidRPr="00586097" w:rsidRDefault="00B7540A" w:rsidP="00920983">
            <w:pPr>
              <w:spacing w:line="276" w:lineRule="auto"/>
              <w:ind w:firstLine="0"/>
              <w:jc w:val="center"/>
              <w:rPr>
                <w:rFonts w:cs="Arial"/>
                <w:bCs/>
              </w:rPr>
            </w:pPr>
            <w:r w:rsidRPr="00586097">
              <w:t>7.0</w:t>
            </w:r>
          </w:p>
        </w:tc>
        <w:tc>
          <w:tcPr>
            <w:tcW w:w="1080" w:type="dxa"/>
            <w:shd w:val="clear" w:color="auto" w:fill="D9E2F3"/>
          </w:tcPr>
          <w:p w14:paraId="78962532" w14:textId="77777777" w:rsidR="00B7540A" w:rsidRPr="00586097" w:rsidRDefault="00B7540A" w:rsidP="00920983">
            <w:pPr>
              <w:spacing w:line="276" w:lineRule="auto"/>
              <w:ind w:firstLine="0"/>
              <w:jc w:val="center"/>
              <w:rPr>
                <w:rFonts w:cs="Arial"/>
                <w:bCs/>
              </w:rPr>
            </w:pPr>
            <w:r w:rsidRPr="00586097">
              <w:t>5.3</w:t>
            </w:r>
          </w:p>
        </w:tc>
        <w:tc>
          <w:tcPr>
            <w:tcW w:w="990" w:type="dxa"/>
            <w:shd w:val="clear" w:color="auto" w:fill="D9E2F3"/>
          </w:tcPr>
          <w:p w14:paraId="331DE387" w14:textId="77777777" w:rsidR="00B7540A" w:rsidRPr="00586097" w:rsidRDefault="00B7540A" w:rsidP="00920983">
            <w:pPr>
              <w:spacing w:line="276" w:lineRule="auto"/>
              <w:ind w:firstLine="0"/>
              <w:jc w:val="center"/>
              <w:rPr>
                <w:rFonts w:cs="Arial"/>
                <w:bCs/>
              </w:rPr>
            </w:pPr>
            <w:r w:rsidRPr="00586097">
              <w:t>3.9</w:t>
            </w:r>
          </w:p>
        </w:tc>
        <w:tc>
          <w:tcPr>
            <w:tcW w:w="1101" w:type="dxa"/>
            <w:shd w:val="clear" w:color="auto" w:fill="D9E2F3"/>
          </w:tcPr>
          <w:p w14:paraId="1CAE8F55" w14:textId="77777777" w:rsidR="00B7540A" w:rsidRPr="00586097" w:rsidRDefault="00B7540A" w:rsidP="00920983">
            <w:pPr>
              <w:spacing w:line="276" w:lineRule="auto"/>
              <w:ind w:firstLine="0"/>
              <w:jc w:val="center"/>
              <w:rPr>
                <w:rFonts w:cs="Arial"/>
                <w:bCs/>
              </w:rPr>
            </w:pPr>
            <w:r w:rsidRPr="00586097">
              <w:t>4.0</w:t>
            </w:r>
          </w:p>
        </w:tc>
      </w:tr>
      <w:tr w:rsidR="00D26A99" w:rsidRPr="00586097" w14:paraId="417BDBBD" w14:textId="77777777" w:rsidTr="00D26A99">
        <w:trPr>
          <w:trHeight w:val="258"/>
        </w:trPr>
        <w:tc>
          <w:tcPr>
            <w:tcW w:w="3495" w:type="dxa"/>
            <w:noWrap/>
          </w:tcPr>
          <w:p w14:paraId="506B424A" w14:textId="77777777" w:rsidR="00B7540A" w:rsidRPr="00586097" w:rsidRDefault="00B7540A" w:rsidP="00920983">
            <w:pPr>
              <w:spacing w:line="276" w:lineRule="auto"/>
              <w:ind w:firstLineChars="100" w:firstLine="220"/>
              <w:rPr>
                <w:rFonts w:cs="Sylfaen"/>
              </w:rPr>
            </w:pPr>
            <w:r w:rsidRPr="00586097">
              <w:rPr>
                <w:rFonts w:cs="Sylfaen"/>
              </w:rPr>
              <w:t>Զուտ հարկեր</w:t>
            </w:r>
          </w:p>
        </w:tc>
        <w:tc>
          <w:tcPr>
            <w:tcW w:w="1080" w:type="dxa"/>
            <w:vAlign w:val="center"/>
          </w:tcPr>
          <w:p w14:paraId="3DDAF06B" w14:textId="77777777" w:rsidR="00B7540A" w:rsidRPr="00586097" w:rsidRDefault="00B7540A" w:rsidP="00920983">
            <w:pPr>
              <w:spacing w:line="276" w:lineRule="auto"/>
              <w:ind w:firstLine="0"/>
              <w:jc w:val="center"/>
              <w:rPr>
                <w:rFonts w:cs="Arial"/>
                <w:bCs/>
              </w:rPr>
            </w:pPr>
            <w:r w:rsidRPr="00586097">
              <w:t>8.0</w:t>
            </w:r>
          </w:p>
        </w:tc>
        <w:tc>
          <w:tcPr>
            <w:tcW w:w="1080" w:type="dxa"/>
            <w:vAlign w:val="center"/>
          </w:tcPr>
          <w:p w14:paraId="1346030E" w14:textId="77777777" w:rsidR="00B7540A" w:rsidRPr="00586097" w:rsidRDefault="00B7540A" w:rsidP="00920983">
            <w:pPr>
              <w:spacing w:line="276" w:lineRule="auto"/>
              <w:ind w:firstLine="0"/>
              <w:jc w:val="center"/>
              <w:rPr>
                <w:rFonts w:cs="Arial"/>
                <w:bCs/>
              </w:rPr>
            </w:pPr>
            <w:r w:rsidRPr="00586097">
              <w:t>7.1</w:t>
            </w:r>
          </w:p>
        </w:tc>
        <w:tc>
          <w:tcPr>
            <w:tcW w:w="990" w:type="dxa"/>
            <w:vAlign w:val="center"/>
          </w:tcPr>
          <w:p w14:paraId="7FEFDCD1" w14:textId="77777777" w:rsidR="00B7540A" w:rsidRPr="00586097" w:rsidRDefault="00B7540A" w:rsidP="00920983">
            <w:pPr>
              <w:spacing w:line="276" w:lineRule="auto"/>
              <w:ind w:firstLine="0"/>
              <w:jc w:val="center"/>
              <w:rPr>
                <w:rFonts w:cs="Arial"/>
                <w:bCs/>
              </w:rPr>
            </w:pPr>
            <w:r w:rsidRPr="00586097">
              <w:t>-10.0</w:t>
            </w:r>
          </w:p>
        </w:tc>
        <w:tc>
          <w:tcPr>
            <w:tcW w:w="1260" w:type="dxa"/>
            <w:shd w:val="clear" w:color="auto" w:fill="D9E2F3"/>
          </w:tcPr>
          <w:p w14:paraId="2FF728A0" w14:textId="77777777" w:rsidR="00B7540A" w:rsidRPr="00586097" w:rsidRDefault="00B7540A" w:rsidP="00920983">
            <w:pPr>
              <w:spacing w:line="276" w:lineRule="auto"/>
              <w:ind w:firstLine="0"/>
              <w:jc w:val="center"/>
              <w:rPr>
                <w:rFonts w:cs="Arial"/>
                <w:bCs/>
              </w:rPr>
            </w:pPr>
            <w:r w:rsidRPr="00586097">
              <w:t>6.5</w:t>
            </w:r>
          </w:p>
        </w:tc>
        <w:tc>
          <w:tcPr>
            <w:tcW w:w="1080" w:type="dxa"/>
            <w:shd w:val="clear" w:color="auto" w:fill="D9E2F3"/>
          </w:tcPr>
          <w:p w14:paraId="37DE4EC7" w14:textId="77777777" w:rsidR="00B7540A" w:rsidRPr="00586097" w:rsidRDefault="00B7540A" w:rsidP="00920983">
            <w:pPr>
              <w:spacing w:line="276" w:lineRule="auto"/>
              <w:ind w:firstLine="0"/>
              <w:jc w:val="center"/>
              <w:rPr>
                <w:rFonts w:cs="Arial"/>
                <w:bCs/>
              </w:rPr>
            </w:pPr>
            <w:r w:rsidRPr="00586097">
              <w:t>5.3</w:t>
            </w:r>
          </w:p>
        </w:tc>
        <w:tc>
          <w:tcPr>
            <w:tcW w:w="990" w:type="dxa"/>
            <w:shd w:val="clear" w:color="auto" w:fill="D9E2F3"/>
          </w:tcPr>
          <w:p w14:paraId="6680FB29" w14:textId="77777777" w:rsidR="00B7540A" w:rsidRPr="00586097" w:rsidRDefault="00B7540A" w:rsidP="00920983">
            <w:pPr>
              <w:spacing w:line="276" w:lineRule="auto"/>
              <w:ind w:firstLine="0"/>
              <w:jc w:val="center"/>
              <w:rPr>
                <w:rFonts w:cs="Arial"/>
                <w:bCs/>
              </w:rPr>
            </w:pPr>
            <w:r w:rsidRPr="00586097">
              <w:t>3.8</w:t>
            </w:r>
          </w:p>
        </w:tc>
        <w:tc>
          <w:tcPr>
            <w:tcW w:w="1101" w:type="dxa"/>
            <w:shd w:val="clear" w:color="auto" w:fill="D9E2F3"/>
          </w:tcPr>
          <w:p w14:paraId="7D30500C" w14:textId="77777777" w:rsidR="00B7540A" w:rsidRPr="00586097" w:rsidRDefault="00B7540A" w:rsidP="00920983">
            <w:pPr>
              <w:spacing w:line="276" w:lineRule="auto"/>
              <w:ind w:firstLine="0"/>
              <w:jc w:val="center"/>
              <w:rPr>
                <w:rFonts w:cs="Arial"/>
                <w:bCs/>
              </w:rPr>
            </w:pPr>
            <w:r w:rsidRPr="00586097">
              <w:t>3.9</w:t>
            </w:r>
          </w:p>
        </w:tc>
      </w:tr>
      <w:tr w:rsidR="00B7540A" w:rsidRPr="00586097" w14:paraId="54547D23" w14:textId="77777777" w:rsidTr="00920983">
        <w:trPr>
          <w:trHeight w:val="258"/>
        </w:trPr>
        <w:tc>
          <w:tcPr>
            <w:tcW w:w="11076" w:type="dxa"/>
            <w:gridSpan w:val="8"/>
            <w:shd w:val="clear" w:color="auto" w:fill="auto"/>
            <w:noWrap/>
          </w:tcPr>
          <w:p w14:paraId="47A9B368" w14:textId="77777777" w:rsidR="00B7540A" w:rsidRPr="00586097" w:rsidRDefault="00B7540A" w:rsidP="00920983">
            <w:pPr>
              <w:spacing w:line="276" w:lineRule="auto"/>
              <w:ind w:firstLine="0"/>
              <w:rPr>
                <w:rFonts w:cs="Arial"/>
                <w:bCs/>
                <w:highlight w:val="yellow"/>
              </w:rPr>
            </w:pPr>
            <w:r w:rsidRPr="00586097">
              <w:rPr>
                <w:rFonts w:cs="Sylfaen"/>
                <w:b/>
                <w:u w:val="single"/>
              </w:rPr>
              <w:t>ՀՆԱ ծախսային բաղադրիչների իրական աճերը, %</w:t>
            </w:r>
          </w:p>
        </w:tc>
      </w:tr>
      <w:tr w:rsidR="00D26A99" w:rsidRPr="00586097" w14:paraId="70F86894" w14:textId="77777777" w:rsidTr="00D26A99">
        <w:trPr>
          <w:trHeight w:val="258"/>
        </w:trPr>
        <w:tc>
          <w:tcPr>
            <w:tcW w:w="3495" w:type="dxa"/>
          </w:tcPr>
          <w:p w14:paraId="4851982F" w14:textId="77777777" w:rsidR="00B7540A" w:rsidRPr="00586097" w:rsidRDefault="00B7540A" w:rsidP="00920983">
            <w:pPr>
              <w:spacing w:line="276" w:lineRule="auto"/>
              <w:ind w:firstLine="22"/>
              <w:rPr>
                <w:rFonts w:cs="Sylfaen"/>
              </w:rPr>
            </w:pPr>
            <w:r w:rsidRPr="00586097">
              <w:rPr>
                <w:rFonts w:cs="Sylfaen"/>
              </w:rPr>
              <w:t>Վերջնական սպառում</w:t>
            </w:r>
          </w:p>
        </w:tc>
        <w:tc>
          <w:tcPr>
            <w:tcW w:w="1080" w:type="dxa"/>
          </w:tcPr>
          <w:p w14:paraId="7D480F33" w14:textId="77777777" w:rsidR="00B7540A" w:rsidRPr="00586097" w:rsidRDefault="00B7540A" w:rsidP="00920983">
            <w:pPr>
              <w:spacing w:line="276" w:lineRule="auto"/>
              <w:ind w:firstLine="0"/>
              <w:jc w:val="center"/>
              <w:rPr>
                <w:rFonts w:cs="Arial"/>
                <w:bCs/>
              </w:rPr>
            </w:pPr>
            <w:r w:rsidRPr="00586097">
              <w:rPr>
                <w:rFonts w:cs="Arial"/>
                <w:bCs/>
              </w:rPr>
              <w:t>3.8</w:t>
            </w:r>
          </w:p>
        </w:tc>
        <w:tc>
          <w:tcPr>
            <w:tcW w:w="1080" w:type="dxa"/>
          </w:tcPr>
          <w:p w14:paraId="507C0658" w14:textId="77777777" w:rsidR="00B7540A" w:rsidRPr="00586097" w:rsidRDefault="00B7540A" w:rsidP="00920983">
            <w:pPr>
              <w:spacing w:line="276" w:lineRule="auto"/>
              <w:ind w:firstLine="0"/>
              <w:jc w:val="center"/>
              <w:rPr>
                <w:rFonts w:cs="Arial"/>
                <w:bCs/>
              </w:rPr>
            </w:pPr>
            <w:r w:rsidRPr="00586097">
              <w:rPr>
                <w:rFonts w:cs="Arial"/>
                <w:bCs/>
              </w:rPr>
              <w:t>11.7</w:t>
            </w:r>
          </w:p>
        </w:tc>
        <w:tc>
          <w:tcPr>
            <w:tcW w:w="990" w:type="dxa"/>
          </w:tcPr>
          <w:p w14:paraId="410C50AF" w14:textId="77777777" w:rsidR="00B7540A" w:rsidRPr="00586097" w:rsidRDefault="00B7540A" w:rsidP="00920983">
            <w:pPr>
              <w:spacing w:line="276" w:lineRule="auto"/>
              <w:ind w:firstLine="0"/>
              <w:jc w:val="center"/>
              <w:rPr>
                <w:rFonts w:cs="Arial"/>
                <w:bCs/>
              </w:rPr>
            </w:pPr>
            <w:r w:rsidRPr="00586097">
              <w:rPr>
                <w:rFonts w:cs="Arial"/>
                <w:bCs/>
              </w:rPr>
              <w:t>-10.1</w:t>
            </w:r>
          </w:p>
        </w:tc>
        <w:tc>
          <w:tcPr>
            <w:tcW w:w="1260" w:type="dxa"/>
            <w:shd w:val="clear" w:color="auto" w:fill="D9E2F3"/>
          </w:tcPr>
          <w:p w14:paraId="108026F0" w14:textId="77777777" w:rsidR="00B7540A" w:rsidRPr="00586097" w:rsidRDefault="00B7540A" w:rsidP="00920983">
            <w:pPr>
              <w:spacing w:line="276" w:lineRule="auto"/>
              <w:ind w:firstLine="0"/>
              <w:jc w:val="center"/>
              <w:rPr>
                <w:rFonts w:cs="Arial"/>
                <w:bCs/>
              </w:rPr>
            </w:pPr>
            <w:r w:rsidRPr="00586097">
              <w:rPr>
                <w:rFonts w:cs="Arial"/>
                <w:bCs/>
              </w:rPr>
              <w:t>7.7</w:t>
            </w:r>
          </w:p>
        </w:tc>
        <w:tc>
          <w:tcPr>
            <w:tcW w:w="1080" w:type="dxa"/>
            <w:shd w:val="clear" w:color="auto" w:fill="D9E2F3"/>
          </w:tcPr>
          <w:p w14:paraId="1F62851B" w14:textId="77777777" w:rsidR="00B7540A" w:rsidRPr="00586097" w:rsidRDefault="00B7540A" w:rsidP="00920983">
            <w:pPr>
              <w:spacing w:line="276" w:lineRule="auto"/>
              <w:ind w:firstLine="0"/>
              <w:jc w:val="center"/>
              <w:rPr>
                <w:rFonts w:cs="Arial"/>
                <w:bCs/>
              </w:rPr>
            </w:pPr>
            <w:r w:rsidRPr="00586097">
              <w:rPr>
                <w:rFonts w:cs="Arial"/>
                <w:bCs/>
              </w:rPr>
              <w:t>6.0</w:t>
            </w:r>
          </w:p>
        </w:tc>
        <w:tc>
          <w:tcPr>
            <w:tcW w:w="990" w:type="dxa"/>
            <w:shd w:val="clear" w:color="auto" w:fill="D9E2F3"/>
          </w:tcPr>
          <w:p w14:paraId="21990DF7" w14:textId="77777777" w:rsidR="00B7540A" w:rsidRPr="00586097" w:rsidRDefault="00B7540A" w:rsidP="00920983">
            <w:pPr>
              <w:spacing w:line="276" w:lineRule="auto"/>
              <w:ind w:firstLine="0"/>
              <w:jc w:val="center"/>
              <w:rPr>
                <w:rFonts w:cs="Arial"/>
                <w:bCs/>
              </w:rPr>
            </w:pPr>
            <w:r w:rsidRPr="00586097">
              <w:rPr>
                <w:rFonts w:cs="Arial"/>
                <w:bCs/>
              </w:rPr>
              <w:t>3.8</w:t>
            </w:r>
          </w:p>
        </w:tc>
        <w:tc>
          <w:tcPr>
            <w:tcW w:w="1101" w:type="dxa"/>
            <w:shd w:val="clear" w:color="auto" w:fill="D9E2F3"/>
          </w:tcPr>
          <w:p w14:paraId="07B97634" w14:textId="77777777" w:rsidR="00B7540A" w:rsidRPr="00586097" w:rsidRDefault="00B7540A" w:rsidP="00920983">
            <w:pPr>
              <w:spacing w:line="276" w:lineRule="auto"/>
              <w:ind w:firstLine="0"/>
              <w:jc w:val="center"/>
              <w:rPr>
                <w:rFonts w:cs="Arial"/>
                <w:bCs/>
              </w:rPr>
            </w:pPr>
            <w:r w:rsidRPr="00586097">
              <w:rPr>
                <w:rFonts w:cs="Arial"/>
                <w:bCs/>
              </w:rPr>
              <w:t>3.6</w:t>
            </w:r>
          </w:p>
        </w:tc>
      </w:tr>
      <w:tr w:rsidR="00D26A99" w:rsidRPr="00586097" w14:paraId="2160BD66" w14:textId="77777777" w:rsidTr="00D26A99">
        <w:trPr>
          <w:trHeight w:val="258"/>
        </w:trPr>
        <w:tc>
          <w:tcPr>
            <w:tcW w:w="3495" w:type="dxa"/>
          </w:tcPr>
          <w:p w14:paraId="04D0DEBE" w14:textId="77777777" w:rsidR="00B7540A" w:rsidRPr="00586097" w:rsidRDefault="00B7540A" w:rsidP="00920983">
            <w:pPr>
              <w:spacing w:line="276" w:lineRule="auto"/>
              <w:ind w:left="309" w:firstLine="22"/>
              <w:rPr>
                <w:rFonts w:cs="Sylfaen"/>
              </w:rPr>
            </w:pPr>
            <w:r w:rsidRPr="00586097">
              <w:rPr>
                <w:rFonts w:cs="Sylfaen"/>
              </w:rPr>
              <w:t>Պետական</w:t>
            </w:r>
          </w:p>
        </w:tc>
        <w:tc>
          <w:tcPr>
            <w:tcW w:w="1080" w:type="dxa"/>
          </w:tcPr>
          <w:p w14:paraId="5BFDE4EE" w14:textId="77777777" w:rsidR="00B7540A" w:rsidRPr="00586097" w:rsidRDefault="00B7540A" w:rsidP="00920983">
            <w:pPr>
              <w:spacing w:line="276" w:lineRule="auto"/>
              <w:ind w:firstLine="0"/>
              <w:jc w:val="center"/>
              <w:rPr>
                <w:rFonts w:cs="Arial"/>
                <w:bCs/>
              </w:rPr>
            </w:pPr>
            <w:r w:rsidRPr="00586097">
              <w:rPr>
                <w:rFonts w:cs="Arial"/>
                <w:bCs/>
              </w:rPr>
              <w:t>-3.0</w:t>
            </w:r>
          </w:p>
        </w:tc>
        <w:tc>
          <w:tcPr>
            <w:tcW w:w="1080" w:type="dxa"/>
          </w:tcPr>
          <w:p w14:paraId="36446A5C" w14:textId="77777777" w:rsidR="00B7540A" w:rsidRPr="00586097" w:rsidRDefault="00B7540A" w:rsidP="00920983">
            <w:pPr>
              <w:spacing w:line="276" w:lineRule="auto"/>
              <w:ind w:firstLine="0"/>
              <w:jc w:val="center"/>
              <w:rPr>
                <w:rFonts w:cs="Arial"/>
                <w:bCs/>
              </w:rPr>
            </w:pPr>
            <w:r w:rsidRPr="00586097">
              <w:rPr>
                <w:rFonts w:cs="Arial"/>
                <w:bCs/>
              </w:rPr>
              <w:t>12.9</w:t>
            </w:r>
          </w:p>
        </w:tc>
        <w:tc>
          <w:tcPr>
            <w:tcW w:w="990" w:type="dxa"/>
          </w:tcPr>
          <w:p w14:paraId="79B11479" w14:textId="77777777" w:rsidR="00B7540A" w:rsidRPr="00586097" w:rsidRDefault="00B7540A" w:rsidP="00920983">
            <w:pPr>
              <w:spacing w:line="276" w:lineRule="auto"/>
              <w:ind w:firstLine="0"/>
              <w:jc w:val="center"/>
              <w:rPr>
                <w:rFonts w:cs="Arial"/>
                <w:bCs/>
              </w:rPr>
            </w:pPr>
            <w:r w:rsidRPr="00586097">
              <w:rPr>
                <w:rFonts w:cs="Arial"/>
                <w:bCs/>
              </w:rPr>
              <w:t>15.2</w:t>
            </w:r>
          </w:p>
        </w:tc>
        <w:tc>
          <w:tcPr>
            <w:tcW w:w="1260" w:type="dxa"/>
            <w:shd w:val="clear" w:color="auto" w:fill="D9E2F3"/>
          </w:tcPr>
          <w:p w14:paraId="196B69FC" w14:textId="77777777" w:rsidR="00B7540A" w:rsidRPr="00586097" w:rsidRDefault="00B7540A" w:rsidP="00920983">
            <w:pPr>
              <w:spacing w:line="276" w:lineRule="auto"/>
              <w:ind w:firstLine="0"/>
              <w:jc w:val="center"/>
              <w:rPr>
                <w:rFonts w:cs="Arial"/>
                <w:bCs/>
              </w:rPr>
            </w:pPr>
            <w:r w:rsidRPr="00586097">
              <w:rPr>
                <w:rFonts w:cs="Arial"/>
                <w:bCs/>
              </w:rPr>
              <w:t>9.2</w:t>
            </w:r>
          </w:p>
        </w:tc>
        <w:tc>
          <w:tcPr>
            <w:tcW w:w="1080" w:type="dxa"/>
            <w:shd w:val="clear" w:color="auto" w:fill="D9E2F3"/>
          </w:tcPr>
          <w:p w14:paraId="48CD9E1F" w14:textId="77777777" w:rsidR="00B7540A" w:rsidRPr="00586097" w:rsidRDefault="00B7540A" w:rsidP="00920983">
            <w:pPr>
              <w:spacing w:line="276" w:lineRule="auto"/>
              <w:ind w:firstLine="0"/>
              <w:jc w:val="center"/>
              <w:rPr>
                <w:rFonts w:cs="Arial"/>
                <w:bCs/>
              </w:rPr>
            </w:pPr>
            <w:r w:rsidRPr="00586097">
              <w:rPr>
                <w:rFonts w:cs="Arial"/>
                <w:bCs/>
              </w:rPr>
              <w:t>-3.1</w:t>
            </w:r>
          </w:p>
        </w:tc>
        <w:tc>
          <w:tcPr>
            <w:tcW w:w="990" w:type="dxa"/>
            <w:shd w:val="clear" w:color="auto" w:fill="D9E2F3"/>
          </w:tcPr>
          <w:p w14:paraId="1337E03C" w14:textId="77777777" w:rsidR="00B7540A" w:rsidRPr="00586097" w:rsidRDefault="00B7540A" w:rsidP="00920983">
            <w:pPr>
              <w:spacing w:line="276" w:lineRule="auto"/>
              <w:ind w:firstLine="0"/>
              <w:jc w:val="center"/>
              <w:rPr>
                <w:rFonts w:cs="Arial"/>
                <w:bCs/>
              </w:rPr>
            </w:pPr>
            <w:r w:rsidRPr="00586097">
              <w:rPr>
                <w:rFonts w:cs="Arial"/>
                <w:bCs/>
              </w:rPr>
              <w:t>2.4</w:t>
            </w:r>
          </w:p>
        </w:tc>
        <w:tc>
          <w:tcPr>
            <w:tcW w:w="1101" w:type="dxa"/>
            <w:shd w:val="clear" w:color="auto" w:fill="D9E2F3"/>
          </w:tcPr>
          <w:p w14:paraId="61A21086" w14:textId="77777777" w:rsidR="00B7540A" w:rsidRPr="00586097" w:rsidRDefault="00B7540A" w:rsidP="00920983">
            <w:pPr>
              <w:spacing w:line="276" w:lineRule="auto"/>
              <w:ind w:firstLine="0"/>
              <w:jc w:val="center"/>
              <w:rPr>
                <w:rFonts w:cs="Arial"/>
                <w:bCs/>
              </w:rPr>
            </w:pPr>
            <w:r w:rsidRPr="00586097">
              <w:rPr>
                <w:rFonts w:cs="Arial"/>
                <w:bCs/>
              </w:rPr>
              <w:t>9.1</w:t>
            </w:r>
          </w:p>
        </w:tc>
      </w:tr>
      <w:tr w:rsidR="00D26A99" w:rsidRPr="00586097" w14:paraId="055CA8B1" w14:textId="77777777" w:rsidTr="00D26A99">
        <w:trPr>
          <w:trHeight w:val="258"/>
        </w:trPr>
        <w:tc>
          <w:tcPr>
            <w:tcW w:w="3495" w:type="dxa"/>
          </w:tcPr>
          <w:p w14:paraId="174EA7EE" w14:textId="77777777" w:rsidR="00B7540A" w:rsidRPr="00586097" w:rsidRDefault="00B7540A" w:rsidP="00920983">
            <w:pPr>
              <w:spacing w:line="276" w:lineRule="auto"/>
              <w:ind w:left="309" w:firstLine="22"/>
              <w:rPr>
                <w:rFonts w:cs="Sylfaen"/>
                <w:lang w:val="ru-RU"/>
              </w:rPr>
            </w:pPr>
            <w:r w:rsidRPr="00586097">
              <w:rPr>
                <w:rFonts w:cs="Sylfaen"/>
              </w:rPr>
              <w:t>Մասնավոր</w:t>
            </w:r>
          </w:p>
        </w:tc>
        <w:tc>
          <w:tcPr>
            <w:tcW w:w="1080" w:type="dxa"/>
          </w:tcPr>
          <w:p w14:paraId="3F8D1FF1" w14:textId="77777777" w:rsidR="00B7540A" w:rsidRPr="00586097" w:rsidRDefault="00B7540A" w:rsidP="00920983">
            <w:pPr>
              <w:spacing w:line="276" w:lineRule="auto"/>
              <w:ind w:firstLine="0"/>
              <w:jc w:val="center"/>
              <w:rPr>
                <w:rFonts w:cs="Arial"/>
                <w:bCs/>
              </w:rPr>
            </w:pPr>
            <w:r w:rsidRPr="00586097">
              <w:rPr>
                <w:rFonts w:cs="Arial"/>
                <w:bCs/>
              </w:rPr>
              <w:t>4.8</w:t>
            </w:r>
          </w:p>
        </w:tc>
        <w:tc>
          <w:tcPr>
            <w:tcW w:w="1080" w:type="dxa"/>
          </w:tcPr>
          <w:p w14:paraId="240F2929" w14:textId="77777777" w:rsidR="00B7540A" w:rsidRPr="00586097" w:rsidRDefault="00B7540A" w:rsidP="00920983">
            <w:pPr>
              <w:spacing w:line="276" w:lineRule="auto"/>
              <w:ind w:firstLine="0"/>
              <w:jc w:val="center"/>
              <w:rPr>
                <w:rFonts w:cs="Arial"/>
                <w:bCs/>
              </w:rPr>
            </w:pPr>
            <w:r w:rsidRPr="00586097">
              <w:rPr>
                <w:rFonts w:cs="Arial"/>
                <w:bCs/>
              </w:rPr>
              <w:t>11.5</w:t>
            </w:r>
          </w:p>
        </w:tc>
        <w:tc>
          <w:tcPr>
            <w:tcW w:w="990" w:type="dxa"/>
          </w:tcPr>
          <w:p w14:paraId="74AABDBE" w14:textId="77777777" w:rsidR="00B7540A" w:rsidRPr="00586097" w:rsidRDefault="00B7540A" w:rsidP="00920983">
            <w:pPr>
              <w:spacing w:line="276" w:lineRule="auto"/>
              <w:ind w:firstLine="0"/>
              <w:jc w:val="center"/>
              <w:rPr>
                <w:rFonts w:cs="Arial"/>
                <w:bCs/>
              </w:rPr>
            </w:pPr>
            <w:r w:rsidRPr="00586097">
              <w:rPr>
                <w:rFonts w:cs="Arial"/>
                <w:bCs/>
              </w:rPr>
              <w:t>-13.9</w:t>
            </w:r>
          </w:p>
        </w:tc>
        <w:tc>
          <w:tcPr>
            <w:tcW w:w="1260" w:type="dxa"/>
            <w:shd w:val="clear" w:color="auto" w:fill="D9E2F3"/>
          </w:tcPr>
          <w:p w14:paraId="553E1689" w14:textId="77777777" w:rsidR="00B7540A" w:rsidRPr="00586097" w:rsidRDefault="00B7540A" w:rsidP="00920983">
            <w:pPr>
              <w:spacing w:line="276" w:lineRule="auto"/>
              <w:ind w:firstLine="0"/>
              <w:jc w:val="center"/>
              <w:rPr>
                <w:rFonts w:cs="Arial"/>
                <w:bCs/>
              </w:rPr>
            </w:pPr>
            <w:r w:rsidRPr="00586097">
              <w:rPr>
                <w:rFonts w:cs="Arial"/>
                <w:bCs/>
              </w:rPr>
              <w:t>7.4</w:t>
            </w:r>
          </w:p>
        </w:tc>
        <w:tc>
          <w:tcPr>
            <w:tcW w:w="1080" w:type="dxa"/>
            <w:shd w:val="clear" w:color="auto" w:fill="D9E2F3"/>
          </w:tcPr>
          <w:p w14:paraId="49F370FE" w14:textId="77777777" w:rsidR="00B7540A" w:rsidRPr="00586097" w:rsidRDefault="00B7540A" w:rsidP="00920983">
            <w:pPr>
              <w:spacing w:line="276" w:lineRule="auto"/>
              <w:ind w:firstLine="0"/>
              <w:jc w:val="center"/>
              <w:rPr>
                <w:rFonts w:cs="Arial"/>
                <w:bCs/>
              </w:rPr>
            </w:pPr>
            <w:r w:rsidRPr="00586097">
              <w:rPr>
                <w:rFonts w:cs="Arial"/>
                <w:bCs/>
              </w:rPr>
              <w:t>8.0</w:t>
            </w:r>
          </w:p>
        </w:tc>
        <w:tc>
          <w:tcPr>
            <w:tcW w:w="990" w:type="dxa"/>
            <w:shd w:val="clear" w:color="auto" w:fill="D9E2F3"/>
          </w:tcPr>
          <w:p w14:paraId="1B429758" w14:textId="77777777" w:rsidR="00B7540A" w:rsidRPr="00586097" w:rsidRDefault="00B7540A" w:rsidP="00920983">
            <w:pPr>
              <w:spacing w:line="276" w:lineRule="auto"/>
              <w:ind w:firstLine="0"/>
              <w:jc w:val="center"/>
              <w:rPr>
                <w:rFonts w:cs="Arial"/>
                <w:bCs/>
              </w:rPr>
            </w:pPr>
            <w:r w:rsidRPr="00586097">
              <w:rPr>
                <w:rFonts w:cs="Arial"/>
                <w:bCs/>
              </w:rPr>
              <w:t>4.1</w:t>
            </w:r>
          </w:p>
        </w:tc>
        <w:tc>
          <w:tcPr>
            <w:tcW w:w="1101" w:type="dxa"/>
            <w:shd w:val="clear" w:color="auto" w:fill="D9E2F3"/>
          </w:tcPr>
          <w:p w14:paraId="64B4C0FD" w14:textId="77777777" w:rsidR="00B7540A" w:rsidRPr="00586097" w:rsidRDefault="00B7540A" w:rsidP="00920983">
            <w:pPr>
              <w:spacing w:line="276" w:lineRule="auto"/>
              <w:ind w:firstLine="0"/>
              <w:jc w:val="center"/>
              <w:rPr>
                <w:rFonts w:cs="Arial"/>
                <w:bCs/>
              </w:rPr>
            </w:pPr>
            <w:r w:rsidRPr="00586097">
              <w:rPr>
                <w:rFonts w:cs="Arial"/>
                <w:bCs/>
              </w:rPr>
              <w:t>2.5</w:t>
            </w:r>
          </w:p>
        </w:tc>
      </w:tr>
      <w:tr w:rsidR="00D26A99" w:rsidRPr="00586097" w14:paraId="5E9A4395" w14:textId="77777777" w:rsidTr="00D26A99">
        <w:trPr>
          <w:trHeight w:val="258"/>
        </w:trPr>
        <w:tc>
          <w:tcPr>
            <w:tcW w:w="3495" w:type="dxa"/>
          </w:tcPr>
          <w:p w14:paraId="4EC04EAA" w14:textId="77777777" w:rsidR="00B7540A" w:rsidRPr="00586097" w:rsidRDefault="00B7540A" w:rsidP="00920983">
            <w:pPr>
              <w:spacing w:line="276" w:lineRule="auto"/>
              <w:ind w:firstLine="22"/>
              <w:rPr>
                <w:rFonts w:cs="Sylfaen"/>
                <w:lang w:val="ru-RU"/>
              </w:rPr>
            </w:pPr>
            <w:r w:rsidRPr="00586097">
              <w:rPr>
                <w:rFonts w:cs="Sylfaen"/>
              </w:rPr>
              <w:t>Հիմնական միջոցներում ներդրումներ</w:t>
            </w:r>
            <w:r w:rsidRPr="00586097">
              <w:rPr>
                <w:rFonts w:cs="Sylfaen"/>
                <w:vertAlign w:val="superscript"/>
              </w:rPr>
              <w:footnoteReference w:id="2"/>
            </w:r>
          </w:p>
        </w:tc>
        <w:tc>
          <w:tcPr>
            <w:tcW w:w="1080" w:type="dxa"/>
          </w:tcPr>
          <w:p w14:paraId="4296AAB9" w14:textId="77777777" w:rsidR="00B7540A" w:rsidRPr="00586097" w:rsidRDefault="00B7540A" w:rsidP="00920983">
            <w:pPr>
              <w:spacing w:line="276" w:lineRule="auto"/>
              <w:ind w:firstLine="0"/>
              <w:jc w:val="center"/>
              <w:rPr>
                <w:rFonts w:cs="Arial"/>
                <w:bCs/>
              </w:rPr>
            </w:pPr>
            <w:r w:rsidRPr="00586097">
              <w:rPr>
                <w:rFonts w:cs="Arial"/>
                <w:bCs/>
              </w:rPr>
              <w:t>4.8</w:t>
            </w:r>
          </w:p>
        </w:tc>
        <w:tc>
          <w:tcPr>
            <w:tcW w:w="1080" w:type="dxa"/>
          </w:tcPr>
          <w:p w14:paraId="29204251" w14:textId="77777777" w:rsidR="00B7540A" w:rsidRPr="00586097" w:rsidRDefault="00B7540A" w:rsidP="00920983">
            <w:pPr>
              <w:spacing w:line="276" w:lineRule="auto"/>
              <w:ind w:firstLine="0"/>
              <w:jc w:val="center"/>
              <w:rPr>
                <w:rFonts w:cs="Arial"/>
                <w:bCs/>
              </w:rPr>
            </w:pPr>
            <w:r w:rsidRPr="00586097">
              <w:rPr>
                <w:rFonts w:cs="Arial"/>
                <w:bCs/>
              </w:rPr>
              <w:t>4.4</w:t>
            </w:r>
          </w:p>
        </w:tc>
        <w:tc>
          <w:tcPr>
            <w:tcW w:w="990" w:type="dxa"/>
          </w:tcPr>
          <w:p w14:paraId="559CDF5D" w14:textId="77777777" w:rsidR="00B7540A" w:rsidRPr="00586097" w:rsidRDefault="00B7540A" w:rsidP="00920983">
            <w:pPr>
              <w:spacing w:line="276" w:lineRule="auto"/>
              <w:ind w:firstLine="0"/>
              <w:jc w:val="center"/>
              <w:rPr>
                <w:rFonts w:cs="Arial"/>
                <w:bCs/>
              </w:rPr>
            </w:pPr>
            <w:r w:rsidRPr="00586097">
              <w:rPr>
                <w:rFonts w:cs="Arial"/>
                <w:bCs/>
              </w:rPr>
              <w:t>-8.6</w:t>
            </w:r>
          </w:p>
        </w:tc>
        <w:tc>
          <w:tcPr>
            <w:tcW w:w="1260" w:type="dxa"/>
            <w:shd w:val="clear" w:color="auto" w:fill="D9E2F3"/>
          </w:tcPr>
          <w:p w14:paraId="7E31C6A0" w14:textId="77777777" w:rsidR="00B7540A" w:rsidRPr="00586097" w:rsidRDefault="00B7540A" w:rsidP="00920983">
            <w:pPr>
              <w:spacing w:line="276" w:lineRule="auto"/>
              <w:ind w:firstLine="0"/>
              <w:jc w:val="center"/>
              <w:rPr>
                <w:rFonts w:cs="Arial"/>
                <w:bCs/>
              </w:rPr>
            </w:pPr>
            <w:r w:rsidRPr="00586097">
              <w:rPr>
                <w:rFonts w:cs="Arial"/>
                <w:bCs/>
              </w:rPr>
              <w:t>5.8</w:t>
            </w:r>
          </w:p>
        </w:tc>
        <w:tc>
          <w:tcPr>
            <w:tcW w:w="1080" w:type="dxa"/>
            <w:shd w:val="clear" w:color="auto" w:fill="D9E2F3"/>
          </w:tcPr>
          <w:p w14:paraId="569DF224" w14:textId="77777777" w:rsidR="00B7540A" w:rsidRPr="00586097" w:rsidRDefault="00B7540A" w:rsidP="00920983">
            <w:pPr>
              <w:spacing w:line="276" w:lineRule="auto"/>
              <w:ind w:firstLine="0"/>
              <w:jc w:val="center"/>
              <w:rPr>
                <w:rFonts w:cs="Arial"/>
                <w:bCs/>
              </w:rPr>
            </w:pPr>
            <w:r w:rsidRPr="00586097">
              <w:rPr>
                <w:rFonts w:cs="Arial"/>
                <w:bCs/>
              </w:rPr>
              <w:t>8.2</w:t>
            </w:r>
          </w:p>
        </w:tc>
        <w:tc>
          <w:tcPr>
            <w:tcW w:w="990" w:type="dxa"/>
            <w:shd w:val="clear" w:color="auto" w:fill="D9E2F3"/>
          </w:tcPr>
          <w:p w14:paraId="045F3F66" w14:textId="77777777" w:rsidR="00B7540A" w:rsidRPr="00586097" w:rsidRDefault="00B7540A" w:rsidP="00920983">
            <w:pPr>
              <w:spacing w:line="276" w:lineRule="auto"/>
              <w:ind w:firstLine="0"/>
              <w:jc w:val="center"/>
              <w:rPr>
                <w:rFonts w:cs="Arial"/>
                <w:bCs/>
              </w:rPr>
            </w:pPr>
            <w:r w:rsidRPr="00586097">
              <w:rPr>
                <w:rFonts w:cs="Arial"/>
                <w:bCs/>
              </w:rPr>
              <w:t>4.5</w:t>
            </w:r>
          </w:p>
        </w:tc>
        <w:tc>
          <w:tcPr>
            <w:tcW w:w="1101" w:type="dxa"/>
            <w:shd w:val="clear" w:color="auto" w:fill="D9E2F3"/>
          </w:tcPr>
          <w:p w14:paraId="550FEA3F" w14:textId="77777777" w:rsidR="00B7540A" w:rsidRPr="00586097" w:rsidRDefault="00B7540A" w:rsidP="00920983">
            <w:pPr>
              <w:spacing w:line="276" w:lineRule="auto"/>
              <w:ind w:firstLine="0"/>
              <w:jc w:val="center"/>
              <w:rPr>
                <w:rFonts w:cs="Arial"/>
                <w:bCs/>
              </w:rPr>
            </w:pPr>
            <w:r w:rsidRPr="00586097">
              <w:rPr>
                <w:rFonts w:cs="Arial"/>
                <w:bCs/>
              </w:rPr>
              <w:t>5.4</w:t>
            </w:r>
          </w:p>
        </w:tc>
      </w:tr>
      <w:tr w:rsidR="00D26A99" w:rsidRPr="00586097" w14:paraId="27C2C97F" w14:textId="77777777" w:rsidTr="00D26A99">
        <w:trPr>
          <w:trHeight w:val="258"/>
        </w:trPr>
        <w:tc>
          <w:tcPr>
            <w:tcW w:w="3495" w:type="dxa"/>
          </w:tcPr>
          <w:p w14:paraId="5F1F9D05" w14:textId="77777777" w:rsidR="00B7540A" w:rsidRPr="00586097" w:rsidRDefault="00B7540A" w:rsidP="00920983">
            <w:pPr>
              <w:spacing w:line="276" w:lineRule="auto"/>
              <w:ind w:left="309" w:firstLine="22"/>
              <w:rPr>
                <w:rFonts w:cs="Sylfaen"/>
              </w:rPr>
            </w:pPr>
            <w:r w:rsidRPr="00586097">
              <w:rPr>
                <w:rFonts w:cs="Sylfaen"/>
              </w:rPr>
              <w:t>Պետական</w:t>
            </w:r>
          </w:p>
        </w:tc>
        <w:tc>
          <w:tcPr>
            <w:tcW w:w="1080" w:type="dxa"/>
          </w:tcPr>
          <w:p w14:paraId="5AD7A640" w14:textId="77777777" w:rsidR="00B7540A" w:rsidRPr="00586097" w:rsidRDefault="00B7540A" w:rsidP="00920983">
            <w:pPr>
              <w:spacing w:line="276" w:lineRule="auto"/>
              <w:ind w:firstLine="0"/>
              <w:jc w:val="center"/>
              <w:rPr>
                <w:rFonts w:cs="Arial"/>
                <w:bCs/>
              </w:rPr>
            </w:pPr>
            <w:r w:rsidRPr="00586097">
              <w:rPr>
                <w:rFonts w:cs="Arial"/>
                <w:bCs/>
              </w:rPr>
              <w:t>3.4</w:t>
            </w:r>
          </w:p>
        </w:tc>
        <w:tc>
          <w:tcPr>
            <w:tcW w:w="1080" w:type="dxa"/>
          </w:tcPr>
          <w:p w14:paraId="1E11D27F" w14:textId="77777777" w:rsidR="00B7540A" w:rsidRPr="00586097" w:rsidRDefault="00B7540A" w:rsidP="00920983">
            <w:pPr>
              <w:spacing w:line="276" w:lineRule="auto"/>
              <w:ind w:firstLine="0"/>
              <w:jc w:val="center"/>
              <w:rPr>
                <w:rFonts w:cs="Arial"/>
                <w:bCs/>
              </w:rPr>
            </w:pPr>
            <w:r w:rsidRPr="00586097">
              <w:rPr>
                <w:rFonts w:cs="Arial"/>
                <w:bCs/>
              </w:rPr>
              <w:t>13.7</w:t>
            </w:r>
          </w:p>
        </w:tc>
        <w:tc>
          <w:tcPr>
            <w:tcW w:w="990" w:type="dxa"/>
          </w:tcPr>
          <w:p w14:paraId="2CC52589" w14:textId="77777777" w:rsidR="00B7540A" w:rsidRPr="00586097" w:rsidRDefault="00B7540A" w:rsidP="00920983">
            <w:pPr>
              <w:spacing w:line="276" w:lineRule="auto"/>
              <w:ind w:firstLine="0"/>
              <w:jc w:val="center"/>
              <w:rPr>
                <w:rFonts w:cs="Arial"/>
                <w:bCs/>
              </w:rPr>
            </w:pPr>
            <w:r w:rsidRPr="00586097">
              <w:rPr>
                <w:rFonts w:cs="Arial"/>
                <w:bCs/>
              </w:rPr>
              <w:t>7.5</w:t>
            </w:r>
          </w:p>
        </w:tc>
        <w:tc>
          <w:tcPr>
            <w:tcW w:w="1260" w:type="dxa"/>
            <w:shd w:val="clear" w:color="auto" w:fill="D9E2F3"/>
          </w:tcPr>
          <w:p w14:paraId="223DB29E" w14:textId="77777777" w:rsidR="00B7540A" w:rsidRPr="00586097" w:rsidRDefault="00B7540A" w:rsidP="00920983">
            <w:pPr>
              <w:spacing w:line="276" w:lineRule="auto"/>
              <w:ind w:firstLine="0"/>
              <w:jc w:val="center"/>
              <w:rPr>
                <w:rFonts w:cs="Arial"/>
                <w:bCs/>
              </w:rPr>
            </w:pPr>
            <w:r w:rsidRPr="00586097">
              <w:rPr>
                <w:rFonts w:cs="Arial"/>
                <w:bCs/>
              </w:rPr>
              <w:t>4.9</w:t>
            </w:r>
          </w:p>
        </w:tc>
        <w:tc>
          <w:tcPr>
            <w:tcW w:w="1080" w:type="dxa"/>
            <w:shd w:val="clear" w:color="auto" w:fill="D9E2F3"/>
          </w:tcPr>
          <w:p w14:paraId="33FA1391" w14:textId="77777777" w:rsidR="00B7540A" w:rsidRPr="00586097" w:rsidRDefault="00B7540A" w:rsidP="00920983">
            <w:pPr>
              <w:spacing w:line="276" w:lineRule="auto"/>
              <w:ind w:firstLine="0"/>
              <w:jc w:val="center"/>
              <w:rPr>
                <w:rFonts w:cs="Arial"/>
                <w:bCs/>
              </w:rPr>
            </w:pPr>
            <w:r w:rsidRPr="00586097">
              <w:rPr>
                <w:rFonts w:cs="Arial"/>
                <w:bCs/>
              </w:rPr>
              <w:t>28.8</w:t>
            </w:r>
          </w:p>
        </w:tc>
        <w:tc>
          <w:tcPr>
            <w:tcW w:w="990" w:type="dxa"/>
            <w:shd w:val="clear" w:color="auto" w:fill="D9E2F3"/>
          </w:tcPr>
          <w:p w14:paraId="1BCD760C" w14:textId="77777777" w:rsidR="00B7540A" w:rsidRPr="00586097" w:rsidRDefault="00B7540A" w:rsidP="00920983">
            <w:pPr>
              <w:spacing w:line="276" w:lineRule="auto"/>
              <w:ind w:firstLine="0"/>
              <w:jc w:val="center"/>
              <w:rPr>
                <w:rFonts w:cs="Arial"/>
                <w:bCs/>
              </w:rPr>
            </w:pPr>
            <w:r w:rsidRPr="00586097">
              <w:rPr>
                <w:rFonts w:cs="Arial"/>
                <w:bCs/>
              </w:rPr>
              <w:t>7.5</w:t>
            </w:r>
          </w:p>
        </w:tc>
        <w:tc>
          <w:tcPr>
            <w:tcW w:w="1101" w:type="dxa"/>
            <w:shd w:val="clear" w:color="auto" w:fill="D9E2F3"/>
          </w:tcPr>
          <w:p w14:paraId="34367211" w14:textId="77777777" w:rsidR="00B7540A" w:rsidRPr="00586097" w:rsidRDefault="00B7540A" w:rsidP="00920983">
            <w:pPr>
              <w:spacing w:line="276" w:lineRule="auto"/>
              <w:ind w:firstLine="0"/>
              <w:jc w:val="center"/>
              <w:rPr>
                <w:rFonts w:cs="Arial"/>
                <w:bCs/>
              </w:rPr>
            </w:pPr>
            <w:r w:rsidRPr="00586097">
              <w:rPr>
                <w:rFonts w:cs="Arial"/>
                <w:bCs/>
              </w:rPr>
              <w:t>9.7</w:t>
            </w:r>
          </w:p>
        </w:tc>
      </w:tr>
      <w:tr w:rsidR="00D26A99" w:rsidRPr="00586097" w14:paraId="616349BA" w14:textId="77777777" w:rsidTr="00D26A99">
        <w:trPr>
          <w:trHeight w:val="258"/>
        </w:trPr>
        <w:tc>
          <w:tcPr>
            <w:tcW w:w="3495" w:type="dxa"/>
          </w:tcPr>
          <w:p w14:paraId="76B8E660" w14:textId="77777777" w:rsidR="00B7540A" w:rsidRPr="00586097" w:rsidRDefault="00B7540A" w:rsidP="00920983">
            <w:pPr>
              <w:spacing w:line="276" w:lineRule="auto"/>
              <w:ind w:left="309" w:firstLine="22"/>
              <w:rPr>
                <w:rFonts w:cs="Sylfaen"/>
              </w:rPr>
            </w:pPr>
            <w:r w:rsidRPr="00586097">
              <w:rPr>
                <w:rFonts w:cs="Sylfaen"/>
              </w:rPr>
              <w:t>Մասնավոր</w:t>
            </w:r>
          </w:p>
        </w:tc>
        <w:tc>
          <w:tcPr>
            <w:tcW w:w="1080" w:type="dxa"/>
          </w:tcPr>
          <w:p w14:paraId="2E6AD787" w14:textId="77777777" w:rsidR="00B7540A" w:rsidRPr="00586097" w:rsidRDefault="00B7540A" w:rsidP="00920983">
            <w:pPr>
              <w:spacing w:line="276" w:lineRule="auto"/>
              <w:ind w:firstLine="0"/>
              <w:jc w:val="center"/>
              <w:rPr>
                <w:rFonts w:cs="Arial"/>
                <w:bCs/>
              </w:rPr>
            </w:pPr>
            <w:r w:rsidRPr="00586097">
              <w:rPr>
                <w:rFonts w:cs="Arial"/>
                <w:bCs/>
              </w:rPr>
              <w:t>5.1</w:t>
            </w:r>
          </w:p>
        </w:tc>
        <w:tc>
          <w:tcPr>
            <w:tcW w:w="1080" w:type="dxa"/>
          </w:tcPr>
          <w:p w14:paraId="53DB2A30" w14:textId="77777777" w:rsidR="00B7540A" w:rsidRPr="00586097" w:rsidRDefault="00B7540A" w:rsidP="00920983">
            <w:pPr>
              <w:spacing w:line="276" w:lineRule="auto"/>
              <w:ind w:firstLine="0"/>
              <w:jc w:val="center"/>
              <w:rPr>
                <w:rFonts w:cs="Arial"/>
                <w:bCs/>
              </w:rPr>
            </w:pPr>
            <w:r w:rsidRPr="00586097">
              <w:rPr>
                <w:rFonts w:cs="Arial"/>
                <w:bCs/>
              </w:rPr>
              <w:t>2.6</w:t>
            </w:r>
          </w:p>
        </w:tc>
        <w:tc>
          <w:tcPr>
            <w:tcW w:w="990" w:type="dxa"/>
          </w:tcPr>
          <w:p w14:paraId="19EE4C9B" w14:textId="77777777" w:rsidR="00B7540A" w:rsidRPr="00586097" w:rsidRDefault="00B7540A" w:rsidP="00920983">
            <w:pPr>
              <w:spacing w:line="276" w:lineRule="auto"/>
              <w:ind w:firstLine="0"/>
              <w:jc w:val="center"/>
              <w:rPr>
                <w:rFonts w:cs="Arial"/>
                <w:bCs/>
              </w:rPr>
            </w:pPr>
            <w:r w:rsidRPr="00586097">
              <w:rPr>
                <w:rFonts w:cs="Arial"/>
                <w:bCs/>
              </w:rPr>
              <w:t>-12.0</w:t>
            </w:r>
          </w:p>
        </w:tc>
        <w:tc>
          <w:tcPr>
            <w:tcW w:w="1260" w:type="dxa"/>
            <w:shd w:val="clear" w:color="auto" w:fill="D9E2F3"/>
          </w:tcPr>
          <w:p w14:paraId="65FD8FA0" w14:textId="77777777" w:rsidR="00B7540A" w:rsidRPr="00586097" w:rsidRDefault="00B7540A" w:rsidP="00920983">
            <w:pPr>
              <w:spacing w:line="276" w:lineRule="auto"/>
              <w:ind w:firstLine="0"/>
              <w:jc w:val="center"/>
              <w:rPr>
                <w:rFonts w:cs="Arial"/>
                <w:bCs/>
              </w:rPr>
            </w:pPr>
            <w:r w:rsidRPr="00586097">
              <w:rPr>
                <w:rFonts w:cs="Arial"/>
                <w:bCs/>
              </w:rPr>
              <w:t>6.0</w:t>
            </w:r>
          </w:p>
        </w:tc>
        <w:tc>
          <w:tcPr>
            <w:tcW w:w="1080" w:type="dxa"/>
            <w:shd w:val="clear" w:color="auto" w:fill="D9E2F3"/>
          </w:tcPr>
          <w:p w14:paraId="4B7BEB9B" w14:textId="77777777" w:rsidR="00B7540A" w:rsidRPr="00586097" w:rsidRDefault="00B7540A" w:rsidP="00920983">
            <w:pPr>
              <w:spacing w:line="276" w:lineRule="auto"/>
              <w:ind w:firstLine="0"/>
              <w:jc w:val="center"/>
              <w:rPr>
                <w:rFonts w:cs="Arial"/>
                <w:bCs/>
              </w:rPr>
            </w:pPr>
            <w:r w:rsidRPr="00586097">
              <w:rPr>
                <w:rFonts w:cs="Arial"/>
                <w:bCs/>
              </w:rPr>
              <w:t>3.0</w:t>
            </w:r>
          </w:p>
        </w:tc>
        <w:tc>
          <w:tcPr>
            <w:tcW w:w="990" w:type="dxa"/>
            <w:shd w:val="clear" w:color="auto" w:fill="D9E2F3"/>
          </w:tcPr>
          <w:p w14:paraId="6C0A6429" w14:textId="77777777" w:rsidR="00B7540A" w:rsidRPr="00586097" w:rsidRDefault="00B7540A" w:rsidP="00920983">
            <w:pPr>
              <w:spacing w:line="276" w:lineRule="auto"/>
              <w:ind w:firstLine="0"/>
              <w:jc w:val="center"/>
              <w:rPr>
                <w:rFonts w:cs="Arial"/>
                <w:bCs/>
              </w:rPr>
            </w:pPr>
            <w:r w:rsidRPr="00586097">
              <w:rPr>
                <w:rFonts w:cs="Arial"/>
                <w:bCs/>
              </w:rPr>
              <w:t>3.5</w:t>
            </w:r>
          </w:p>
        </w:tc>
        <w:tc>
          <w:tcPr>
            <w:tcW w:w="1101" w:type="dxa"/>
            <w:shd w:val="clear" w:color="auto" w:fill="D9E2F3"/>
          </w:tcPr>
          <w:p w14:paraId="65B16457" w14:textId="77777777" w:rsidR="00B7540A" w:rsidRPr="00586097" w:rsidRDefault="00B7540A" w:rsidP="00920983">
            <w:pPr>
              <w:spacing w:line="276" w:lineRule="auto"/>
              <w:ind w:firstLine="0"/>
              <w:jc w:val="center"/>
              <w:rPr>
                <w:rFonts w:cs="Arial"/>
                <w:bCs/>
              </w:rPr>
            </w:pPr>
            <w:r w:rsidRPr="00586097">
              <w:rPr>
                <w:rFonts w:cs="Arial"/>
                <w:bCs/>
              </w:rPr>
              <w:t>4.0</w:t>
            </w:r>
          </w:p>
        </w:tc>
      </w:tr>
      <w:tr w:rsidR="00D26A99" w:rsidRPr="00586097" w14:paraId="3201D2B6" w14:textId="77777777" w:rsidTr="00D26A99">
        <w:trPr>
          <w:trHeight w:val="258"/>
        </w:trPr>
        <w:tc>
          <w:tcPr>
            <w:tcW w:w="3495" w:type="dxa"/>
          </w:tcPr>
          <w:p w14:paraId="39104288" w14:textId="77777777" w:rsidR="00B7540A" w:rsidRPr="00586097" w:rsidRDefault="00B7540A" w:rsidP="00920983">
            <w:pPr>
              <w:spacing w:line="276" w:lineRule="auto"/>
              <w:ind w:firstLine="22"/>
              <w:rPr>
                <w:rFonts w:cs="Sylfaen"/>
              </w:rPr>
            </w:pPr>
            <w:r w:rsidRPr="00586097">
              <w:rPr>
                <w:rFonts w:cs="Sylfaen"/>
              </w:rPr>
              <w:t xml:space="preserve">Արտահանում </w:t>
            </w:r>
          </w:p>
        </w:tc>
        <w:tc>
          <w:tcPr>
            <w:tcW w:w="1080" w:type="dxa"/>
          </w:tcPr>
          <w:p w14:paraId="3FD52CB4" w14:textId="77777777" w:rsidR="00B7540A" w:rsidRPr="00586097" w:rsidRDefault="00B7540A" w:rsidP="00920983">
            <w:pPr>
              <w:spacing w:line="276" w:lineRule="auto"/>
              <w:ind w:firstLine="0"/>
              <w:jc w:val="center"/>
              <w:rPr>
                <w:rFonts w:cs="Arial"/>
                <w:bCs/>
              </w:rPr>
            </w:pPr>
            <w:r w:rsidRPr="00586097">
              <w:rPr>
                <w:rFonts w:cs="Arial"/>
                <w:bCs/>
              </w:rPr>
              <w:t>5.0</w:t>
            </w:r>
          </w:p>
        </w:tc>
        <w:tc>
          <w:tcPr>
            <w:tcW w:w="1080" w:type="dxa"/>
          </w:tcPr>
          <w:p w14:paraId="7020D24D" w14:textId="77777777" w:rsidR="00B7540A" w:rsidRPr="00586097" w:rsidRDefault="00B7540A" w:rsidP="00920983">
            <w:pPr>
              <w:spacing w:line="276" w:lineRule="auto"/>
              <w:ind w:firstLine="0"/>
              <w:jc w:val="center"/>
              <w:rPr>
                <w:rFonts w:cs="Arial"/>
                <w:bCs/>
              </w:rPr>
            </w:pPr>
            <w:r w:rsidRPr="00586097">
              <w:rPr>
                <w:rFonts w:cs="Arial"/>
                <w:bCs/>
              </w:rPr>
              <w:t>16.0</w:t>
            </w:r>
          </w:p>
        </w:tc>
        <w:tc>
          <w:tcPr>
            <w:tcW w:w="990" w:type="dxa"/>
          </w:tcPr>
          <w:p w14:paraId="3630B6CE" w14:textId="77777777" w:rsidR="00B7540A" w:rsidRPr="00586097" w:rsidRDefault="00B7540A" w:rsidP="00920983">
            <w:pPr>
              <w:spacing w:line="276" w:lineRule="auto"/>
              <w:ind w:firstLine="0"/>
              <w:jc w:val="center"/>
              <w:rPr>
                <w:rFonts w:cs="Arial"/>
                <w:bCs/>
              </w:rPr>
            </w:pPr>
            <w:r w:rsidRPr="00586097">
              <w:rPr>
                <w:rFonts w:cs="Arial"/>
                <w:bCs/>
              </w:rPr>
              <w:t>-32.4</w:t>
            </w:r>
          </w:p>
        </w:tc>
        <w:tc>
          <w:tcPr>
            <w:tcW w:w="1260" w:type="dxa"/>
            <w:shd w:val="clear" w:color="auto" w:fill="D9E2F3"/>
          </w:tcPr>
          <w:p w14:paraId="05E1C6CB" w14:textId="77777777" w:rsidR="00B7540A" w:rsidRPr="00586097" w:rsidRDefault="00B7540A" w:rsidP="00920983">
            <w:pPr>
              <w:spacing w:line="276" w:lineRule="auto"/>
              <w:ind w:firstLine="0"/>
              <w:jc w:val="center"/>
              <w:rPr>
                <w:rFonts w:cs="Arial"/>
                <w:bCs/>
              </w:rPr>
            </w:pPr>
            <w:r w:rsidRPr="00586097">
              <w:rPr>
                <w:rFonts w:cs="Arial"/>
                <w:bCs/>
              </w:rPr>
              <w:t>7.0</w:t>
            </w:r>
          </w:p>
        </w:tc>
        <w:tc>
          <w:tcPr>
            <w:tcW w:w="1080" w:type="dxa"/>
            <w:shd w:val="clear" w:color="auto" w:fill="D9E2F3"/>
          </w:tcPr>
          <w:p w14:paraId="419417F0" w14:textId="77777777" w:rsidR="00B7540A" w:rsidRPr="00586097" w:rsidRDefault="00B7540A" w:rsidP="00920983">
            <w:pPr>
              <w:spacing w:line="276" w:lineRule="auto"/>
              <w:ind w:firstLine="0"/>
              <w:jc w:val="center"/>
              <w:rPr>
                <w:rFonts w:cs="Arial"/>
                <w:bCs/>
              </w:rPr>
            </w:pPr>
            <w:r w:rsidRPr="00586097">
              <w:rPr>
                <w:rFonts w:cs="Arial"/>
                <w:bCs/>
              </w:rPr>
              <w:t>12.7</w:t>
            </w:r>
          </w:p>
        </w:tc>
        <w:tc>
          <w:tcPr>
            <w:tcW w:w="990" w:type="dxa"/>
            <w:shd w:val="clear" w:color="auto" w:fill="D9E2F3"/>
          </w:tcPr>
          <w:p w14:paraId="696722E2" w14:textId="77777777" w:rsidR="00B7540A" w:rsidRPr="00586097" w:rsidRDefault="00B7540A" w:rsidP="00920983">
            <w:pPr>
              <w:spacing w:line="276" w:lineRule="auto"/>
              <w:ind w:firstLine="0"/>
              <w:jc w:val="center"/>
              <w:rPr>
                <w:rFonts w:cs="Arial"/>
                <w:bCs/>
              </w:rPr>
            </w:pPr>
            <w:r w:rsidRPr="00586097">
              <w:rPr>
                <w:rFonts w:cs="Arial"/>
                <w:bCs/>
              </w:rPr>
              <w:t>9.0</w:t>
            </w:r>
          </w:p>
        </w:tc>
        <w:tc>
          <w:tcPr>
            <w:tcW w:w="1101" w:type="dxa"/>
            <w:shd w:val="clear" w:color="auto" w:fill="D9E2F3"/>
          </w:tcPr>
          <w:p w14:paraId="34B229FE" w14:textId="77777777" w:rsidR="00B7540A" w:rsidRPr="00586097" w:rsidRDefault="00B7540A" w:rsidP="00920983">
            <w:pPr>
              <w:spacing w:line="276" w:lineRule="auto"/>
              <w:ind w:firstLine="0"/>
              <w:jc w:val="center"/>
              <w:rPr>
                <w:rFonts w:cs="Arial"/>
                <w:bCs/>
              </w:rPr>
            </w:pPr>
            <w:r w:rsidRPr="00586097">
              <w:rPr>
                <w:rFonts w:cs="Arial"/>
                <w:bCs/>
              </w:rPr>
              <w:t>7.1</w:t>
            </w:r>
          </w:p>
        </w:tc>
      </w:tr>
      <w:tr w:rsidR="00D26A99" w:rsidRPr="00586097" w14:paraId="162F04A9" w14:textId="77777777" w:rsidTr="00D26A99">
        <w:trPr>
          <w:trHeight w:val="272"/>
        </w:trPr>
        <w:tc>
          <w:tcPr>
            <w:tcW w:w="3495" w:type="dxa"/>
          </w:tcPr>
          <w:p w14:paraId="0AFD5701" w14:textId="77777777" w:rsidR="00B7540A" w:rsidRPr="00586097" w:rsidRDefault="00B7540A" w:rsidP="00920983">
            <w:pPr>
              <w:spacing w:line="276" w:lineRule="auto"/>
              <w:ind w:firstLine="22"/>
              <w:rPr>
                <w:rFonts w:cs="Sylfaen"/>
              </w:rPr>
            </w:pPr>
            <w:r w:rsidRPr="00586097">
              <w:rPr>
                <w:rFonts w:cs="Sylfaen"/>
              </w:rPr>
              <w:t xml:space="preserve">Ներմուծում </w:t>
            </w:r>
          </w:p>
        </w:tc>
        <w:tc>
          <w:tcPr>
            <w:tcW w:w="1080" w:type="dxa"/>
          </w:tcPr>
          <w:p w14:paraId="33FF6E65" w14:textId="77777777" w:rsidR="00B7540A" w:rsidRPr="00586097" w:rsidRDefault="00B7540A" w:rsidP="00920983">
            <w:pPr>
              <w:spacing w:line="276" w:lineRule="auto"/>
              <w:ind w:firstLine="0"/>
              <w:jc w:val="center"/>
              <w:rPr>
                <w:rFonts w:cs="Arial"/>
                <w:bCs/>
              </w:rPr>
            </w:pPr>
            <w:r w:rsidRPr="00586097">
              <w:rPr>
                <w:rFonts w:cs="Arial"/>
                <w:bCs/>
              </w:rPr>
              <w:t>13.3</w:t>
            </w:r>
          </w:p>
        </w:tc>
        <w:tc>
          <w:tcPr>
            <w:tcW w:w="1080" w:type="dxa"/>
          </w:tcPr>
          <w:p w14:paraId="693AF8E6" w14:textId="77777777" w:rsidR="00B7540A" w:rsidRPr="00586097" w:rsidRDefault="00B7540A" w:rsidP="00920983">
            <w:pPr>
              <w:spacing w:line="276" w:lineRule="auto"/>
              <w:ind w:firstLine="0"/>
              <w:jc w:val="center"/>
              <w:rPr>
                <w:rFonts w:cs="Arial"/>
                <w:bCs/>
              </w:rPr>
            </w:pPr>
            <w:r w:rsidRPr="00586097">
              <w:rPr>
                <w:rFonts w:cs="Arial"/>
                <w:bCs/>
              </w:rPr>
              <w:t>11.6</w:t>
            </w:r>
          </w:p>
        </w:tc>
        <w:tc>
          <w:tcPr>
            <w:tcW w:w="990" w:type="dxa"/>
          </w:tcPr>
          <w:p w14:paraId="166B7217" w14:textId="77777777" w:rsidR="00B7540A" w:rsidRPr="00586097" w:rsidRDefault="00B7540A" w:rsidP="00920983">
            <w:pPr>
              <w:spacing w:line="276" w:lineRule="auto"/>
              <w:ind w:firstLine="0"/>
              <w:jc w:val="center"/>
              <w:rPr>
                <w:rFonts w:cs="Arial"/>
                <w:bCs/>
              </w:rPr>
            </w:pPr>
            <w:r w:rsidRPr="00586097">
              <w:rPr>
                <w:rFonts w:cs="Arial"/>
                <w:bCs/>
              </w:rPr>
              <w:t>-31.7</w:t>
            </w:r>
          </w:p>
        </w:tc>
        <w:tc>
          <w:tcPr>
            <w:tcW w:w="1260" w:type="dxa"/>
            <w:shd w:val="clear" w:color="auto" w:fill="D9E2F3"/>
          </w:tcPr>
          <w:p w14:paraId="33048A5D" w14:textId="77777777" w:rsidR="00B7540A" w:rsidRPr="00586097" w:rsidRDefault="00B7540A" w:rsidP="00920983">
            <w:pPr>
              <w:spacing w:line="276" w:lineRule="auto"/>
              <w:ind w:firstLine="0"/>
              <w:jc w:val="center"/>
              <w:rPr>
                <w:rFonts w:cs="Arial"/>
                <w:bCs/>
              </w:rPr>
            </w:pPr>
            <w:r w:rsidRPr="00586097">
              <w:rPr>
                <w:rFonts w:cs="Arial"/>
                <w:bCs/>
              </w:rPr>
              <w:t>8.7</w:t>
            </w:r>
          </w:p>
        </w:tc>
        <w:tc>
          <w:tcPr>
            <w:tcW w:w="1080" w:type="dxa"/>
            <w:shd w:val="clear" w:color="auto" w:fill="D9E2F3"/>
          </w:tcPr>
          <w:p w14:paraId="503CD97E" w14:textId="77777777" w:rsidR="00B7540A" w:rsidRPr="00586097" w:rsidRDefault="00B7540A" w:rsidP="00920983">
            <w:pPr>
              <w:spacing w:line="276" w:lineRule="auto"/>
              <w:ind w:firstLine="0"/>
              <w:jc w:val="center"/>
              <w:rPr>
                <w:rFonts w:cs="Arial"/>
                <w:bCs/>
              </w:rPr>
            </w:pPr>
            <w:r w:rsidRPr="00586097">
              <w:rPr>
                <w:rFonts w:cs="Arial"/>
                <w:bCs/>
              </w:rPr>
              <w:t>12.1</w:t>
            </w:r>
          </w:p>
        </w:tc>
        <w:tc>
          <w:tcPr>
            <w:tcW w:w="990" w:type="dxa"/>
            <w:shd w:val="clear" w:color="auto" w:fill="D9E2F3"/>
          </w:tcPr>
          <w:p w14:paraId="49708A18" w14:textId="77777777" w:rsidR="00B7540A" w:rsidRPr="00586097" w:rsidRDefault="00B7540A" w:rsidP="00920983">
            <w:pPr>
              <w:spacing w:line="276" w:lineRule="auto"/>
              <w:ind w:firstLine="0"/>
              <w:jc w:val="center"/>
              <w:rPr>
                <w:rFonts w:cs="Arial"/>
                <w:bCs/>
              </w:rPr>
            </w:pPr>
            <w:r w:rsidRPr="00586097">
              <w:rPr>
                <w:rFonts w:cs="Arial"/>
                <w:bCs/>
              </w:rPr>
              <w:t>8.1</w:t>
            </w:r>
          </w:p>
        </w:tc>
        <w:tc>
          <w:tcPr>
            <w:tcW w:w="1101" w:type="dxa"/>
            <w:shd w:val="clear" w:color="auto" w:fill="D9E2F3"/>
          </w:tcPr>
          <w:p w14:paraId="7D6E93F4" w14:textId="77777777" w:rsidR="00B7540A" w:rsidRPr="00586097" w:rsidRDefault="00B7540A" w:rsidP="00920983">
            <w:pPr>
              <w:spacing w:line="276" w:lineRule="auto"/>
              <w:ind w:firstLine="0"/>
              <w:jc w:val="center"/>
              <w:rPr>
                <w:rFonts w:cs="Arial"/>
                <w:bCs/>
              </w:rPr>
            </w:pPr>
            <w:r w:rsidRPr="00586097">
              <w:rPr>
                <w:rFonts w:cs="Arial"/>
                <w:bCs/>
              </w:rPr>
              <w:t>6.8</w:t>
            </w:r>
          </w:p>
        </w:tc>
      </w:tr>
      <w:tr w:rsidR="00B7540A" w:rsidRPr="00586097" w14:paraId="38E61883" w14:textId="77777777" w:rsidTr="00920983">
        <w:trPr>
          <w:trHeight w:val="258"/>
        </w:trPr>
        <w:tc>
          <w:tcPr>
            <w:tcW w:w="11076" w:type="dxa"/>
            <w:gridSpan w:val="8"/>
            <w:shd w:val="clear" w:color="auto" w:fill="auto"/>
            <w:noWrap/>
          </w:tcPr>
          <w:p w14:paraId="24D2752D" w14:textId="77777777" w:rsidR="00B7540A" w:rsidRPr="00586097" w:rsidRDefault="00B7540A" w:rsidP="00920983">
            <w:pPr>
              <w:spacing w:line="276" w:lineRule="auto"/>
              <w:ind w:firstLine="0"/>
              <w:rPr>
                <w:rFonts w:cs="Arial"/>
                <w:bCs/>
              </w:rPr>
            </w:pPr>
            <w:r w:rsidRPr="00586097">
              <w:rPr>
                <w:rFonts w:cs="Sylfaen"/>
                <w:b/>
                <w:u w:val="single"/>
              </w:rPr>
              <w:t>Արտաքին հատված (մլն ԱՄՆ դոլար)</w:t>
            </w:r>
          </w:p>
        </w:tc>
      </w:tr>
      <w:tr w:rsidR="00D26A99" w:rsidRPr="00586097" w14:paraId="7BC2F0D5" w14:textId="77777777" w:rsidTr="00D26A99">
        <w:trPr>
          <w:trHeight w:val="258"/>
        </w:trPr>
        <w:tc>
          <w:tcPr>
            <w:tcW w:w="3495" w:type="dxa"/>
            <w:shd w:val="clear" w:color="auto" w:fill="auto"/>
          </w:tcPr>
          <w:p w14:paraId="6E473945" w14:textId="77777777" w:rsidR="00B7540A" w:rsidRPr="00586097" w:rsidRDefault="00B7540A" w:rsidP="00920983">
            <w:pPr>
              <w:spacing w:line="276" w:lineRule="auto"/>
              <w:ind w:firstLine="22"/>
              <w:rPr>
                <w:rFonts w:cs="Sylfaen"/>
              </w:rPr>
            </w:pPr>
            <w:r w:rsidRPr="00586097">
              <w:rPr>
                <w:rFonts w:cs="Sylfaen"/>
              </w:rPr>
              <w:t>Ընթացիկ հաշիվ</w:t>
            </w:r>
          </w:p>
        </w:tc>
        <w:tc>
          <w:tcPr>
            <w:tcW w:w="1080" w:type="dxa"/>
          </w:tcPr>
          <w:p w14:paraId="3D6D0A8C" w14:textId="77777777" w:rsidR="00B7540A" w:rsidRPr="00586097" w:rsidRDefault="00B7540A" w:rsidP="00920983">
            <w:pPr>
              <w:spacing w:line="276" w:lineRule="auto"/>
              <w:ind w:firstLine="0"/>
              <w:jc w:val="center"/>
            </w:pPr>
            <w:r w:rsidRPr="00586097">
              <w:t>-875.9</w:t>
            </w:r>
          </w:p>
        </w:tc>
        <w:tc>
          <w:tcPr>
            <w:tcW w:w="1080" w:type="dxa"/>
          </w:tcPr>
          <w:p w14:paraId="1B3A67B7" w14:textId="77777777" w:rsidR="00B7540A" w:rsidRPr="00586097" w:rsidRDefault="00B7540A" w:rsidP="00920983">
            <w:pPr>
              <w:spacing w:line="276" w:lineRule="auto"/>
              <w:ind w:firstLine="0"/>
              <w:jc w:val="center"/>
            </w:pPr>
            <w:r w:rsidRPr="00586097">
              <w:t>-1,002.3</w:t>
            </w:r>
          </w:p>
        </w:tc>
        <w:tc>
          <w:tcPr>
            <w:tcW w:w="990" w:type="dxa"/>
          </w:tcPr>
          <w:p w14:paraId="2AA99C91" w14:textId="77777777" w:rsidR="00B7540A" w:rsidRPr="00586097" w:rsidRDefault="00B7540A" w:rsidP="00920983">
            <w:pPr>
              <w:spacing w:line="276" w:lineRule="auto"/>
              <w:ind w:firstLine="0"/>
              <w:jc w:val="center"/>
            </w:pPr>
            <w:r w:rsidRPr="00586097">
              <w:t>-478.7</w:t>
            </w:r>
          </w:p>
        </w:tc>
        <w:tc>
          <w:tcPr>
            <w:tcW w:w="1260" w:type="dxa"/>
            <w:shd w:val="clear" w:color="auto" w:fill="D9E2F3"/>
          </w:tcPr>
          <w:p w14:paraId="47E82C49" w14:textId="77777777" w:rsidR="00B7540A" w:rsidRPr="00586097" w:rsidRDefault="00B7540A" w:rsidP="00920983">
            <w:pPr>
              <w:spacing w:line="276" w:lineRule="auto"/>
              <w:ind w:firstLine="0"/>
              <w:jc w:val="center"/>
            </w:pPr>
            <w:r w:rsidRPr="00586097">
              <w:t>-281.3</w:t>
            </w:r>
          </w:p>
        </w:tc>
        <w:tc>
          <w:tcPr>
            <w:tcW w:w="1080" w:type="dxa"/>
            <w:shd w:val="clear" w:color="auto" w:fill="D9E2F3"/>
          </w:tcPr>
          <w:p w14:paraId="30F7BC8B" w14:textId="77777777" w:rsidR="00B7540A" w:rsidRPr="00586097" w:rsidRDefault="00B7540A" w:rsidP="00920983">
            <w:pPr>
              <w:spacing w:line="276" w:lineRule="auto"/>
              <w:ind w:firstLine="0"/>
              <w:jc w:val="center"/>
            </w:pPr>
            <w:r w:rsidRPr="00586097">
              <w:t>-421.6</w:t>
            </w:r>
          </w:p>
        </w:tc>
        <w:tc>
          <w:tcPr>
            <w:tcW w:w="990" w:type="dxa"/>
            <w:shd w:val="clear" w:color="auto" w:fill="D9E2F3"/>
          </w:tcPr>
          <w:p w14:paraId="2B08FA09" w14:textId="77777777" w:rsidR="00B7540A" w:rsidRPr="00586097" w:rsidRDefault="00B7540A" w:rsidP="00920983">
            <w:pPr>
              <w:spacing w:line="276" w:lineRule="auto"/>
              <w:ind w:firstLine="0"/>
              <w:jc w:val="center"/>
            </w:pPr>
            <w:r w:rsidRPr="00586097">
              <w:t>-556.9</w:t>
            </w:r>
          </w:p>
        </w:tc>
        <w:tc>
          <w:tcPr>
            <w:tcW w:w="1101" w:type="dxa"/>
            <w:shd w:val="clear" w:color="auto" w:fill="D9E2F3"/>
          </w:tcPr>
          <w:p w14:paraId="126D076F" w14:textId="77777777" w:rsidR="00B7540A" w:rsidRPr="00586097" w:rsidRDefault="00B7540A" w:rsidP="00920983">
            <w:pPr>
              <w:spacing w:line="276" w:lineRule="auto"/>
              <w:ind w:firstLine="0"/>
              <w:jc w:val="center"/>
            </w:pPr>
            <w:r w:rsidRPr="00586097">
              <w:t>-641.3</w:t>
            </w:r>
          </w:p>
        </w:tc>
      </w:tr>
      <w:tr w:rsidR="00D26A99" w:rsidRPr="00586097" w14:paraId="7829BB32" w14:textId="77777777" w:rsidTr="00D26A99">
        <w:trPr>
          <w:trHeight w:val="258"/>
        </w:trPr>
        <w:tc>
          <w:tcPr>
            <w:tcW w:w="3495" w:type="dxa"/>
            <w:shd w:val="clear" w:color="auto" w:fill="auto"/>
          </w:tcPr>
          <w:p w14:paraId="009E0E79" w14:textId="77777777" w:rsidR="00B7540A" w:rsidRPr="00586097" w:rsidRDefault="00B7540A" w:rsidP="00920983">
            <w:pPr>
              <w:spacing w:line="276" w:lineRule="auto"/>
              <w:ind w:firstLine="22"/>
              <w:rPr>
                <w:rFonts w:cs="Sylfaen"/>
              </w:rPr>
            </w:pPr>
            <w:r w:rsidRPr="00586097">
              <w:rPr>
                <w:rFonts w:cs="Sylfaen"/>
              </w:rPr>
              <w:t>Ապրանքների և ծառայությունների հաշվեկշիռ</w:t>
            </w:r>
          </w:p>
        </w:tc>
        <w:tc>
          <w:tcPr>
            <w:tcW w:w="1080" w:type="dxa"/>
          </w:tcPr>
          <w:p w14:paraId="4A9DEB6F" w14:textId="77777777" w:rsidR="00B7540A" w:rsidRPr="00586097" w:rsidRDefault="00B7540A" w:rsidP="00920983">
            <w:pPr>
              <w:spacing w:line="276" w:lineRule="auto"/>
              <w:ind w:firstLine="0"/>
              <w:jc w:val="center"/>
            </w:pPr>
            <w:r w:rsidRPr="00586097">
              <w:t>-1,699.8</w:t>
            </w:r>
          </w:p>
        </w:tc>
        <w:tc>
          <w:tcPr>
            <w:tcW w:w="1080" w:type="dxa"/>
          </w:tcPr>
          <w:p w14:paraId="275DD300" w14:textId="77777777" w:rsidR="00B7540A" w:rsidRPr="00586097" w:rsidRDefault="00B7540A" w:rsidP="00920983">
            <w:pPr>
              <w:spacing w:line="276" w:lineRule="auto"/>
              <w:ind w:firstLine="0"/>
              <w:jc w:val="center"/>
            </w:pPr>
            <w:r w:rsidRPr="00586097">
              <w:t>-1,794.8</w:t>
            </w:r>
          </w:p>
        </w:tc>
        <w:tc>
          <w:tcPr>
            <w:tcW w:w="990" w:type="dxa"/>
          </w:tcPr>
          <w:p w14:paraId="5574657D" w14:textId="77777777" w:rsidR="00B7540A" w:rsidRPr="00586097" w:rsidRDefault="00B7540A" w:rsidP="00920983">
            <w:pPr>
              <w:spacing w:line="276" w:lineRule="auto"/>
              <w:ind w:firstLine="0"/>
              <w:jc w:val="center"/>
            </w:pPr>
            <w:r w:rsidRPr="00586097">
              <w:t>-1,256.1</w:t>
            </w:r>
          </w:p>
        </w:tc>
        <w:tc>
          <w:tcPr>
            <w:tcW w:w="1260" w:type="dxa"/>
            <w:shd w:val="clear" w:color="auto" w:fill="D9E2F3"/>
          </w:tcPr>
          <w:p w14:paraId="6D6658FB" w14:textId="77777777" w:rsidR="00B7540A" w:rsidRPr="00586097" w:rsidRDefault="00B7540A" w:rsidP="00920983">
            <w:pPr>
              <w:spacing w:line="276" w:lineRule="auto"/>
              <w:ind w:firstLine="0"/>
              <w:jc w:val="center"/>
            </w:pPr>
            <w:r w:rsidRPr="00586097">
              <w:t>-1,388.9</w:t>
            </w:r>
          </w:p>
        </w:tc>
        <w:tc>
          <w:tcPr>
            <w:tcW w:w="1080" w:type="dxa"/>
            <w:shd w:val="clear" w:color="auto" w:fill="D9E2F3"/>
          </w:tcPr>
          <w:p w14:paraId="0A707698" w14:textId="77777777" w:rsidR="00B7540A" w:rsidRPr="00586097" w:rsidRDefault="00B7540A" w:rsidP="00920983">
            <w:pPr>
              <w:spacing w:line="276" w:lineRule="auto"/>
              <w:ind w:firstLine="0"/>
              <w:jc w:val="center"/>
            </w:pPr>
            <w:r w:rsidRPr="00586097">
              <w:t>-1,609.5</w:t>
            </w:r>
          </w:p>
        </w:tc>
        <w:tc>
          <w:tcPr>
            <w:tcW w:w="990" w:type="dxa"/>
            <w:shd w:val="clear" w:color="auto" w:fill="D9E2F3"/>
          </w:tcPr>
          <w:p w14:paraId="17825DCB" w14:textId="77777777" w:rsidR="00B7540A" w:rsidRPr="00586097" w:rsidRDefault="00B7540A" w:rsidP="00920983">
            <w:pPr>
              <w:spacing w:line="276" w:lineRule="auto"/>
              <w:ind w:firstLine="0"/>
              <w:jc w:val="center"/>
            </w:pPr>
            <w:r w:rsidRPr="00586097">
              <w:t>-1,740.7</w:t>
            </w:r>
          </w:p>
        </w:tc>
        <w:tc>
          <w:tcPr>
            <w:tcW w:w="1101" w:type="dxa"/>
            <w:shd w:val="clear" w:color="auto" w:fill="D9E2F3"/>
          </w:tcPr>
          <w:p w14:paraId="7F54ED8A" w14:textId="77777777" w:rsidR="00B7540A" w:rsidRPr="00586097" w:rsidRDefault="00B7540A" w:rsidP="00920983">
            <w:pPr>
              <w:spacing w:line="276" w:lineRule="auto"/>
              <w:ind w:firstLine="0"/>
              <w:jc w:val="center"/>
            </w:pPr>
            <w:r w:rsidRPr="00586097">
              <w:t>-1,833.1</w:t>
            </w:r>
          </w:p>
        </w:tc>
      </w:tr>
      <w:tr w:rsidR="00D26A99" w:rsidRPr="00586097" w14:paraId="10C7F7BC" w14:textId="77777777" w:rsidTr="00D26A99">
        <w:trPr>
          <w:trHeight w:val="258"/>
        </w:trPr>
        <w:tc>
          <w:tcPr>
            <w:tcW w:w="3495" w:type="dxa"/>
            <w:shd w:val="clear" w:color="auto" w:fill="auto"/>
          </w:tcPr>
          <w:p w14:paraId="73FF54F0" w14:textId="77777777" w:rsidR="00B7540A" w:rsidRPr="00586097" w:rsidRDefault="00B7540A" w:rsidP="00920983">
            <w:pPr>
              <w:spacing w:line="276" w:lineRule="auto"/>
              <w:ind w:firstLine="22"/>
              <w:rPr>
                <w:rFonts w:cs="Sylfaen"/>
              </w:rPr>
            </w:pPr>
            <w:r w:rsidRPr="00586097">
              <w:rPr>
                <w:rFonts w:cs="Sylfaen"/>
              </w:rPr>
              <w:t>Արտահանում</w:t>
            </w:r>
          </w:p>
        </w:tc>
        <w:tc>
          <w:tcPr>
            <w:tcW w:w="1080" w:type="dxa"/>
          </w:tcPr>
          <w:p w14:paraId="256A6B0F" w14:textId="77777777" w:rsidR="00B7540A" w:rsidRPr="00586097" w:rsidRDefault="00B7540A" w:rsidP="00920983">
            <w:pPr>
              <w:spacing w:line="276" w:lineRule="auto"/>
              <w:ind w:firstLine="0"/>
              <w:jc w:val="center"/>
            </w:pPr>
            <w:r w:rsidRPr="00586097">
              <w:t>4,941.7</w:t>
            </w:r>
          </w:p>
        </w:tc>
        <w:tc>
          <w:tcPr>
            <w:tcW w:w="1080" w:type="dxa"/>
          </w:tcPr>
          <w:p w14:paraId="7E99D944" w14:textId="77777777" w:rsidR="00B7540A" w:rsidRPr="00586097" w:rsidRDefault="00B7540A" w:rsidP="00920983">
            <w:pPr>
              <w:spacing w:line="276" w:lineRule="auto"/>
              <w:ind w:firstLine="0"/>
              <w:jc w:val="center"/>
            </w:pPr>
            <w:r w:rsidRPr="00586097">
              <w:t>5,718.1</w:t>
            </w:r>
          </w:p>
        </w:tc>
        <w:tc>
          <w:tcPr>
            <w:tcW w:w="990" w:type="dxa"/>
          </w:tcPr>
          <w:p w14:paraId="6F30F618" w14:textId="77777777" w:rsidR="00B7540A" w:rsidRPr="00586097" w:rsidRDefault="00B7540A" w:rsidP="00920983">
            <w:pPr>
              <w:spacing w:line="276" w:lineRule="auto"/>
              <w:ind w:firstLine="0"/>
              <w:jc w:val="center"/>
            </w:pPr>
            <w:r w:rsidRPr="00586097">
              <w:t>3,762.6</w:t>
            </w:r>
          </w:p>
        </w:tc>
        <w:tc>
          <w:tcPr>
            <w:tcW w:w="1260" w:type="dxa"/>
            <w:shd w:val="clear" w:color="auto" w:fill="D9E2F3"/>
          </w:tcPr>
          <w:p w14:paraId="445DE23E" w14:textId="77777777" w:rsidR="00B7540A" w:rsidRPr="00586097" w:rsidRDefault="00B7540A" w:rsidP="00920983">
            <w:pPr>
              <w:spacing w:line="276" w:lineRule="auto"/>
              <w:ind w:firstLine="0"/>
              <w:jc w:val="center"/>
            </w:pPr>
            <w:r w:rsidRPr="00586097">
              <w:t>4,446.8</w:t>
            </w:r>
          </w:p>
        </w:tc>
        <w:tc>
          <w:tcPr>
            <w:tcW w:w="1080" w:type="dxa"/>
            <w:shd w:val="clear" w:color="auto" w:fill="D9E2F3"/>
          </w:tcPr>
          <w:p w14:paraId="60BD312C" w14:textId="77777777" w:rsidR="00B7540A" w:rsidRPr="00586097" w:rsidRDefault="00B7540A" w:rsidP="00920983">
            <w:pPr>
              <w:spacing w:line="276" w:lineRule="auto"/>
              <w:ind w:firstLine="0"/>
              <w:jc w:val="center"/>
            </w:pPr>
            <w:r w:rsidRPr="00586097">
              <w:t>5,112.6</w:t>
            </w:r>
          </w:p>
        </w:tc>
        <w:tc>
          <w:tcPr>
            <w:tcW w:w="990" w:type="dxa"/>
            <w:shd w:val="clear" w:color="auto" w:fill="D9E2F3"/>
          </w:tcPr>
          <w:p w14:paraId="55145E38" w14:textId="77777777" w:rsidR="00B7540A" w:rsidRPr="00586097" w:rsidRDefault="00B7540A" w:rsidP="00920983">
            <w:pPr>
              <w:spacing w:line="276" w:lineRule="auto"/>
              <w:ind w:firstLine="0"/>
              <w:jc w:val="center"/>
            </w:pPr>
            <w:r w:rsidRPr="00586097">
              <w:t>5,727.1</w:t>
            </w:r>
          </w:p>
        </w:tc>
        <w:tc>
          <w:tcPr>
            <w:tcW w:w="1101" w:type="dxa"/>
            <w:shd w:val="clear" w:color="auto" w:fill="D9E2F3"/>
          </w:tcPr>
          <w:p w14:paraId="096F6024" w14:textId="77777777" w:rsidR="00B7540A" w:rsidRPr="00586097" w:rsidRDefault="00B7540A" w:rsidP="00920983">
            <w:pPr>
              <w:spacing w:line="276" w:lineRule="auto"/>
              <w:ind w:firstLine="0"/>
              <w:jc w:val="center"/>
            </w:pPr>
            <w:r w:rsidRPr="00586097">
              <w:t>6,322.7</w:t>
            </w:r>
          </w:p>
        </w:tc>
      </w:tr>
      <w:tr w:rsidR="00D26A99" w:rsidRPr="00586097" w14:paraId="477F38C8" w14:textId="77777777" w:rsidTr="00D26A99">
        <w:trPr>
          <w:trHeight w:val="258"/>
        </w:trPr>
        <w:tc>
          <w:tcPr>
            <w:tcW w:w="3495" w:type="dxa"/>
            <w:shd w:val="clear" w:color="auto" w:fill="auto"/>
          </w:tcPr>
          <w:p w14:paraId="627792AE" w14:textId="77777777" w:rsidR="00B7540A" w:rsidRPr="00586097" w:rsidRDefault="00B7540A" w:rsidP="00920983">
            <w:pPr>
              <w:spacing w:line="276" w:lineRule="auto"/>
              <w:ind w:left="309" w:firstLine="22"/>
              <w:rPr>
                <w:rFonts w:cs="Sylfaen"/>
              </w:rPr>
            </w:pPr>
            <w:r w:rsidRPr="00586097">
              <w:rPr>
                <w:rFonts w:cs="Sylfaen"/>
              </w:rPr>
              <w:t>Փոփոխություն, %</w:t>
            </w:r>
          </w:p>
        </w:tc>
        <w:tc>
          <w:tcPr>
            <w:tcW w:w="1080" w:type="dxa"/>
          </w:tcPr>
          <w:p w14:paraId="2042FD92" w14:textId="77777777" w:rsidR="00B7540A" w:rsidRPr="00586097" w:rsidRDefault="00B7540A" w:rsidP="00920983">
            <w:pPr>
              <w:spacing w:line="276" w:lineRule="auto"/>
              <w:ind w:firstLine="0"/>
              <w:jc w:val="center"/>
            </w:pPr>
            <w:r w:rsidRPr="00586097">
              <w:t>12.1</w:t>
            </w:r>
          </w:p>
        </w:tc>
        <w:tc>
          <w:tcPr>
            <w:tcW w:w="1080" w:type="dxa"/>
          </w:tcPr>
          <w:p w14:paraId="45069425" w14:textId="77777777" w:rsidR="00B7540A" w:rsidRPr="00586097" w:rsidRDefault="00B7540A" w:rsidP="00920983">
            <w:pPr>
              <w:spacing w:line="276" w:lineRule="auto"/>
              <w:ind w:firstLine="0"/>
              <w:jc w:val="center"/>
            </w:pPr>
            <w:r w:rsidRPr="00586097">
              <w:t>15.7</w:t>
            </w:r>
          </w:p>
        </w:tc>
        <w:tc>
          <w:tcPr>
            <w:tcW w:w="990" w:type="dxa"/>
          </w:tcPr>
          <w:p w14:paraId="286E1B92" w14:textId="77777777" w:rsidR="00B7540A" w:rsidRPr="00586097" w:rsidRDefault="00B7540A" w:rsidP="00920983">
            <w:pPr>
              <w:spacing w:line="276" w:lineRule="auto"/>
              <w:ind w:firstLine="0"/>
              <w:jc w:val="center"/>
            </w:pPr>
            <w:r w:rsidRPr="00586097">
              <w:t>-34.2</w:t>
            </w:r>
          </w:p>
        </w:tc>
        <w:tc>
          <w:tcPr>
            <w:tcW w:w="1260" w:type="dxa"/>
            <w:shd w:val="clear" w:color="auto" w:fill="D9E2F3"/>
          </w:tcPr>
          <w:p w14:paraId="2324787F" w14:textId="77777777" w:rsidR="00B7540A" w:rsidRPr="00586097" w:rsidRDefault="00B7540A" w:rsidP="00920983">
            <w:pPr>
              <w:spacing w:line="276" w:lineRule="auto"/>
              <w:ind w:firstLine="0"/>
              <w:jc w:val="center"/>
            </w:pPr>
            <w:r w:rsidRPr="00586097">
              <w:t>18.2</w:t>
            </w:r>
          </w:p>
        </w:tc>
        <w:tc>
          <w:tcPr>
            <w:tcW w:w="1080" w:type="dxa"/>
            <w:shd w:val="clear" w:color="auto" w:fill="D9E2F3"/>
          </w:tcPr>
          <w:p w14:paraId="492F6C6A" w14:textId="77777777" w:rsidR="00B7540A" w:rsidRPr="00586097" w:rsidRDefault="00B7540A" w:rsidP="00920983">
            <w:pPr>
              <w:spacing w:line="276" w:lineRule="auto"/>
              <w:ind w:firstLine="0"/>
              <w:jc w:val="center"/>
            </w:pPr>
            <w:r w:rsidRPr="00586097">
              <w:t>15.0</w:t>
            </w:r>
          </w:p>
        </w:tc>
        <w:tc>
          <w:tcPr>
            <w:tcW w:w="990" w:type="dxa"/>
            <w:shd w:val="clear" w:color="auto" w:fill="D9E2F3"/>
          </w:tcPr>
          <w:p w14:paraId="3B5EF4E7" w14:textId="77777777" w:rsidR="00B7540A" w:rsidRPr="00586097" w:rsidRDefault="00B7540A" w:rsidP="00920983">
            <w:pPr>
              <w:spacing w:line="276" w:lineRule="auto"/>
              <w:ind w:firstLine="0"/>
              <w:jc w:val="center"/>
            </w:pPr>
            <w:r w:rsidRPr="00586097">
              <w:t>12.0</w:t>
            </w:r>
          </w:p>
        </w:tc>
        <w:tc>
          <w:tcPr>
            <w:tcW w:w="1101" w:type="dxa"/>
            <w:shd w:val="clear" w:color="auto" w:fill="D9E2F3"/>
          </w:tcPr>
          <w:p w14:paraId="44E605F4" w14:textId="77777777" w:rsidR="00B7540A" w:rsidRPr="00586097" w:rsidRDefault="00B7540A" w:rsidP="00920983">
            <w:pPr>
              <w:spacing w:line="276" w:lineRule="auto"/>
              <w:ind w:firstLine="0"/>
              <w:jc w:val="center"/>
            </w:pPr>
            <w:r w:rsidRPr="00586097">
              <w:t>10.4</w:t>
            </w:r>
          </w:p>
        </w:tc>
      </w:tr>
      <w:tr w:rsidR="00D26A99" w:rsidRPr="00586097" w14:paraId="2390B6FB" w14:textId="77777777" w:rsidTr="00D26A99">
        <w:trPr>
          <w:trHeight w:val="258"/>
        </w:trPr>
        <w:tc>
          <w:tcPr>
            <w:tcW w:w="3495" w:type="dxa"/>
            <w:shd w:val="clear" w:color="auto" w:fill="auto"/>
          </w:tcPr>
          <w:p w14:paraId="76B23402" w14:textId="77777777" w:rsidR="00B7540A" w:rsidRPr="00586097" w:rsidRDefault="00B7540A" w:rsidP="00920983">
            <w:pPr>
              <w:spacing w:line="276" w:lineRule="auto"/>
              <w:ind w:firstLine="22"/>
              <w:rPr>
                <w:rFonts w:cs="Sylfaen"/>
              </w:rPr>
            </w:pPr>
            <w:r w:rsidRPr="00586097">
              <w:rPr>
                <w:rFonts w:cs="Sylfaen"/>
              </w:rPr>
              <w:t>Ներմուծում</w:t>
            </w:r>
          </w:p>
        </w:tc>
        <w:tc>
          <w:tcPr>
            <w:tcW w:w="1080" w:type="dxa"/>
          </w:tcPr>
          <w:p w14:paraId="2D822B63" w14:textId="77777777" w:rsidR="00B7540A" w:rsidRPr="00586097" w:rsidRDefault="00B7540A" w:rsidP="00920983">
            <w:pPr>
              <w:spacing w:line="276" w:lineRule="auto"/>
              <w:ind w:firstLine="0"/>
              <w:jc w:val="center"/>
            </w:pPr>
            <w:r w:rsidRPr="00586097">
              <w:t>6,641.5</w:t>
            </w:r>
          </w:p>
        </w:tc>
        <w:tc>
          <w:tcPr>
            <w:tcW w:w="1080" w:type="dxa"/>
          </w:tcPr>
          <w:p w14:paraId="75C735C6" w14:textId="77777777" w:rsidR="00B7540A" w:rsidRPr="00586097" w:rsidRDefault="00B7540A" w:rsidP="00920983">
            <w:pPr>
              <w:spacing w:line="276" w:lineRule="auto"/>
              <w:ind w:firstLine="0"/>
              <w:jc w:val="center"/>
            </w:pPr>
            <w:r w:rsidRPr="00586097">
              <w:t>7,512.9</w:t>
            </w:r>
          </w:p>
        </w:tc>
        <w:tc>
          <w:tcPr>
            <w:tcW w:w="990" w:type="dxa"/>
          </w:tcPr>
          <w:p w14:paraId="7666F1B3" w14:textId="77777777" w:rsidR="00B7540A" w:rsidRPr="00586097" w:rsidRDefault="00B7540A" w:rsidP="00920983">
            <w:pPr>
              <w:spacing w:line="276" w:lineRule="auto"/>
              <w:ind w:firstLine="0"/>
              <w:jc w:val="center"/>
            </w:pPr>
            <w:r w:rsidRPr="00586097">
              <w:t>5,018.7</w:t>
            </w:r>
          </w:p>
        </w:tc>
        <w:tc>
          <w:tcPr>
            <w:tcW w:w="1260" w:type="dxa"/>
            <w:shd w:val="clear" w:color="auto" w:fill="D9E2F3"/>
          </w:tcPr>
          <w:p w14:paraId="66535B22" w14:textId="77777777" w:rsidR="00B7540A" w:rsidRPr="00586097" w:rsidRDefault="00B7540A" w:rsidP="00920983">
            <w:pPr>
              <w:spacing w:line="276" w:lineRule="auto"/>
              <w:ind w:firstLine="0"/>
              <w:jc w:val="center"/>
            </w:pPr>
            <w:r w:rsidRPr="00586097">
              <w:t>5,835.7</w:t>
            </w:r>
          </w:p>
        </w:tc>
        <w:tc>
          <w:tcPr>
            <w:tcW w:w="1080" w:type="dxa"/>
            <w:shd w:val="clear" w:color="auto" w:fill="D9E2F3"/>
          </w:tcPr>
          <w:p w14:paraId="26DC11FA" w14:textId="77777777" w:rsidR="00B7540A" w:rsidRPr="00586097" w:rsidRDefault="00B7540A" w:rsidP="00920983">
            <w:pPr>
              <w:spacing w:line="276" w:lineRule="auto"/>
              <w:ind w:firstLine="0"/>
              <w:jc w:val="center"/>
            </w:pPr>
            <w:r w:rsidRPr="00586097">
              <w:t>6,722.0</w:t>
            </w:r>
          </w:p>
        </w:tc>
        <w:tc>
          <w:tcPr>
            <w:tcW w:w="990" w:type="dxa"/>
            <w:shd w:val="clear" w:color="auto" w:fill="D9E2F3"/>
          </w:tcPr>
          <w:p w14:paraId="63AA6980" w14:textId="77777777" w:rsidR="00B7540A" w:rsidRPr="00586097" w:rsidRDefault="00B7540A" w:rsidP="00920983">
            <w:pPr>
              <w:spacing w:line="276" w:lineRule="auto"/>
              <w:ind w:firstLine="0"/>
              <w:jc w:val="center"/>
            </w:pPr>
            <w:r w:rsidRPr="00586097">
              <w:t>7,467.8</w:t>
            </w:r>
          </w:p>
        </w:tc>
        <w:tc>
          <w:tcPr>
            <w:tcW w:w="1101" w:type="dxa"/>
            <w:shd w:val="clear" w:color="auto" w:fill="D9E2F3"/>
          </w:tcPr>
          <w:p w14:paraId="1B9E50DC" w14:textId="77777777" w:rsidR="00B7540A" w:rsidRPr="00586097" w:rsidRDefault="00B7540A" w:rsidP="00920983">
            <w:pPr>
              <w:spacing w:line="276" w:lineRule="auto"/>
              <w:ind w:firstLine="0"/>
              <w:jc w:val="center"/>
            </w:pPr>
            <w:r w:rsidRPr="00586097">
              <w:t>8,155.8</w:t>
            </w:r>
          </w:p>
        </w:tc>
      </w:tr>
      <w:tr w:rsidR="00D26A99" w:rsidRPr="00586097" w14:paraId="1A3C9084" w14:textId="77777777" w:rsidTr="00D26A99">
        <w:trPr>
          <w:trHeight w:val="258"/>
        </w:trPr>
        <w:tc>
          <w:tcPr>
            <w:tcW w:w="3495" w:type="dxa"/>
            <w:shd w:val="clear" w:color="auto" w:fill="auto"/>
            <w:noWrap/>
          </w:tcPr>
          <w:p w14:paraId="01C8715C" w14:textId="77777777" w:rsidR="00B7540A" w:rsidRPr="00586097" w:rsidRDefault="00B7540A" w:rsidP="00920983">
            <w:pPr>
              <w:spacing w:line="276" w:lineRule="auto"/>
              <w:ind w:left="309" w:firstLine="22"/>
              <w:rPr>
                <w:rFonts w:cs="Sylfaen"/>
              </w:rPr>
            </w:pPr>
            <w:r w:rsidRPr="00586097">
              <w:rPr>
                <w:rFonts w:cs="Sylfaen"/>
              </w:rPr>
              <w:t>Փոփոխություն, %</w:t>
            </w:r>
          </w:p>
        </w:tc>
        <w:tc>
          <w:tcPr>
            <w:tcW w:w="1080" w:type="dxa"/>
          </w:tcPr>
          <w:p w14:paraId="01B1966A" w14:textId="77777777" w:rsidR="00B7540A" w:rsidRPr="00586097" w:rsidRDefault="00B7540A" w:rsidP="00920983">
            <w:pPr>
              <w:spacing w:line="276" w:lineRule="auto"/>
              <w:ind w:firstLine="0"/>
              <w:jc w:val="center"/>
            </w:pPr>
            <w:r w:rsidRPr="00586097">
              <w:t>17.5</w:t>
            </w:r>
          </w:p>
        </w:tc>
        <w:tc>
          <w:tcPr>
            <w:tcW w:w="1080" w:type="dxa"/>
          </w:tcPr>
          <w:p w14:paraId="14E418A2" w14:textId="77777777" w:rsidR="00B7540A" w:rsidRPr="00586097" w:rsidRDefault="00B7540A" w:rsidP="00920983">
            <w:pPr>
              <w:spacing w:line="276" w:lineRule="auto"/>
              <w:ind w:firstLine="0"/>
              <w:jc w:val="center"/>
            </w:pPr>
            <w:r w:rsidRPr="00586097">
              <w:t>13.1</w:t>
            </w:r>
          </w:p>
        </w:tc>
        <w:tc>
          <w:tcPr>
            <w:tcW w:w="990" w:type="dxa"/>
          </w:tcPr>
          <w:p w14:paraId="0D91CB34" w14:textId="77777777" w:rsidR="00B7540A" w:rsidRPr="00586097" w:rsidRDefault="00B7540A" w:rsidP="00920983">
            <w:pPr>
              <w:spacing w:line="276" w:lineRule="auto"/>
              <w:ind w:firstLine="0"/>
              <w:jc w:val="center"/>
            </w:pPr>
            <w:r w:rsidRPr="00586097">
              <w:t>-33.2</w:t>
            </w:r>
          </w:p>
        </w:tc>
        <w:tc>
          <w:tcPr>
            <w:tcW w:w="1260" w:type="dxa"/>
            <w:shd w:val="clear" w:color="auto" w:fill="D9E2F3"/>
          </w:tcPr>
          <w:p w14:paraId="2D2D3944" w14:textId="77777777" w:rsidR="00B7540A" w:rsidRPr="00586097" w:rsidRDefault="00B7540A" w:rsidP="00920983">
            <w:pPr>
              <w:spacing w:line="276" w:lineRule="auto"/>
              <w:ind w:firstLine="0"/>
              <w:jc w:val="center"/>
            </w:pPr>
            <w:r w:rsidRPr="00586097">
              <w:t>16.3</w:t>
            </w:r>
          </w:p>
        </w:tc>
        <w:tc>
          <w:tcPr>
            <w:tcW w:w="1080" w:type="dxa"/>
            <w:shd w:val="clear" w:color="auto" w:fill="D9E2F3"/>
          </w:tcPr>
          <w:p w14:paraId="3AFAAFE7" w14:textId="77777777" w:rsidR="00B7540A" w:rsidRPr="00586097" w:rsidRDefault="00B7540A" w:rsidP="00920983">
            <w:pPr>
              <w:spacing w:line="276" w:lineRule="auto"/>
              <w:ind w:firstLine="0"/>
              <w:jc w:val="center"/>
            </w:pPr>
            <w:r w:rsidRPr="00586097">
              <w:t>15.2</w:t>
            </w:r>
          </w:p>
        </w:tc>
        <w:tc>
          <w:tcPr>
            <w:tcW w:w="990" w:type="dxa"/>
            <w:shd w:val="clear" w:color="auto" w:fill="D9E2F3"/>
          </w:tcPr>
          <w:p w14:paraId="3E3AFC25" w14:textId="77777777" w:rsidR="00B7540A" w:rsidRPr="00586097" w:rsidRDefault="00B7540A" w:rsidP="00920983">
            <w:pPr>
              <w:spacing w:line="276" w:lineRule="auto"/>
              <w:ind w:firstLine="0"/>
              <w:jc w:val="center"/>
            </w:pPr>
            <w:r w:rsidRPr="00586097">
              <w:t>11.1</w:t>
            </w:r>
          </w:p>
        </w:tc>
        <w:tc>
          <w:tcPr>
            <w:tcW w:w="1101" w:type="dxa"/>
            <w:shd w:val="clear" w:color="auto" w:fill="D9E2F3"/>
          </w:tcPr>
          <w:p w14:paraId="77E7FF5D" w14:textId="77777777" w:rsidR="00B7540A" w:rsidRPr="00586097" w:rsidRDefault="00B7540A" w:rsidP="00920983">
            <w:pPr>
              <w:spacing w:line="276" w:lineRule="auto"/>
              <w:ind w:firstLine="0"/>
              <w:jc w:val="center"/>
            </w:pPr>
            <w:r w:rsidRPr="00586097">
              <w:t>9.2</w:t>
            </w:r>
          </w:p>
        </w:tc>
      </w:tr>
      <w:tr w:rsidR="00D26A99" w:rsidRPr="00586097" w14:paraId="6BB4FE4D" w14:textId="77777777" w:rsidTr="00D26A99">
        <w:trPr>
          <w:trHeight w:val="258"/>
        </w:trPr>
        <w:tc>
          <w:tcPr>
            <w:tcW w:w="3495" w:type="dxa"/>
            <w:shd w:val="clear" w:color="auto" w:fill="auto"/>
            <w:noWrap/>
          </w:tcPr>
          <w:p w14:paraId="2080EA00" w14:textId="77777777" w:rsidR="00B7540A" w:rsidRPr="00586097" w:rsidRDefault="00B7540A" w:rsidP="00920983">
            <w:pPr>
              <w:spacing w:line="276" w:lineRule="auto"/>
              <w:ind w:firstLine="22"/>
              <w:rPr>
                <w:rFonts w:cs="Sylfaen"/>
              </w:rPr>
            </w:pPr>
            <w:r w:rsidRPr="00586097">
              <w:rPr>
                <w:rFonts w:cs="Sylfaen"/>
              </w:rPr>
              <w:t>Դրամական փոխանցումներ</w:t>
            </w:r>
          </w:p>
        </w:tc>
        <w:tc>
          <w:tcPr>
            <w:tcW w:w="1080" w:type="dxa"/>
          </w:tcPr>
          <w:p w14:paraId="0C9DD7DF" w14:textId="77777777" w:rsidR="00B7540A" w:rsidRPr="00586097" w:rsidRDefault="00B7540A" w:rsidP="00920983">
            <w:pPr>
              <w:spacing w:line="276" w:lineRule="auto"/>
              <w:ind w:firstLine="0"/>
              <w:jc w:val="center"/>
            </w:pPr>
            <w:r w:rsidRPr="00586097">
              <w:t>1,136.2</w:t>
            </w:r>
          </w:p>
        </w:tc>
        <w:tc>
          <w:tcPr>
            <w:tcW w:w="1080" w:type="dxa"/>
          </w:tcPr>
          <w:p w14:paraId="1E6F3FA2" w14:textId="77777777" w:rsidR="00B7540A" w:rsidRPr="00586097" w:rsidRDefault="00B7540A" w:rsidP="00920983">
            <w:pPr>
              <w:spacing w:line="276" w:lineRule="auto"/>
              <w:ind w:firstLine="0"/>
              <w:jc w:val="center"/>
            </w:pPr>
            <w:r w:rsidRPr="00586097">
              <w:t>1,143.8</w:t>
            </w:r>
          </w:p>
        </w:tc>
        <w:tc>
          <w:tcPr>
            <w:tcW w:w="990" w:type="dxa"/>
          </w:tcPr>
          <w:p w14:paraId="2CE8F77B" w14:textId="77777777" w:rsidR="00B7540A" w:rsidRPr="00586097" w:rsidRDefault="00B7540A" w:rsidP="00920983">
            <w:pPr>
              <w:spacing w:line="276" w:lineRule="auto"/>
              <w:ind w:firstLine="0"/>
              <w:jc w:val="center"/>
            </w:pPr>
            <w:r w:rsidRPr="00586097">
              <w:t>1,040.2</w:t>
            </w:r>
          </w:p>
        </w:tc>
        <w:tc>
          <w:tcPr>
            <w:tcW w:w="1260" w:type="dxa"/>
            <w:shd w:val="clear" w:color="auto" w:fill="D9E2F3"/>
          </w:tcPr>
          <w:p w14:paraId="006AE40F" w14:textId="77777777" w:rsidR="00B7540A" w:rsidRPr="00586097" w:rsidRDefault="00B7540A" w:rsidP="00920983">
            <w:pPr>
              <w:spacing w:line="276" w:lineRule="auto"/>
              <w:ind w:firstLine="0"/>
              <w:jc w:val="center"/>
            </w:pPr>
            <w:r w:rsidRPr="00586097">
              <w:t>1,404.3</w:t>
            </w:r>
          </w:p>
        </w:tc>
        <w:tc>
          <w:tcPr>
            <w:tcW w:w="1080" w:type="dxa"/>
            <w:shd w:val="clear" w:color="auto" w:fill="D9E2F3"/>
          </w:tcPr>
          <w:p w14:paraId="1FBBB3AC" w14:textId="77777777" w:rsidR="00B7540A" w:rsidRPr="00586097" w:rsidRDefault="00B7540A" w:rsidP="00920983">
            <w:pPr>
              <w:spacing w:line="276" w:lineRule="auto"/>
              <w:ind w:firstLine="0"/>
              <w:jc w:val="center"/>
            </w:pPr>
            <w:r w:rsidRPr="00586097">
              <w:t>1,474.5</w:t>
            </w:r>
          </w:p>
        </w:tc>
        <w:tc>
          <w:tcPr>
            <w:tcW w:w="990" w:type="dxa"/>
            <w:shd w:val="clear" w:color="auto" w:fill="D9E2F3"/>
          </w:tcPr>
          <w:p w14:paraId="7EE88501" w14:textId="77777777" w:rsidR="00B7540A" w:rsidRPr="00586097" w:rsidRDefault="00B7540A" w:rsidP="00920983">
            <w:pPr>
              <w:spacing w:line="276" w:lineRule="auto"/>
              <w:ind w:firstLine="0"/>
              <w:jc w:val="center"/>
            </w:pPr>
            <w:r w:rsidRPr="00586097">
              <w:t>1,548.2</w:t>
            </w:r>
          </w:p>
        </w:tc>
        <w:tc>
          <w:tcPr>
            <w:tcW w:w="1101" w:type="dxa"/>
            <w:shd w:val="clear" w:color="auto" w:fill="D9E2F3"/>
          </w:tcPr>
          <w:p w14:paraId="3943738F" w14:textId="77777777" w:rsidR="00B7540A" w:rsidRPr="00586097" w:rsidRDefault="00B7540A" w:rsidP="00920983">
            <w:pPr>
              <w:spacing w:line="276" w:lineRule="auto"/>
              <w:ind w:firstLine="0"/>
              <w:jc w:val="center"/>
            </w:pPr>
            <w:r w:rsidRPr="00586097">
              <w:t>1,625.6</w:t>
            </w:r>
          </w:p>
        </w:tc>
      </w:tr>
      <w:tr w:rsidR="00B7540A" w:rsidRPr="00586097" w14:paraId="491B4BAE" w14:textId="77777777" w:rsidTr="00920983">
        <w:trPr>
          <w:trHeight w:val="258"/>
        </w:trPr>
        <w:tc>
          <w:tcPr>
            <w:tcW w:w="11076" w:type="dxa"/>
            <w:gridSpan w:val="8"/>
            <w:shd w:val="clear" w:color="auto" w:fill="auto"/>
            <w:noWrap/>
          </w:tcPr>
          <w:p w14:paraId="198CC982" w14:textId="77777777" w:rsidR="00B7540A" w:rsidRPr="00586097" w:rsidRDefault="00B7540A" w:rsidP="00920983">
            <w:pPr>
              <w:spacing w:line="276" w:lineRule="auto"/>
              <w:ind w:firstLine="0"/>
            </w:pPr>
            <w:r w:rsidRPr="00586097">
              <w:rPr>
                <w:rFonts w:cs="Sylfaen"/>
                <w:b/>
                <w:u w:val="single"/>
              </w:rPr>
              <w:t>ՀՆԱ-ի նկատմամբ %</w:t>
            </w:r>
          </w:p>
        </w:tc>
      </w:tr>
      <w:tr w:rsidR="00D26A99" w:rsidRPr="00586097" w14:paraId="6D950BB2" w14:textId="77777777" w:rsidTr="00D26A99">
        <w:trPr>
          <w:trHeight w:val="258"/>
        </w:trPr>
        <w:tc>
          <w:tcPr>
            <w:tcW w:w="3495" w:type="dxa"/>
            <w:shd w:val="clear" w:color="auto" w:fill="auto"/>
            <w:noWrap/>
          </w:tcPr>
          <w:p w14:paraId="373328AE" w14:textId="77777777" w:rsidR="00B7540A" w:rsidRPr="00586097" w:rsidRDefault="00B7540A" w:rsidP="00920983">
            <w:pPr>
              <w:spacing w:line="276" w:lineRule="auto"/>
              <w:ind w:firstLine="22"/>
              <w:rPr>
                <w:rFonts w:cs="Sylfaen"/>
              </w:rPr>
            </w:pPr>
            <w:r w:rsidRPr="00586097">
              <w:rPr>
                <w:rFonts w:cs="Sylfaen"/>
              </w:rPr>
              <w:t xml:space="preserve">Ընթացիկ հաշիվ </w:t>
            </w:r>
          </w:p>
        </w:tc>
        <w:tc>
          <w:tcPr>
            <w:tcW w:w="1080" w:type="dxa"/>
            <w:vAlign w:val="center"/>
          </w:tcPr>
          <w:p w14:paraId="40AC6637" w14:textId="77777777" w:rsidR="00B7540A" w:rsidRPr="00586097" w:rsidRDefault="00B7540A" w:rsidP="00920983">
            <w:pPr>
              <w:spacing w:line="276" w:lineRule="auto"/>
              <w:ind w:firstLine="0"/>
              <w:jc w:val="center"/>
            </w:pPr>
            <w:r w:rsidRPr="00586097">
              <w:t>-7.0</w:t>
            </w:r>
          </w:p>
        </w:tc>
        <w:tc>
          <w:tcPr>
            <w:tcW w:w="1080" w:type="dxa"/>
            <w:vAlign w:val="center"/>
          </w:tcPr>
          <w:p w14:paraId="30DA1F01" w14:textId="77777777" w:rsidR="00B7540A" w:rsidRPr="00586097" w:rsidRDefault="00B7540A" w:rsidP="00920983">
            <w:pPr>
              <w:spacing w:line="276" w:lineRule="auto"/>
              <w:ind w:firstLine="0"/>
              <w:jc w:val="center"/>
            </w:pPr>
            <w:r w:rsidRPr="00586097">
              <w:t>-7.4</w:t>
            </w:r>
          </w:p>
        </w:tc>
        <w:tc>
          <w:tcPr>
            <w:tcW w:w="990" w:type="dxa"/>
            <w:vAlign w:val="center"/>
          </w:tcPr>
          <w:p w14:paraId="3AE426BB" w14:textId="77777777" w:rsidR="00B7540A" w:rsidRPr="00586097" w:rsidRDefault="00B7540A" w:rsidP="00920983">
            <w:pPr>
              <w:spacing w:line="276" w:lineRule="auto"/>
              <w:ind w:firstLine="0"/>
              <w:jc w:val="center"/>
            </w:pPr>
            <w:r w:rsidRPr="00586097">
              <w:t>-3.8</w:t>
            </w:r>
          </w:p>
        </w:tc>
        <w:tc>
          <w:tcPr>
            <w:tcW w:w="1260" w:type="dxa"/>
            <w:shd w:val="clear" w:color="auto" w:fill="D9E2F3"/>
            <w:vAlign w:val="center"/>
          </w:tcPr>
          <w:p w14:paraId="5DAEA4B4" w14:textId="77777777" w:rsidR="00B7540A" w:rsidRPr="00586097" w:rsidRDefault="00B7540A" w:rsidP="00920983">
            <w:pPr>
              <w:spacing w:line="276" w:lineRule="auto"/>
              <w:ind w:firstLine="0"/>
              <w:jc w:val="center"/>
            </w:pPr>
            <w:r w:rsidRPr="00586097">
              <w:t>-2.1</w:t>
            </w:r>
          </w:p>
        </w:tc>
        <w:tc>
          <w:tcPr>
            <w:tcW w:w="1080" w:type="dxa"/>
            <w:shd w:val="clear" w:color="auto" w:fill="D9E2F3"/>
            <w:vAlign w:val="center"/>
          </w:tcPr>
          <w:p w14:paraId="0FF18641" w14:textId="77777777" w:rsidR="00B7540A" w:rsidRPr="00586097" w:rsidRDefault="00B7540A" w:rsidP="00920983">
            <w:pPr>
              <w:spacing w:line="276" w:lineRule="auto"/>
              <w:ind w:firstLine="0"/>
              <w:jc w:val="center"/>
            </w:pPr>
            <w:r w:rsidRPr="00586097">
              <w:t>-2.9</w:t>
            </w:r>
          </w:p>
        </w:tc>
        <w:tc>
          <w:tcPr>
            <w:tcW w:w="990" w:type="dxa"/>
            <w:shd w:val="clear" w:color="auto" w:fill="D9E2F3"/>
            <w:vAlign w:val="center"/>
          </w:tcPr>
          <w:p w14:paraId="3FB81E91" w14:textId="77777777" w:rsidR="00B7540A" w:rsidRPr="00586097" w:rsidRDefault="00B7540A" w:rsidP="00920983">
            <w:pPr>
              <w:spacing w:line="276" w:lineRule="auto"/>
              <w:ind w:firstLine="0"/>
              <w:jc w:val="center"/>
            </w:pPr>
            <w:r w:rsidRPr="00586097">
              <w:t>-3.5</w:t>
            </w:r>
          </w:p>
        </w:tc>
        <w:tc>
          <w:tcPr>
            <w:tcW w:w="1101" w:type="dxa"/>
            <w:shd w:val="clear" w:color="auto" w:fill="D9E2F3"/>
            <w:vAlign w:val="center"/>
          </w:tcPr>
          <w:p w14:paraId="157967EF" w14:textId="77777777" w:rsidR="00B7540A" w:rsidRPr="00586097" w:rsidRDefault="00B7540A" w:rsidP="00920983">
            <w:pPr>
              <w:spacing w:line="276" w:lineRule="auto"/>
              <w:ind w:firstLine="0"/>
              <w:jc w:val="center"/>
            </w:pPr>
            <w:r w:rsidRPr="00586097">
              <w:t>-3.8</w:t>
            </w:r>
          </w:p>
        </w:tc>
      </w:tr>
      <w:tr w:rsidR="00D26A99" w:rsidRPr="00586097" w14:paraId="66734A60" w14:textId="77777777" w:rsidTr="00D26A99">
        <w:trPr>
          <w:trHeight w:val="258"/>
        </w:trPr>
        <w:tc>
          <w:tcPr>
            <w:tcW w:w="3495" w:type="dxa"/>
            <w:shd w:val="clear" w:color="auto" w:fill="auto"/>
            <w:noWrap/>
          </w:tcPr>
          <w:p w14:paraId="09EE9DA2" w14:textId="77777777" w:rsidR="00B7540A" w:rsidRPr="00586097" w:rsidRDefault="00B7540A" w:rsidP="00920983">
            <w:pPr>
              <w:spacing w:line="276" w:lineRule="auto"/>
              <w:ind w:firstLine="22"/>
              <w:rPr>
                <w:rFonts w:cs="Sylfaen"/>
                <w:u w:val="single"/>
              </w:rPr>
            </w:pPr>
            <w:r w:rsidRPr="00586097">
              <w:rPr>
                <w:rFonts w:cs="Sylfaen"/>
              </w:rPr>
              <w:t>Ապրանքների և ծառայությունների հաշվեկշիռ</w:t>
            </w:r>
          </w:p>
        </w:tc>
        <w:tc>
          <w:tcPr>
            <w:tcW w:w="1080" w:type="dxa"/>
            <w:vAlign w:val="center"/>
          </w:tcPr>
          <w:p w14:paraId="22220DF8" w14:textId="77777777" w:rsidR="00B7540A" w:rsidRPr="00586097" w:rsidRDefault="00B7540A" w:rsidP="00920983">
            <w:pPr>
              <w:spacing w:line="276" w:lineRule="auto"/>
              <w:ind w:firstLine="0"/>
              <w:jc w:val="center"/>
            </w:pPr>
            <w:r w:rsidRPr="00586097">
              <w:t>-13.6</w:t>
            </w:r>
          </w:p>
        </w:tc>
        <w:tc>
          <w:tcPr>
            <w:tcW w:w="1080" w:type="dxa"/>
            <w:vAlign w:val="center"/>
          </w:tcPr>
          <w:p w14:paraId="0F7EACD4" w14:textId="77777777" w:rsidR="00B7540A" w:rsidRPr="00586097" w:rsidRDefault="00B7540A" w:rsidP="00920983">
            <w:pPr>
              <w:spacing w:line="276" w:lineRule="auto"/>
              <w:ind w:firstLine="0"/>
              <w:jc w:val="center"/>
            </w:pPr>
            <w:r w:rsidRPr="00586097">
              <w:t>-13.2</w:t>
            </w:r>
          </w:p>
        </w:tc>
        <w:tc>
          <w:tcPr>
            <w:tcW w:w="990" w:type="dxa"/>
            <w:vAlign w:val="center"/>
          </w:tcPr>
          <w:p w14:paraId="09B8EA4E" w14:textId="77777777" w:rsidR="00B7540A" w:rsidRPr="00586097" w:rsidRDefault="00B7540A" w:rsidP="00920983">
            <w:pPr>
              <w:spacing w:line="276" w:lineRule="auto"/>
              <w:ind w:firstLine="0"/>
              <w:jc w:val="center"/>
            </w:pPr>
            <w:r w:rsidRPr="00586097">
              <w:t>-9.9</w:t>
            </w:r>
          </w:p>
        </w:tc>
        <w:tc>
          <w:tcPr>
            <w:tcW w:w="1260" w:type="dxa"/>
            <w:shd w:val="clear" w:color="auto" w:fill="D9E2F3"/>
            <w:vAlign w:val="center"/>
          </w:tcPr>
          <w:p w14:paraId="16016909" w14:textId="77777777" w:rsidR="00B7540A" w:rsidRPr="00586097" w:rsidRDefault="00B7540A" w:rsidP="00920983">
            <w:pPr>
              <w:spacing w:line="276" w:lineRule="auto"/>
              <w:ind w:firstLine="0"/>
              <w:jc w:val="center"/>
            </w:pPr>
            <w:r w:rsidRPr="00586097">
              <w:t>-10.3</w:t>
            </w:r>
          </w:p>
        </w:tc>
        <w:tc>
          <w:tcPr>
            <w:tcW w:w="1080" w:type="dxa"/>
            <w:shd w:val="clear" w:color="auto" w:fill="D9E2F3"/>
            <w:vAlign w:val="center"/>
          </w:tcPr>
          <w:p w14:paraId="4F2748AC" w14:textId="77777777" w:rsidR="00B7540A" w:rsidRPr="00586097" w:rsidRDefault="00B7540A" w:rsidP="00920983">
            <w:pPr>
              <w:spacing w:line="276" w:lineRule="auto"/>
              <w:ind w:firstLine="0"/>
              <w:jc w:val="center"/>
            </w:pPr>
            <w:r w:rsidRPr="00586097">
              <w:t>-10.9</w:t>
            </w:r>
          </w:p>
        </w:tc>
        <w:tc>
          <w:tcPr>
            <w:tcW w:w="990" w:type="dxa"/>
            <w:shd w:val="clear" w:color="auto" w:fill="D9E2F3"/>
            <w:vAlign w:val="center"/>
          </w:tcPr>
          <w:p w14:paraId="311BD67C" w14:textId="77777777" w:rsidR="00B7540A" w:rsidRPr="00586097" w:rsidRDefault="00B7540A" w:rsidP="00920983">
            <w:pPr>
              <w:spacing w:line="276" w:lineRule="auto"/>
              <w:ind w:firstLine="0"/>
              <w:jc w:val="center"/>
            </w:pPr>
            <w:r w:rsidRPr="00586097">
              <w:t>-11.0</w:t>
            </w:r>
          </w:p>
        </w:tc>
        <w:tc>
          <w:tcPr>
            <w:tcW w:w="1101" w:type="dxa"/>
            <w:shd w:val="clear" w:color="auto" w:fill="D9E2F3"/>
            <w:vAlign w:val="center"/>
          </w:tcPr>
          <w:p w14:paraId="14003162" w14:textId="77777777" w:rsidR="00B7540A" w:rsidRPr="00586097" w:rsidRDefault="00B7540A" w:rsidP="00920983">
            <w:pPr>
              <w:spacing w:line="276" w:lineRule="auto"/>
              <w:ind w:firstLine="0"/>
              <w:jc w:val="center"/>
            </w:pPr>
            <w:r w:rsidRPr="00586097">
              <w:t>-10.8</w:t>
            </w:r>
          </w:p>
        </w:tc>
      </w:tr>
      <w:tr w:rsidR="00D26A99" w:rsidRPr="00586097" w14:paraId="5724E941" w14:textId="77777777" w:rsidTr="00D26A99">
        <w:trPr>
          <w:trHeight w:val="258"/>
        </w:trPr>
        <w:tc>
          <w:tcPr>
            <w:tcW w:w="3495" w:type="dxa"/>
            <w:shd w:val="clear" w:color="auto" w:fill="auto"/>
          </w:tcPr>
          <w:p w14:paraId="6FF9338B" w14:textId="77777777" w:rsidR="00B7540A" w:rsidRPr="00586097" w:rsidRDefault="00B7540A" w:rsidP="00920983">
            <w:pPr>
              <w:spacing w:line="276" w:lineRule="auto"/>
              <w:ind w:firstLine="22"/>
              <w:rPr>
                <w:rFonts w:cs="Sylfaen"/>
              </w:rPr>
            </w:pPr>
            <w:r w:rsidRPr="00586097">
              <w:rPr>
                <w:rFonts w:cs="Sylfaen"/>
              </w:rPr>
              <w:t>Արտահանում</w:t>
            </w:r>
          </w:p>
        </w:tc>
        <w:tc>
          <w:tcPr>
            <w:tcW w:w="1080" w:type="dxa"/>
          </w:tcPr>
          <w:p w14:paraId="463B4033" w14:textId="77777777" w:rsidR="00B7540A" w:rsidRPr="00586097" w:rsidRDefault="00B7540A" w:rsidP="00920983">
            <w:pPr>
              <w:spacing w:line="276" w:lineRule="auto"/>
              <w:jc w:val="center"/>
            </w:pPr>
            <w:r w:rsidRPr="00586097">
              <w:t>39.7</w:t>
            </w:r>
          </w:p>
        </w:tc>
        <w:tc>
          <w:tcPr>
            <w:tcW w:w="1080" w:type="dxa"/>
          </w:tcPr>
          <w:p w14:paraId="6A1AC329" w14:textId="77777777" w:rsidR="00B7540A" w:rsidRPr="00586097" w:rsidRDefault="00B7540A" w:rsidP="00920983">
            <w:pPr>
              <w:spacing w:line="276" w:lineRule="auto"/>
              <w:ind w:firstLine="4"/>
              <w:jc w:val="center"/>
            </w:pPr>
            <w:r w:rsidRPr="00586097">
              <w:t>42.0</w:t>
            </w:r>
          </w:p>
        </w:tc>
        <w:tc>
          <w:tcPr>
            <w:tcW w:w="990" w:type="dxa"/>
          </w:tcPr>
          <w:p w14:paraId="1FBDE58C" w14:textId="77777777" w:rsidR="00B7540A" w:rsidRPr="00586097" w:rsidRDefault="00B7540A" w:rsidP="00920983">
            <w:pPr>
              <w:spacing w:line="276" w:lineRule="auto"/>
              <w:ind w:firstLine="4"/>
              <w:jc w:val="center"/>
            </w:pPr>
            <w:r w:rsidRPr="00586097">
              <w:t>29.8</w:t>
            </w:r>
          </w:p>
        </w:tc>
        <w:tc>
          <w:tcPr>
            <w:tcW w:w="1260" w:type="dxa"/>
            <w:shd w:val="clear" w:color="auto" w:fill="D9E2F3"/>
          </w:tcPr>
          <w:p w14:paraId="531BE3AE" w14:textId="77777777" w:rsidR="00B7540A" w:rsidRPr="00586097" w:rsidRDefault="00B7540A" w:rsidP="00920983">
            <w:pPr>
              <w:spacing w:line="276" w:lineRule="auto"/>
              <w:ind w:firstLine="4"/>
              <w:jc w:val="center"/>
            </w:pPr>
            <w:r w:rsidRPr="00586097">
              <w:t>32.9</w:t>
            </w:r>
          </w:p>
        </w:tc>
        <w:tc>
          <w:tcPr>
            <w:tcW w:w="1080" w:type="dxa"/>
            <w:shd w:val="clear" w:color="auto" w:fill="D9E2F3"/>
          </w:tcPr>
          <w:p w14:paraId="6FFA7069" w14:textId="77777777" w:rsidR="00B7540A" w:rsidRPr="00586097" w:rsidRDefault="00B7540A" w:rsidP="00920983">
            <w:pPr>
              <w:spacing w:line="276" w:lineRule="auto"/>
              <w:ind w:firstLine="4"/>
              <w:jc w:val="center"/>
            </w:pPr>
            <w:r w:rsidRPr="00586097">
              <w:t>34.8</w:t>
            </w:r>
          </w:p>
        </w:tc>
        <w:tc>
          <w:tcPr>
            <w:tcW w:w="990" w:type="dxa"/>
            <w:shd w:val="clear" w:color="auto" w:fill="D9E2F3"/>
          </w:tcPr>
          <w:p w14:paraId="75B7630E" w14:textId="77777777" w:rsidR="00B7540A" w:rsidRPr="00586097" w:rsidRDefault="00B7540A" w:rsidP="00920983">
            <w:pPr>
              <w:spacing w:line="276" w:lineRule="auto"/>
              <w:ind w:firstLine="4"/>
              <w:jc w:val="center"/>
            </w:pPr>
            <w:r w:rsidRPr="00586097">
              <w:t>36.3</w:t>
            </w:r>
          </w:p>
        </w:tc>
        <w:tc>
          <w:tcPr>
            <w:tcW w:w="1101" w:type="dxa"/>
            <w:shd w:val="clear" w:color="auto" w:fill="D9E2F3"/>
          </w:tcPr>
          <w:p w14:paraId="175FF41E" w14:textId="77777777" w:rsidR="00B7540A" w:rsidRPr="00586097" w:rsidRDefault="00B7540A" w:rsidP="00920983">
            <w:pPr>
              <w:spacing w:line="276" w:lineRule="auto"/>
              <w:ind w:firstLine="4"/>
              <w:jc w:val="center"/>
            </w:pPr>
            <w:r w:rsidRPr="00586097">
              <w:t>37.2</w:t>
            </w:r>
          </w:p>
        </w:tc>
      </w:tr>
      <w:tr w:rsidR="00D26A99" w:rsidRPr="00586097" w14:paraId="3327B33F" w14:textId="77777777" w:rsidTr="00D26A99">
        <w:trPr>
          <w:trHeight w:val="258"/>
        </w:trPr>
        <w:tc>
          <w:tcPr>
            <w:tcW w:w="3495" w:type="dxa"/>
            <w:shd w:val="clear" w:color="auto" w:fill="auto"/>
          </w:tcPr>
          <w:p w14:paraId="3E1551F5" w14:textId="77777777" w:rsidR="00B7540A" w:rsidRPr="00586097" w:rsidRDefault="00B7540A" w:rsidP="00920983">
            <w:pPr>
              <w:spacing w:line="276" w:lineRule="auto"/>
              <w:ind w:firstLine="22"/>
              <w:rPr>
                <w:rFonts w:cs="Sylfaen"/>
              </w:rPr>
            </w:pPr>
            <w:r w:rsidRPr="00586097">
              <w:rPr>
                <w:rFonts w:cs="Sylfaen"/>
              </w:rPr>
              <w:t>Ներմուծում</w:t>
            </w:r>
          </w:p>
        </w:tc>
        <w:tc>
          <w:tcPr>
            <w:tcW w:w="1080" w:type="dxa"/>
          </w:tcPr>
          <w:p w14:paraId="52F5FAB2" w14:textId="77777777" w:rsidR="00B7540A" w:rsidRPr="00586097" w:rsidRDefault="00B7540A" w:rsidP="00920983">
            <w:pPr>
              <w:spacing w:line="276" w:lineRule="auto"/>
              <w:jc w:val="center"/>
            </w:pPr>
            <w:r w:rsidRPr="00586097">
              <w:t>53.3</w:t>
            </w:r>
          </w:p>
        </w:tc>
        <w:tc>
          <w:tcPr>
            <w:tcW w:w="1080" w:type="dxa"/>
          </w:tcPr>
          <w:p w14:paraId="419F5E93" w14:textId="77777777" w:rsidR="00B7540A" w:rsidRPr="00586097" w:rsidRDefault="00B7540A" w:rsidP="00920983">
            <w:pPr>
              <w:spacing w:line="276" w:lineRule="auto"/>
              <w:ind w:firstLine="4"/>
              <w:jc w:val="center"/>
            </w:pPr>
            <w:r w:rsidRPr="00586097">
              <w:t>55.2</w:t>
            </w:r>
          </w:p>
        </w:tc>
        <w:tc>
          <w:tcPr>
            <w:tcW w:w="990" w:type="dxa"/>
          </w:tcPr>
          <w:p w14:paraId="19FBF410" w14:textId="77777777" w:rsidR="00B7540A" w:rsidRPr="00586097" w:rsidRDefault="00B7540A" w:rsidP="00920983">
            <w:pPr>
              <w:spacing w:line="276" w:lineRule="auto"/>
              <w:ind w:firstLine="4"/>
              <w:jc w:val="center"/>
            </w:pPr>
            <w:r w:rsidRPr="00586097">
              <w:t>39.7</w:t>
            </w:r>
          </w:p>
        </w:tc>
        <w:tc>
          <w:tcPr>
            <w:tcW w:w="1260" w:type="dxa"/>
            <w:shd w:val="clear" w:color="auto" w:fill="D9E2F3"/>
          </w:tcPr>
          <w:p w14:paraId="71CEC84D" w14:textId="77777777" w:rsidR="00B7540A" w:rsidRPr="00586097" w:rsidRDefault="00B7540A" w:rsidP="00920983">
            <w:pPr>
              <w:spacing w:line="276" w:lineRule="auto"/>
              <w:ind w:firstLine="4"/>
              <w:jc w:val="center"/>
            </w:pPr>
            <w:r w:rsidRPr="00586097">
              <w:t>43.2</w:t>
            </w:r>
          </w:p>
        </w:tc>
        <w:tc>
          <w:tcPr>
            <w:tcW w:w="1080" w:type="dxa"/>
            <w:shd w:val="clear" w:color="auto" w:fill="D9E2F3"/>
          </w:tcPr>
          <w:p w14:paraId="24E71E8C" w14:textId="77777777" w:rsidR="00B7540A" w:rsidRPr="00586097" w:rsidRDefault="00B7540A" w:rsidP="00920983">
            <w:pPr>
              <w:spacing w:line="276" w:lineRule="auto"/>
              <w:ind w:firstLine="4"/>
              <w:jc w:val="center"/>
            </w:pPr>
            <w:r w:rsidRPr="00586097">
              <w:t>45.7</w:t>
            </w:r>
          </w:p>
        </w:tc>
        <w:tc>
          <w:tcPr>
            <w:tcW w:w="990" w:type="dxa"/>
            <w:shd w:val="clear" w:color="auto" w:fill="D9E2F3"/>
          </w:tcPr>
          <w:p w14:paraId="518B9BFA" w14:textId="77777777" w:rsidR="00B7540A" w:rsidRPr="00586097" w:rsidRDefault="00B7540A" w:rsidP="00920983">
            <w:pPr>
              <w:spacing w:line="276" w:lineRule="auto"/>
              <w:ind w:firstLine="4"/>
              <w:jc w:val="center"/>
            </w:pPr>
            <w:r w:rsidRPr="00586097">
              <w:t>47.3</w:t>
            </w:r>
          </w:p>
        </w:tc>
        <w:tc>
          <w:tcPr>
            <w:tcW w:w="1101" w:type="dxa"/>
            <w:shd w:val="clear" w:color="auto" w:fill="D9E2F3"/>
          </w:tcPr>
          <w:p w14:paraId="73EBABB8" w14:textId="77777777" w:rsidR="00B7540A" w:rsidRPr="00586097" w:rsidRDefault="00B7540A" w:rsidP="00920983">
            <w:pPr>
              <w:spacing w:line="276" w:lineRule="auto"/>
              <w:ind w:firstLine="4"/>
              <w:jc w:val="center"/>
            </w:pPr>
            <w:r w:rsidRPr="00586097">
              <w:t>48.0</w:t>
            </w:r>
          </w:p>
        </w:tc>
      </w:tr>
      <w:tr w:rsidR="00D26A99" w:rsidRPr="00586097" w14:paraId="4864C597" w14:textId="77777777" w:rsidTr="00D26A99">
        <w:trPr>
          <w:trHeight w:val="258"/>
        </w:trPr>
        <w:tc>
          <w:tcPr>
            <w:tcW w:w="3495" w:type="dxa"/>
            <w:shd w:val="clear" w:color="auto" w:fill="auto"/>
          </w:tcPr>
          <w:p w14:paraId="1514460A" w14:textId="77777777" w:rsidR="00B7540A" w:rsidRPr="00586097" w:rsidRDefault="00B7540A" w:rsidP="00920983">
            <w:pPr>
              <w:spacing w:line="276" w:lineRule="auto"/>
              <w:ind w:firstLine="22"/>
              <w:rPr>
                <w:rFonts w:cs="Sylfaen"/>
              </w:rPr>
            </w:pPr>
            <w:r w:rsidRPr="00586097">
              <w:rPr>
                <w:rFonts w:cs="Sylfaen"/>
              </w:rPr>
              <w:t>Դրամական փոխանցումներ</w:t>
            </w:r>
          </w:p>
        </w:tc>
        <w:tc>
          <w:tcPr>
            <w:tcW w:w="1080" w:type="dxa"/>
          </w:tcPr>
          <w:p w14:paraId="45CFB26B" w14:textId="77777777" w:rsidR="00B7540A" w:rsidRPr="00586097" w:rsidRDefault="00B7540A" w:rsidP="00920983">
            <w:pPr>
              <w:spacing w:line="276" w:lineRule="auto"/>
              <w:jc w:val="center"/>
            </w:pPr>
            <w:r w:rsidRPr="00586097">
              <w:t>9.1</w:t>
            </w:r>
          </w:p>
        </w:tc>
        <w:tc>
          <w:tcPr>
            <w:tcW w:w="1080" w:type="dxa"/>
          </w:tcPr>
          <w:p w14:paraId="4BFC82F8" w14:textId="77777777" w:rsidR="00B7540A" w:rsidRPr="00586097" w:rsidRDefault="00B7540A" w:rsidP="00920983">
            <w:pPr>
              <w:spacing w:line="276" w:lineRule="auto"/>
              <w:ind w:firstLine="4"/>
              <w:jc w:val="center"/>
            </w:pPr>
            <w:r w:rsidRPr="00586097">
              <w:t>8.4</w:t>
            </w:r>
          </w:p>
        </w:tc>
        <w:tc>
          <w:tcPr>
            <w:tcW w:w="990" w:type="dxa"/>
          </w:tcPr>
          <w:p w14:paraId="3139449A" w14:textId="77777777" w:rsidR="00B7540A" w:rsidRPr="00586097" w:rsidRDefault="00B7540A" w:rsidP="00920983">
            <w:pPr>
              <w:spacing w:line="276" w:lineRule="auto"/>
              <w:ind w:firstLine="4"/>
              <w:jc w:val="center"/>
            </w:pPr>
            <w:r w:rsidRPr="00586097">
              <w:t>8.2</w:t>
            </w:r>
          </w:p>
        </w:tc>
        <w:tc>
          <w:tcPr>
            <w:tcW w:w="1260" w:type="dxa"/>
            <w:shd w:val="clear" w:color="auto" w:fill="D9E2F3"/>
          </w:tcPr>
          <w:p w14:paraId="7D099FFC" w14:textId="77777777" w:rsidR="00B7540A" w:rsidRPr="00586097" w:rsidRDefault="00B7540A" w:rsidP="00920983">
            <w:pPr>
              <w:spacing w:line="276" w:lineRule="auto"/>
              <w:ind w:firstLine="4"/>
              <w:jc w:val="center"/>
            </w:pPr>
            <w:r w:rsidRPr="00586097">
              <w:t>10.4</w:t>
            </w:r>
          </w:p>
        </w:tc>
        <w:tc>
          <w:tcPr>
            <w:tcW w:w="1080" w:type="dxa"/>
            <w:shd w:val="clear" w:color="auto" w:fill="D9E2F3"/>
          </w:tcPr>
          <w:p w14:paraId="754B70CB" w14:textId="77777777" w:rsidR="00B7540A" w:rsidRPr="00586097" w:rsidRDefault="00B7540A" w:rsidP="00920983">
            <w:pPr>
              <w:spacing w:line="276" w:lineRule="auto"/>
              <w:ind w:firstLine="4"/>
              <w:jc w:val="center"/>
            </w:pPr>
            <w:r w:rsidRPr="00586097">
              <w:t>10.0</w:t>
            </w:r>
          </w:p>
        </w:tc>
        <w:tc>
          <w:tcPr>
            <w:tcW w:w="990" w:type="dxa"/>
            <w:shd w:val="clear" w:color="auto" w:fill="D9E2F3"/>
          </w:tcPr>
          <w:p w14:paraId="6A330B76" w14:textId="77777777" w:rsidR="00B7540A" w:rsidRPr="00586097" w:rsidRDefault="00B7540A" w:rsidP="00920983">
            <w:pPr>
              <w:spacing w:line="276" w:lineRule="auto"/>
              <w:ind w:firstLine="4"/>
              <w:jc w:val="center"/>
            </w:pPr>
            <w:r w:rsidRPr="00586097">
              <w:t>9.8</w:t>
            </w:r>
          </w:p>
        </w:tc>
        <w:tc>
          <w:tcPr>
            <w:tcW w:w="1101" w:type="dxa"/>
            <w:shd w:val="clear" w:color="auto" w:fill="D9E2F3"/>
          </w:tcPr>
          <w:p w14:paraId="434BA77A" w14:textId="77777777" w:rsidR="00B7540A" w:rsidRPr="00586097" w:rsidRDefault="00B7540A" w:rsidP="00920983">
            <w:pPr>
              <w:spacing w:line="276" w:lineRule="auto"/>
              <w:ind w:firstLine="4"/>
              <w:jc w:val="center"/>
            </w:pPr>
            <w:r w:rsidRPr="00586097">
              <w:t>9.6</w:t>
            </w:r>
          </w:p>
        </w:tc>
      </w:tr>
    </w:tbl>
    <w:p w14:paraId="5CFD1CA0" w14:textId="77777777" w:rsidR="00B7540A" w:rsidRPr="00586097" w:rsidRDefault="00B7540A" w:rsidP="00B7540A">
      <w:pPr>
        <w:pStyle w:val="a"/>
        <w:numPr>
          <w:ilvl w:val="0"/>
          <w:numId w:val="0"/>
        </w:numPr>
        <w:spacing w:line="276" w:lineRule="auto"/>
        <w:rPr>
          <w:sz w:val="22"/>
        </w:rPr>
      </w:pPr>
    </w:p>
    <w:p w14:paraId="7540201B" w14:textId="77777777" w:rsidR="00B7540A" w:rsidRPr="00586097" w:rsidRDefault="00B7540A" w:rsidP="00B7540A">
      <w:pPr>
        <w:spacing w:before="0" w:after="160" w:line="276" w:lineRule="auto"/>
        <w:ind w:firstLine="0"/>
        <w:jc w:val="left"/>
        <w:rPr>
          <w:b/>
          <w:caps/>
          <w:color w:val="0070C0"/>
        </w:rPr>
      </w:pPr>
      <w:r w:rsidRPr="00586097">
        <w:br w:type="page"/>
      </w:r>
    </w:p>
    <w:p w14:paraId="381CA0EC" w14:textId="77777777" w:rsidR="00B7540A" w:rsidRPr="00B7540A" w:rsidRDefault="00B7540A" w:rsidP="00B7540A">
      <w:pPr>
        <w:pStyle w:val="Heading3"/>
        <w:rPr>
          <w:rFonts w:cs="Sylfaen"/>
          <w:bCs/>
          <w:caps w:val="0"/>
          <w:color w:val="1F497D" w:themeColor="text2"/>
          <w:sz w:val="28"/>
          <w:szCs w:val="28"/>
        </w:rPr>
      </w:pPr>
      <w:bookmarkStart w:id="171" w:name="_Toc77451192"/>
      <w:bookmarkStart w:id="172" w:name="_Toc78536687"/>
      <w:r w:rsidRPr="00B7540A">
        <w:rPr>
          <w:rFonts w:cs="Sylfaen"/>
          <w:bCs/>
          <w:caps w:val="0"/>
          <w:color w:val="1F497D" w:themeColor="text2"/>
          <w:sz w:val="28"/>
          <w:szCs w:val="28"/>
        </w:rPr>
        <w:t>1.2. ՀԱՄԱՇԽԱՐՀԱՅԻՆ ՏՆՏԵՍՈՒԹՅԱՆ ԵՎ ԳՈՐԾԸՆԿԵՐ ԵՐԿՐՆԵՐԻ ԶԱՐԳԱՑՈՒՄՆԵՐ ԵՎ ԿԱՆԽԱՏԵՍՈՒՄՆԵՐ</w:t>
      </w:r>
      <w:bookmarkEnd w:id="170"/>
      <w:bookmarkEnd w:id="171"/>
      <w:bookmarkEnd w:id="172"/>
    </w:p>
    <w:p w14:paraId="3D5653FA" w14:textId="77777777" w:rsidR="00B7540A" w:rsidRPr="00B7540A" w:rsidRDefault="00B7540A" w:rsidP="00B7540A">
      <w:pPr>
        <w:spacing w:line="276" w:lineRule="auto"/>
        <w:rPr>
          <w:rFonts w:cs="Courier New"/>
          <w:lang w:val="hy-AM"/>
        </w:rPr>
      </w:pPr>
      <w:r w:rsidRPr="00B7540A">
        <w:rPr>
          <w:rFonts w:eastAsia="Calibri"/>
          <w:b/>
          <w:bCs/>
          <w:lang w:val="hy-AM"/>
        </w:rPr>
        <w:t>Համաշխարհային տնտեսությունը՝ կորոնավիրուսի համավարակի (COVID-19) հետևանքով առաջացած խորը անկումից հետո, սկսել  է արագ վերականգնվել:</w:t>
      </w:r>
      <w:r w:rsidRPr="00B7540A">
        <w:rPr>
          <w:rFonts w:eastAsia="Calibri"/>
          <w:lang w:val="hy-AM"/>
        </w:rPr>
        <w:t xml:space="preserve"> </w:t>
      </w:r>
      <w:r w:rsidRPr="00B7540A">
        <w:rPr>
          <w:rFonts w:cs="Courier New"/>
          <w:lang w:val="hy-AM"/>
        </w:rPr>
        <w:t xml:space="preserve">Համավարակը խաթարեց </w:t>
      </w:r>
      <w:r w:rsidRPr="00B7540A">
        <w:rPr>
          <w:rFonts w:eastAsia="Calibri"/>
          <w:lang w:val="hy-AM"/>
        </w:rPr>
        <w:t>համաշխարհային տնտեսության բնականոն զարգացումն</w:t>
      </w:r>
      <w:r w:rsidRPr="00B7540A">
        <w:rPr>
          <w:rFonts w:cs="Sylfaen"/>
          <w:lang w:val="hy-AM"/>
        </w:rPr>
        <w:t xml:space="preserve"> ինչպես</w:t>
      </w:r>
      <w:r w:rsidRPr="00B7540A">
        <w:rPr>
          <w:rFonts w:cs="Courier New"/>
          <w:lang w:val="hy-AM"/>
        </w:rPr>
        <w:t xml:space="preserve"> </w:t>
      </w:r>
      <w:r w:rsidRPr="00B7540A">
        <w:rPr>
          <w:rFonts w:cs="Sylfaen"/>
          <w:lang w:val="hy-AM"/>
        </w:rPr>
        <w:t>զարգացած</w:t>
      </w:r>
      <w:r w:rsidRPr="00B7540A">
        <w:rPr>
          <w:rFonts w:cs="Courier New"/>
          <w:lang w:val="hy-AM"/>
        </w:rPr>
        <w:t xml:space="preserve">, </w:t>
      </w:r>
      <w:r w:rsidRPr="00B7540A">
        <w:rPr>
          <w:rFonts w:cs="Sylfaen"/>
          <w:lang w:val="hy-AM"/>
        </w:rPr>
        <w:t>այնպես</w:t>
      </w:r>
      <w:r w:rsidRPr="00B7540A">
        <w:rPr>
          <w:rFonts w:cs="Courier New"/>
          <w:lang w:val="hy-AM"/>
        </w:rPr>
        <w:t xml:space="preserve"> </w:t>
      </w:r>
      <w:r w:rsidRPr="00B7540A">
        <w:rPr>
          <w:rFonts w:cs="Sylfaen"/>
          <w:lang w:val="hy-AM"/>
        </w:rPr>
        <w:t>էլ</w:t>
      </w:r>
      <w:r w:rsidRPr="00B7540A">
        <w:rPr>
          <w:rFonts w:cs="Courier New"/>
          <w:lang w:val="hy-AM"/>
        </w:rPr>
        <w:t xml:space="preserve"> </w:t>
      </w:r>
      <w:r w:rsidRPr="00B7540A">
        <w:rPr>
          <w:rFonts w:cs="Sylfaen"/>
          <w:lang w:val="hy-AM"/>
        </w:rPr>
        <w:t>զարգացող երկրներում</w:t>
      </w:r>
      <w:r w:rsidRPr="00B7540A">
        <w:rPr>
          <w:rFonts w:eastAsia="Calibri"/>
          <w:lang w:val="hy-AM"/>
        </w:rPr>
        <w:t xml:space="preserve">՝ հանգեցնելով ամբողջ աշխարհում առողջապահական և տնտեսական ճգնաժամի։ </w:t>
      </w:r>
      <w:r w:rsidRPr="00B7540A">
        <w:rPr>
          <w:rFonts w:cs="Sylfaen"/>
          <w:lang w:val="hy-AM"/>
        </w:rPr>
        <w:t>ԱՄՀ</w:t>
      </w:r>
      <w:r w:rsidRPr="00B7540A">
        <w:rPr>
          <w:rFonts w:cs="Courier New"/>
          <w:lang w:val="hy-AM"/>
        </w:rPr>
        <w:t xml:space="preserve"> </w:t>
      </w:r>
      <w:r w:rsidRPr="00B7540A">
        <w:rPr>
          <w:rFonts w:cs="Sylfaen"/>
          <w:lang w:val="hy-AM"/>
        </w:rPr>
        <w:t xml:space="preserve">գնահատականներով </w:t>
      </w:r>
      <w:r w:rsidRPr="00B7540A">
        <w:rPr>
          <w:rFonts w:cs="Courier New"/>
          <w:lang w:val="hy-AM"/>
        </w:rPr>
        <w:t xml:space="preserve">2020թ. համաշխարհային տնտեսական անկումը </w:t>
      </w:r>
      <w:r w:rsidRPr="00B7540A">
        <w:rPr>
          <w:rFonts w:cs="Sylfaen"/>
          <w:lang w:val="hy-AM"/>
        </w:rPr>
        <w:t xml:space="preserve">կազմել է 3.3%, իսկ </w:t>
      </w:r>
      <w:r w:rsidRPr="00B7540A">
        <w:rPr>
          <w:rFonts w:cs="Courier New"/>
          <w:lang w:val="hy-AM"/>
        </w:rPr>
        <w:t xml:space="preserve">ՀՀ հիմնական գործընկեր երկրներից ՌԴ-ում գրանցվել է 3.1% անկում, Եվրոգոտում 6.6%, ԱՄՆ-ում 3.5% և միայն Չինաստանի տնտեսությունն է գրանցել  2.3% աճ: </w:t>
      </w:r>
    </w:p>
    <w:p w14:paraId="33E07A48" w14:textId="77777777" w:rsidR="00B7540A" w:rsidRPr="00B7540A" w:rsidRDefault="00B7540A" w:rsidP="00B7540A">
      <w:pPr>
        <w:spacing w:line="276" w:lineRule="auto"/>
        <w:rPr>
          <w:rFonts w:eastAsia="GHEA Grapalat"/>
          <w:noProof/>
          <w:lang w:val="hy-AM"/>
        </w:rPr>
      </w:pPr>
      <w:r w:rsidRPr="00B7540A">
        <w:rPr>
          <w:rFonts w:eastAsia="GHEA Grapalat"/>
          <w:b/>
          <w:bCs/>
          <w:noProof/>
          <w:lang w:val="hy-AM"/>
        </w:rPr>
        <w:t>2021թ. առաջին եռամսյակում ՀՀ հիմնական գործընկեր երկրների մեծ մասում գրանցվել է տնտեսական աճ:</w:t>
      </w:r>
      <w:r w:rsidRPr="00B7540A">
        <w:rPr>
          <w:rFonts w:eastAsia="GHEA Grapalat"/>
          <w:noProof/>
          <w:lang w:val="hy-AM"/>
        </w:rPr>
        <w:t xml:space="preserve"> Այսպես, 2021թ. առաջին եռամսյակում նախորդ տարվա համապատասխան եռամսյակի նկատմամբ ԱՄՆ տնտեսությունը գրանցել է 0.4% աճ, որին նպաստում են ունեցել իրականացված խթանող մակրոտնտեսական քաղաքականությունները և սահմանափակումների աստիճանական վերացումը, իսկ Չինաստանի տնտեսությունը գրանցել է 18.3% աճ: 2021թ. առաջին եռամսյակում Եվորգոտու տնտեսությունը ունեցել է 1.3% անկում՝ սահմանափակումների որոշակի խստացման պայմաններում, իսկ ՌԴ  տնտեսությունը գրանցել է 0.7% անկում</w:t>
      </w:r>
      <w:r w:rsidRPr="00586097">
        <w:rPr>
          <w:rStyle w:val="FootnoteReference"/>
          <w:rFonts w:eastAsia="GHEA Grapalat" w:cs="GHEA Grapalat"/>
          <w:noProof/>
        </w:rPr>
        <w:footnoteReference w:id="3"/>
      </w:r>
      <w:r w:rsidRPr="00B7540A">
        <w:rPr>
          <w:rFonts w:eastAsia="GHEA Grapalat"/>
          <w:noProof/>
          <w:lang w:val="hy-AM"/>
        </w:rPr>
        <w:t>:</w:t>
      </w:r>
    </w:p>
    <w:p w14:paraId="45BFFB8A" w14:textId="77777777" w:rsidR="00B7540A" w:rsidRPr="00B7540A" w:rsidRDefault="00B7540A" w:rsidP="00B7540A">
      <w:pPr>
        <w:spacing w:line="276" w:lineRule="auto"/>
        <w:rPr>
          <w:lang w:val="hy-AM"/>
        </w:rPr>
      </w:pPr>
      <w:r w:rsidRPr="00B7540A">
        <w:rPr>
          <w:b/>
          <w:u w:val="single"/>
          <w:lang w:val="hy-AM"/>
        </w:rPr>
        <w:t>Կանխատեսում:</w:t>
      </w:r>
      <w:r w:rsidRPr="00B7540A">
        <w:rPr>
          <w:lang w:val="hy-AM"/>
        </w:rPr>
        <w:t xml:space="preserve"> </w:t>
      </w:r>
      <w:r w:rsidRPr="00B7540A">
        <w:rPr>
          <w:b/>
          <w:bCs/>
          <w:lang w:val="hy-AM"/>
        </w:rPr>
        <w:t>ԱՄՀ ապրիլ ամսվա կանխատեսումների համաձայն 2021թ</w:t>
      </w:r>
      <w:r w:rsidRPr="00B7540A">
        <w:rPr>
          <w:rFonts w:ascii="Cambria Math" w:hAnsi="Cambria Math" w:cs="Cambria Math"/>
          <w:b/>
          <w:bCs/>
          <w:lang w:val="hy-AM"/>
        </w:rPr>
        <w:t>․</w:t>
      </w:r>
      <w:r w:rsidRPr="00B7540A">
        <w:rPr>
          <w:b/>
          <w:bCs/>
          <w:lang w:val="hy-AM"/>
        </w:rPr>
        <w:t xml:space="preserve"> ՀՀ հիմնական գործընկեր երկրների տնտեսություններում տեղի կունենան վերականգման գործընթացներ՝ պայմանավորված կորոնավիրուսի ճգնաժամին հակազդելու նպատակով լայնածավալ հարկաբյուջետային միջոցառումների իրականացմամբ, դրամավարկային պայմանների մեղմացմամբ, սահմանափակումների աստիճանական վերացմամբ, համավարակի հաղթահարման նպատակով պատվաստանյութերի զանգվածային կիրառմամբ և հանքահումքային ապրանքների միջազգային գների բարձրացմամբ:</w:t>
      </w:r>
      <w:r w:rsidRPr="00B7540A" w:rsidDel="00EF70B0">
        <w:rPr>
          <w:lang w:val="hy-AM"/>
        </w:rPr>
        <w:t xml:space="preserve"> </w:t>
      </w:r>
      <w:r w:rsidRPr="00B7540A">
        <w:rPr>
          <w:lang w:val="hy-AM"/>
        </w:rPr>
        <w:t>2021թ. ՌԴ</w:t>
      </w:r>
      <w:r w:rsidRPr="00B7540A">
        <w:rPr>
          <w:lang w:val="hy-AM"/>
        </w:rPr>
        <w:noBreakHyphen/>
        <w:t>ում կանխատեսվում է 3.8%, Եվրոգոտում՝ 4.4, ԱՄՆ</w:t>
      </w:r>
      <w:r w:rsidRPr="00B7540A">
        <w:rPr>
          <w:lang w:val="hy-AM"/>
        </w:rPr>
        <w:noBreakHyphen/>
        <w:t>ում՝ 6.4, իսկ Չինաստանում 8.4% աճ: ԱՄՀ կանխատեսումների համաձայն 2022թ</w:t>
      </w:r>
      <w:r w:rsidRPr="00B7540A">
        <w:rPr>
          <w:rFonts w:ascii="Cambria Math" w:hAnsi="Cambria Math" w:cs="Cambria Math"/>
          <w:lang w:val="hy-AM"/>
        </w:rPr>
        <w:t>․</w:t>
      </w:r>
      <w:r w:rsidRPr="00B7540A">
        <w:rPr>
          <w:lang w:val="hy-AM"/>
        </w:rPr>
        <w:t xml:space="preserve"> համաշխարհային և ՀՀ գործընկեր երկրների տնտեսություններում հիմնականում կգրանցվեն ավելի բարձ տնտեսական աճեր, քան ներուժային աճերը և նախաճգնաժամային 2019թ</w:t>
      </w:r>
      <w:r w:rsidRPr="00B7540A">
        <w:rPr>
          <w:rFonts w:ascii="Cambria Math" w:hAnsi="Cambria Math" w:cs="Cambria Math"/>
          <w:lang w:val="hy-AM"/>
        </w:rPr>
        <w:t>․</w:t>
      </w:r>
      <w:r w:rsidRPr="00B7540A">
        <w:rPr>
          <w:lang w:val="hy-AM"/>
        </w:rPr>
        <w:t xml:space="preserve"> աճերը: Ընդ որում, ի</w:t>
      </w:r>
      <w:r w:rsidRPr="00B7540A">
        <w:rPr>
          <w:rFonts w:cs="Sylfaen"/>
          <w:lang w:val="hy-AM"/>
        </w:rPr>
        <w:t>նչպես համաշխարհային տնտեսության, այնպես էլ ՀՀ հիմնական գործընկեր երկրների 2021 և 2022թթ</w:t>
      </w:r>
      <w:r w:rsidRPr="00B7540A">
        <w:rPr>
          <w:rFonts w:ascii="Cambria Math" w:hAnsi="Cambria Math" w:cs="Cambria Math"/>
          <w:lang w:val="hy-AM"/>
        </w:rPr>
        <w:t>․</w:t>
      </w:r>
      <w:r w:rsidRPr="00B7540A">
        <w:rPr>
          <w:rFonts w:cs="Sylfaen"/>
          <w:lang w:val="hy-AM"/>
        </w:rPr>
        <w:t xml:space="preserve">  </w:t>
      </w:r>
      <w:r w:rsidRPr="00B7540A">
        <w:rPr>
          <w:rFonts w:cs="GHEA Grapalat"/>
          <w:lang w:val="hy-AM"/>
        </w:rPr>
        <w:t>ապրիլյան</w:t>
      </w:r>
      <w:r w:rsidRPr="00B7540A">
        <w:rPr>
          <w:rFonts w:cs="Sylfaen"/>
          <w:lang w:val="hy-AM"/>
        </w:rPr>
        <w:t xml:space="preserve"> </w:t>
      </w:r>
      <w:r w:rsidRPr="00B7540A">
        <w:rPr>
          <w:rFonts w:cs="GHEA Grapalat"/>
          <w:lang w:val="hy-AM"/>
        </w:rPr>
        <w:t>կանխատեսումները՝</w:t>
      </w:r>
      <w:r w:rsidRPr="00B7540A">
        <w:rPr>
          <w:rFonts w:cs="Sylfaen"/>
          <w:lang w:val="hy-AM"/>
        </w:rPr>
        <w:t xml:space="preserve"> հունվարի</w:t>
      </w:r>
      <w:r w:rsidRPr="00586097">
        <w:rPr>
          <w:rStyle w:val="FootnoteReference"/>
          <w:rFonts w:cs="Sylfaen"/>
        </w:rPr>
        <w:footnoteReference w:id="4"/>
      </w:r>
      <w:r w:rsidRPr="00B7540A">
        <w:rPr>
          <w:rFonts w:cs="Sylfaen"/>
          <w:lang w:val="hy-AM"/>
        </w:rPr>
        <w:t xml:space="preserve"> կանխատեսումների համեմատ վերանայվել են հիմնականում դեպի վերև</w:t>
      </w:r>
      <w:r w:rsidRPr="00B7540A">
        <w:rPr>
          <w:lang w:val="hy-AM"/>
        </w:rPr>
        <w:t xml:space="preserve"> (ավելի մանրամասն տե՛ս Աղյուսակ 1.2 -ում), պայմանավորված ընթացիկ տնտեսական զարգացումներով: Այնուամենայնիվ, սպասվում է, որ միայն 2022թ. վերջում տեղի կունենա համաշխարհային տնտեսության վերականգնում, այն էլ նոր՝ նախաճգնաժամային մակարդակից ցածր ներուժային մակարդակի պայմաններում, իսկ գործընկեր երկրներից (միություններից) ԵՄ-ը կվերականգնվի 2022թ. հետո:  </w:t>
      </w:r>
    </w:p>
    <w:p w14:paraId="7121BFBC" w14:textId="77777777" w:rsidR="00B7540A" w:rsidRPr="00586097" w:rsidRDefault="00B7540A" w:rsidP="00B7540A">
      <w:pPr>
        <w:pStyle w:val="afc"/>
        <w:spacing w:line="276" w:lineRule="auto"/>
      </w:pPr>
      <w:r w:rsidRPr="00586097">
        <w:t xml:space="preserve">Աղյուսակ </w:t>
      </w:r>
      <w:r w:rsidRPr="00586097">
        <w:rPr>
          <w:lang w:val="en-US"/>
        </w:rPr>
        <w:t>1.3</w:t>
      </w:r>
      <w:r w:rsidRPr="00586097">
        <w:t>. ԱՄՀ կանխատեսումներ</w:t>
      </w:r>
    </w:p>
    <w:tbl>
      <w:tblPr>
        <w:tblStyle w:val="MediumShading1-Accent111"/>
        <w:tblW w:w="0" w:type="auto"/>
        <w:tblLayout w:type="fixed"/>
        <w:tblLook w:val="04A0" w:firstRow="1" w:lastRow="0" w:firstColumn="1" w:lastColumn="0" w:noHBand="0" w:noVBand="1"/>
      </w:tblPr>
      <w:tblGrid>
        <w:gridCol w:w="2376"/>
        <w:gridCol w:w="851"/>
        <w:gridCol w:w="850"/>
        <w:gridCol w:w="851"/>
        <w:gridCol w:w="850"/>
        <w:gridCol w:w="851"/>
        <w:gridCol w:w="850"/>
        <w:gridCol w:w="851"/>
        <w:gridCol w:w="992"/>
        <w:gridCol w:w="928"/>
      </w:tblGrid>
      <w:tr w:rsidR="00B7540A" w:rsidRPr="00586097" w14:paraId="0C3819C9" w14:textId="77777777" w:rsidTr="00B75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6C59100" w14:textId="77777777" w:rsidR="00B7540A" w:rsidRPr="00586097" w:rsidRDefault="00B7540A" w:rsidP="00B7540A">
            <w:pPr>
              <w:spacing w:after="120" w:line="276" w:lineRule="auto"/>
              <w:ind w:firstLine="0"/>
              <w:rPr>
                <w:rFonts w:cs="Sylfaen"/>
                <w:bCs w:val="0"/>
                <w:i/>
                <w:color w:val="000000"/>
              </w:rPr>
            </w:pPr>
          </w:p>
        </w:tc>
        <w:tc>
          <w:tcPr>
            <w:tcW w:w="851" w:type="dxa"/>
            <w:tcBorders>
              <w:top w:val="single" w:sz="8" w:space="0" w:color="4472C4"/>
              <w:bottom w:val="single" w:sz="8" w:space="0" w:color="4472C4"/>
              <w:right w:val="single" w:sz="4" w:space="0" w:color="auto"/>
            </w:tcBorders>
            <w:shd w:val="clear" w:color="000000" w:fill="4472C4"/>
            <w:vAlign w:val="center"/>
          </w:tcPr>
          <w:p w14:paraId="545870A9" w14:textId="77777777" w:rsidR="00B7540A" w:rsidRPr="00586097" w:rsidRDefault="00B7540A" w:rsidP="00B7540A">
            <w:pPr>
              <w:spacing w:after="120" w:line="276" w:lineRule="auto"/>
              <w:ind w:firstLine="0"/>
              <w:jc w:val="center"/>
              <w:cnfStyle w:val="100000000000" w:firstRow="1" w:lastRow="0" w:firstColumn="0" w:lastColumn="0" w:oddVBand="0" w:evenVBand="0" w:oddHBand="0" w:evenHBand="0" w:firstRowFirstColumn="0" w:firstRowLastColumn="0" w:lastRowFirstColumn="0" w:lastRowLastColumn="0"/>
              <w:rPr>
                <w:rFonts w:cs="Sylfaen"/>
                <w:b w:val="0"/>
                <w:bCs w:val="0"/>
                <w:i/>
                <w:color w:val="000000"/>
              </w:rPr>
            </w:pPr>
            <w:r w:rsidRPr="00586097">
              <w:rPr>
                <w:rFonts w:cs="Calibri"/>
              </w:rPr>
              <w:t>2020</w:t>
            </w:r>
          </w:p>
        </w:tc>
        <w:tc>
          <w:tcPr>
            <w:tcW w:w="5103" w:type="dxa"/>
            <w:gridSpan w:val="6"/>
            <w:tcBorders>
              <w:top w:val="single" w:sz="8" w:space="0" w:color="4472C4"/>
              <w:left w:val="single" w:sz="4" w:space="0" w:color="auto"/>
              <w:bottom w:val="single" w:sz="8" w:space="0" w:color="4472C4"/>
              <w:right w:val="single" w:sz="8" w:space="0" w:color="000000"/>
            </w:tcBorders>
            <w:shd w:val="clear" w:color="000000" w:fill="4472C4"/>
            <w:vAlign w:val="center"/>
          </w:tcPr>
          <w:p w14:paraId="5FE6DE0E" w14:textId="77777777" w:rsidR="00B7540A" w:rsidRPr="00586097" w:rsidRDefault="00B7540A" w:rsidP="00B7540A">
            <w:pPr>
              <w:spacing w:after="120" w:line="276" w:lineRule="auto"/>
              <w:ind w:firstLine="0"/>
              <w:jc w:val="center"/>
              <w:cnfStyle w:val="100000000000" w:firstRow="1" w:lastRow="0" w:firstColumn="0" w:lastColumn="0" w:oddVBand="0" w:evenVBand="0" w:oddHBand="0" w:evenHBand="0" w:firstRowFirstColumn="0" w:firstRowLastColumn="0" w:lastRowFirstColumn="0" w:lastRowLastColumn="0"/>
              <w:rPr>
                <w:rFonts w:cs="Sylfaen"/>
                <w:b w:val="0"/>
                <w:i/>
                <w:color w:val="000000"/>
              </w:rPr>
            </w:pPr>
            <w:r w:rsidRPr="00586097">
              <w:rPr>
                <w:rFonts w:cs="Calibri"/>
              </w:rPr>
              <w:t>2021 թ.-ի կանխատեսում</w:t>
            </w:r>
          </w:p>
        </w:tc>
        <w:tc>
          <w:tcPr>
            <w:tcW w:w="1920" w:type="dxa"/>
            <w:gridSpan w:val="2"/>
            <w:tcBorders>
              <w:top w:val="single" w:sz="8" w:space="0" w:color="4472C4"/>
              <w:bottom w:val="single" w:sz="8" w:space="0" w:color="4472C4"/>
              <w:right w:val="single" w:sz="8" w:space="0" w:color="000000"/>
            </w:tcBorders>
            <w:shd w:val="clear" w:color="000000" w:fill="4472C4"/>
            <w:vAlign w:val="center"/>
          </w:tcPr>
          <w:p w14:paraId="36E1B70C" w14:textId="77777777" w:rsidR="00B7540A" w:rsidRPr="00586097" w:rsidRDefault="00B7540A" w:rsidP="00B7540A">
            <w:pPr>
              <w:spacing w:after="120" w:line="276" w:lineRule="auto"/>
              <w:ind w:firstLine="0"/>
              <w:jc w:val="center"/>
              <w:cnfStyle w:val="100000000000" w:firstRow="1" w:lastRow="0" w:firstColumn="0" w:lastColumn="0" w:oddVBand="0" w:evenVBand="0" w:oddHBand="0" w:evenHBand="0" w:firstRowFirstColumn="0" w:firstRowLastColumn="0" w:lastRowFirstColumn="0" w:lastRowLastColumn="0"/>
              <w:rPr>
                <w:rFonts w:cs="Sylfaen"/>
                <w:b w:val="0"/>
                <w:bCs w:val="0"/>
                <w:i/>
                <w:color w:val="000000"/>
              </w:rPr>
            </w:pPr>
            <w:r w:rsidRPr="00586097">
              <w:rPr>
                <w:rFonts w:cs="Calibri"/>
              </w:rPr>
              <w:t>2022թ.-ի կանխատեսում</w:t>
            </w:r>
          </w:p>
        </w:tc>
      </w:tr>
      <w:tr w:rsidR="00B7540A" w:rsidRPr="00586097" w14:paraId="23181D21" w14:textId="77777777" w:rsidTr="00B7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F41E000" w14:textId="77777777" w:rsidR="00B7540A" w:rsidRPr="00586097" w:rsidRDefault="00B7540A" w:rsidP="00B7540A">
            <w:pPr>
              <w:spacing w:after="120" w:line="276" w:lineRule="auto"/>
              <w:ind w:firstLine="0"/>
              <w:rPr>
                <w:rFonts w:cs="Calibri"/>
                <w:color w:val="000000"/>
              </w:rPr>
            </w:pPr>
          </w:p>
        </w:tc>
        <w:tc>
          <w:tcPr>
            <w:tcW w:w="851" w:type="dxa"/>
            <w:tcBorders>
              <w:top w:val="nil"/>
              <w:bottom w:val="single" w:sz="8" w:space="0" w:color="8EAADB"/>
              <w:right w:val="single" w:sz="8" w:space="0" w:color="8EAADB"/>
            </w:tcBorders>
            <w:shd w:val="clear" w:color="000000" w:fill="D9E2F3"/>
            <w:vAlign w:val="center"/>
          </w:tcPr>
          <w:p w14:paraId="7D3B51BD" w14:textId="77777777" w:rsidR="00B7540A" w:rsidRPr="00586097" w:rsidRDefault="00B7540A" w:rsidP="00B7540A">
            <w:pPr>
              <w:spacing w:after="120" w:line="276" w:lineRule="auto"/>
              <w:ind w:firstLine="0"/>
              <w:cnfStyle w:val="000000100000" w:firstRow="0" w:lastRow="0" w:firstColumn="0" w:lastColumn="0" w:oddVBand="0" w:evenVBand="0" w:oddHBand="1" w:evenHBand="0" w:firstRowFirstColumn="0" w:firstRowLastColumn="0" w:lastRowFirstColumn="0" w:lastRowLastColumn="0"/>
              <w:rPr>
                <w:rFonts w:cs="Calibri"/>
                <w:color w:val="000000"/>
              </w:rPr>
            </w:pPr>
            <w:r w:rsidRPr="00586097">
              <w:rPr>
                <w:rFonts w:cs="Calibri"/>
                <w:color w:val="000000"/>
              </w:rPr>
              <w:t>Փաստ</w:t>
            </w:r>
          </w:p>
        </w:tc>
        <w:tc>
          <w:tcPr>
            <w:tcW w:w="850" w:type="dxa"/>
            <w:tcBorders>
              <w:top w:val="nil"/>
              <w:bottom w:val="single" w:sz="8" w:space="0" w:color="8EAADB"/>
              <w:right w:val="single" w:sz="8" w:space="0" w:color="8EAADB"/>
            </w:tcBorders>
            <w:shd w:val="clear" w:color="000000" w:fill="D9E2F3"/>
            <w:vAlign w:val="center"/>
          </w:tcPr>
          <w:p w14:paraId="67BBB585" w14:textId="77777777" w:rsidR="00B7540A" w:rsidRPr="00586097" w:rsidRDefault="00B7540A" w:rsidP="00B7540A">
            <w:pPr>
              <w:spacing w:after="120" w:line="276" w:lineRule="auto"/>
              <w:ind w:firstLine="0"/>
              <w:cnfStyle w:val="000000100000" w:firstRow="0" w:lastRow="0" w:firstColumn="0" w:lastColumn="0" w:oddVBand="0" w:evenVBand="0" w:oddHBand="1" w:evenHBand="0" w:firstRowFirstColumn="0" w:firstRowLastColumn="0" w:lastRowFirstColumn="0" w:lastRowLastColumn="0"/>
              <w:rPr>
                <w:rFonts w:cs="Sylfaen"/>
                <w:bCs/>
                <w:i/>
                <w:color w:val="000000"/>
              </w:rPr>
            </w:pPr>
            <w:r w:rsidRPr="00586097">
              <w:rPr>
                <w:rFonts w:cs="Calibri"/>
                <w:color w:val="000000"/>
              </w:rPr>
              <w:t>2020 Հունվ.</w:t>
            </w:r>
          </w:p>
        </w:tc>
        <w:tc>
          <w:tcPr>
            <w:tcW w:w="851" w:type="dxa"/>
            <w:tcBorders>
              <w:top w:val="nil"/>
              <w:bottom w:val="single" w:sz="8" w:space="0" w:color="8EAADB"/>
              <w:right w:val="single" w:sz="8" w:space="0" w:color="8EAADB"/>
            </w:tcBorders>
            <w:shd w:val="clear" w:color="000000" w:fill="D9E2F3"/>
            <w:vAlign w:val="center"/>
          </w:tcPr>
          <w:p w14:paraId="272FA4E1" w14:textId="77777777" w:rsidR="00B7540A" w:rsidRPr="00586097" w:rsidRDefault="00B7540A" w:rsidP="00B7540A">
            <w:pPr>
              <w:spacing w:after="120" w:line="276" w:lineRule="auto"/>
              <w:ind w:firstLine="0"/>
              <w:cnfStyle w:val="000000100000" w:firstRow="0" w:lastRow="0" w:firstColumn="0" w:lastColumn="0" w:oddVBand="0" w:evenVBand="0" w:oddHBand="1" w:evenHBand="0" w:firstRowFirstColumn="0" w:firstRowLastColumn="0" w:lastRowFirstColumn="0" w:lastRowLastColumn="0"/>
              <w:rPr>
                <w:rFonts w:cs="Sylfaen"/>
                <w:bCs/>
                <w:i/>
                <w:color w:val="000000"/>
              </w:rPr>
            </w:pPr>
            <w:r w:rsidRPr="00586097">
              <w:rPr>
                <w:rFonts w:cs="Calibri"/>
                <w:color w:val="000000"/>
              </w:rPr>
              <w:t>2020 Ապրիլ</w:t>
            </w:r>
          </w:p>
        </w:tc>
        <w:tc>
          <w:tcPr>
            <w:tcW w:w="850" w:type="dxa"/>
            <w:tcBorders>
              <w:top w:val="nil"/>
              <w:bottom w:val="single" w:sz="8" w:space="0" w:color="8EAADB"/>
              <w:right w:val="single" w:sz="8" w:space="0" w:color="8EAADB"/>
            </w:tcBorders>
            <w:shd w:val="clear" w:color="000000" w:fill="D9E2F3"/>
            <w:vAlign w:val="center"/>
          </w:tcPr>
          <w:p w14:paraId="69D5255A" w14:textId="77777777" w:rsidR="00B7540A" w:rsidRPr="00586097" w:rsidRDefault="00B7540A" w:rsidP="00B7540A">
            <w:pPr>
              <w:spacing w:after="120" w:line="276" w:lineRule="auto"/>
              <w:ind w:firstLine="0"/>
              <w:cnfStyle w:val="000000100000" w:firstRow="0" w:lastRow="0" w:firstColumn="0" w:lastColumn="0" w:oddVBand="0" w:evenVBand="0" w:oddHBand="1" w:evenHBand="0" w:firstRowFirstColumn="0" w:firstRowLastColumn="0" w:lastRowFirstColumn="0" w:lastRowLastColumn="0"/>
              <w:rPr>
                <w:rFonts w:cs="Sylfaen"/>
                <w:bCs/>
                <w:i/>
                <w:color w:val="000000"/>
              </w:rPr>
            </w:pPr>
            <w:r w:rsidRPr="00586097">
              <w:rPr>
                <w:rFonts w:cs="Calibri"/>
                <w:color w:val="000000"/>
              </w:rPr>
              <w:t>2020 Հունիս</w:t>
            </w:r>
          </w:p>
        </w:tc>
        <w:tc>
          <w:tcPr>
            <w:tcW w:w="851" w:type="dxa"/>
            <w:tcBorders>
              <w:top w:val="nil"/>
              <w:bottom w:val="single" w:sz="8" w:space="0" w:color="8EAADB"/>
              <w:right w:val="single" w:sz="8" w:space="0" w:color="8EAADB"/>
            </w:tcBorders>
            <w:shd w:val="clear" w:color="000000" w:fill="D9E2F3"/>
            <w:vAlign w:val="center"/>
          </w:tcPr>
          <w:p w14:paraId="3106D0D4" w14:textId="77777777" w:rsidR="00B7540A" w:rsidRPr="00586097" w:rsidRDefault="00B7540A" w:rsidP="00B7540A">
            <w:pPr>
              <w:spacing w:after="120" w:line="276" w:lineRule="auto"/>
              <w:ind w:firstLine="0"/>
              <w:cnfStyle w:val="000000100000" w:firstRow="0" w:lastRow="0" w:firstColumn="0" w:lastColumn="0" w:oddVBand="0" w:evenVBand="0" w:oddHBand="1" w:evenHBand="0" w:firstRowFirstColumn="0" w:firstRowLastColumn="0" w:lastRowFirstColumn="0" w:lastRowLastColumn="0"/>
              <w:rPr>
                <w:rFonts w:cs="Sylfaen"/>
                <w:bCs/>
                <w:i/>
                <w:color w:val="000000"/>
              </w:rPr>
            </w:pPr>
            <w:r w:rsidRPr="00586097">
              <w:rPr>
                <w:rFonts w:cs="Calibri"/>
                <w:color w:val="000000"/>
              </w:rPr>
              <w:t>2020 Հոկտ</w:t>
            </w:r>
            <w:r w:rsidRPr="00586097">
              <w:rPr>
                <w:rFonts w:ascii="Cambria Math" w:hAnsi="Cambria Math" w:cs="Cambria Math"/>
                <w:color w:val="000000"/>
              </w:rPr>
              <w:t>․</w:t>
            </w:r>
          </w:p>
        </w:tc>
        <w:tc>
          <w:tcPr>
            <w:tcW w:w="850" w:type="dxa"/>
            <w:tcBorders>
              <w:top w:val="nil"/>
              <w:bottom w:val="single" w:sz="8" w:space="0" w:color="8EAADB"/>
              <w:right w:val="single" w:sz="8" w:space="0" w:color="8EAADB"/>
            </w:tcBorders>
            <w:shd w:val="clear" w:color="000000" w:fill="D9E2F3"/>
            <w:vAlign w:val="center"/>
          </w:tcPr>
          <w:p w14:paraId="6D861467" w14:textId="77777777" w:rsidR="00B7540A" w:rsidRPr="00586097" w:rsidRDefault="00B7540A" w:rsidP="00B7540A">
            <w:pPr>
              <w:spacing w:after="120" w:line="276" w:lineRule="auto"/>
              <w:ind w:firstLine="0"/>
              <w:cnfStyle w:val="000000100000" w:firstRow="0" w:lastRow="0" w:firstColumn="0" w:lastColumn="0" w:oddVBand="0" w:evenVBand="0" w:oddHBand="1" w:evenHBand="0" w:firstRowFirstColumn="0" w:firstRowLastColumn="0" w:lastRowFirstColumn="0" w:lastRowLastColumn="0"/>
              <w:rPr>
                <w:rFonts w:cs="Sylfaen"/>
                <w:bCs/>
                <w:i/>
                <w:color w:val="000000"/>
              </w:rPr>
            </w:pPr>
            <w:r w:rsidRPr="00586097">
              <w:rPr>
                <w:rFonts w:cs="Calibri"/>
                <w:color w:val="000000"/>
              </w:rPr>
              <w:t>2021 Հունվ</w:t>
            </w:r>
            <w:r w:rsidRPr="00586097">
              <w:rPr>
                <w:rFonts w:ascii="Cambria Math" w:hAnsi="Cambria Math" w:cs="Cambria Math"/>
                <w:color w:val="000000"/>
              </w:rPr>
              <w:t>․</w:t>
            </w:r>
          </w:p>
        </w:tc>
        <w:tc>
          <w:tcPr>
            <w:tcW w:w="851" w:type="dxa"/>
            <w:tcBorders>
              <w:top w:val="nil"/>
              <w:bottom w:val="single" w:sz="8" w:space="0" w:color="8EAADB"/>
              <w:right w:val="single" w:sz="8" w:space="0" w:color="8EAADB"/>
            </w:tcBorders>
            <w:shd w:val="clear" w:color="000000" w:fill="D9E2F3"/>
            <w:vAlign w:val="center"/>
          </w:tcPr>
          <w:p w14:paraId="4BC9A6E2" w14:textId="77777777" w:rsidR="00B7540A" w:rsidRPr="00586097" w:rsidRDefault="00B7540A" w:rsidP="00B7540A">
            <w:pPr>
              <w:spacing w:after="120" w:line="276" w:lineRule="auto"/>
              <w:ind w:firstLine="0"/>
              <w:cnfStyle w:val="000000100000" w:firstRow="0" w:lastRow="0" w:firstColumn="0" w:lastColumn="0" w:oddVBand="0" w:evenVBand="0" w:oddHBand="1" w:evenHBand="0" w:firstRowFirstColumn="0" w:firstRowLastColumn="0" w:lastRowFirstColumn="0" w:lastRowLastColumn="0"/>
              <w:rPr>
                <w:rFonts w:cs="Sylfaen"/>
                <w:bCs/>
                <w:i/>
                <w:color w:val="000000"/>
              </w:rPr>
            </w:pPr>
            <w:r w:rsidRPr="00586097">
              <w:rPr>
                <w:rFonts w:cs="Calibri"/>
                <w:color w:val="000000"/>
              </w:rPr>
              <w:t>2021 Ապրիլ</w:t>
            </w:r>
          </w:p>
        </w:tc>
        <w:tc>
          <w:tcPr>
            <w:tcW w:w="992" w:type="dxa"/>
            <w:tcBorders>
              <w:top w:val="nil"/>
              <w:bottom w:val="single" w:sz="8" w:space="0" w:color="8EAADB"/>
              <w:right w:val="single" w:sz="8" w:space="0" w:color="8EAADB"/>
            </w:tcBorders>
            <w:shd w:val="clear" w:color="000000" w:fill="D9E2F3"/>
            <w:vAlign w:val="center"/>
          </w:tcPr>
          <w:p w14:paraId="1214027F" w14:textId="77777777" w:rsidR="00B7540A" w:rsidRPr="00586097" w:rsidRDefault="00B7540A" w:rsidP="00B7540A">
            <w:pPr>
              <w:spacing w:after="120" w:line="276" w:lineRule="auto"/>
              <w:ind w:firstLine="0"/>
              <w:cnfStyle w:val="000000100000" w:firstRow="0" w:lastRow="0" w:firstColumn="0" w:lastColumn="0" w:oddVBand="0" w:evenVBand="0" w:oddHBand="1" w:evenHBand="0" w:firstRowFirstColumn="0" w:firstRowLastColumn="0" w:lastRowFirstColumn="0" w:lastRowLastColumn="0"/>
              <w:rPr>
                <w:rFonts w:cs="Sylfaen"/>
                <w:bCs/>
                <w:i/>
                <w:color w:val="000000"/>
              </w:rPr>
            </w:pPr>
            <w:r w:rsidRPr="00586097">
              <w:rPr>
                <w:rFonts w:cs="Calibri"/>
                <w:color w:val="000000"/>
              </w:rPr>
              <w:t>2021 Հունվ.</w:t>
            </w:r>
          </w:p>
        </w:tc>
        <w:tc>
          <w:tcPr>
            <w:tcW w:w="928" w:type="dxa"/>
            <w:tcBorders>
              <w:top w:val="nil"/>
              <w:bottom w:val="single" w:sz="8" w:space="0" w:color="8EAADB"/>
              <w:right w:val="single" w:sz="8" w:space="0" w:color="8EAADB"/>
            </w:tcBorders>
            <w:shd w:val="clear" w:color="000000" w:fill="D9E2F3"/>
            <w:vAlign w:val="center"/>
          </w:tcPr>
          <w:p w14:paraId="24B0862C" w14:textId="77777777" w:rsidR="00B7540A" w:rsidRPr="00586097" w:rsidRDefault="00B7540A" w:rsidP="00B7540A">
            <w:pPr>
              <w:spacing w:after="120" w:line="276" w:lineRule="auto"/>
              <w:ind w:firstLine="0"/>
              <w:cnfStyle w:val="000000100000" w:firstRow="0" w:lastRow="0" w:firstColumn="0" w:lastColumn="0" w:oddVBand="0" w:evenVBand="0" w:oddHBand="1" w:evenHBand="0" w:firstRowFirstColumn="0" w:firstRowLastColumn="0" w:lastRowFirstColumn="0" w:lastRowLastColumn="0"/>
              <w:rPr>
                <w:rFonts w:cs="Sylfaen"/>
                <w:bCs/>
                <w:i/>
                <w:color w:val="000000"/>
              </w:rPr>
            </w:pPr>
            <w:r w:rsidRPr="00586097">
              <w:rPr>
                <w:rFonts w:cs="Calibri"/>
                <w:color w:val="000000"/>
              </w:rPr>
              <w:t>2021 Ապրիլ</w:t>
            </w:r>
          </w:p>
        </w:tc>
      </w:tr>
      <w:tr w:rsidR="00B7540A" w:rsidRPr="00586097" w14:paraId="16415C3A" w14:textId="77777777" w:rsidTr="00B75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left w:val="single" w:sz="8" w:space="0" w:color="8EAADB"/>
              <w:bottom w:val="single" w:sz="8" w:space="0" w:color="8EAADB"/>
              <w:right w:val="single" w:sz="8" w:space="0" w:color="8EAADB"/>
            </w:tcBorders>
            <w:shd w:val="clear" w:color="auto" w:fill="auto"/>
            <w:vAlign w:val="center"/>
          </w:tcPr>
          <w:p w14:paraId="6F2237FA" w14:textId="77777777" w:rsidR="00B7540A" w:rsidRPr="00586097" w:rsidRDefault="00B7540A" w:rsidP="00B7540A">
            <w:pPr>
              <w:spacing w:after="120" w:line="276" w:lineRule="auto"/>
              <w:ind w:firstLine="0"/>
              <w:rPr>
                <w:rFonts w:cs="Sylfaen"/>
                <w:bCs w:val="0"/>
                <w:i/>
                <w:color w:val="000000"/>
              </w:rPr>
            </w:pPr>
            <w:r w:rsidRPr="00586097">
              <w:rPr>
                <w:rFonts w:eastAsia="Calibri"/>
                <w:color w:val="000000"/>
              </w:rPr>
              <w:t>Աշխարհի տնտեսական աճ, %</w:t>
            </w:r>
          </w:p>
        </w:tc>
        <w:tc>
          <w:tcPr>
            <w:tcW w:w="851" w:type="dxa"/>
            <w:tcBorders>
              <w:top w:val="nil"/>
              <w:left w:val="none" w:sz="0" w:space="0" w:color="auto"/>
              <w:bottom w:val="single" w:sz="8" w:space="0" w:color="8EAADB"/>
              <w:right w:val="single" w:sz="8" w:space="0" w:color="8EAADB"/>
            </w:tcBorders>
            <w:shd w:val="clear" w:color="auto" w:fill="auto"/>
            <w:vAlign w:val="center"/>
          </w:tcPr>
          <w:p w14:paraId="0ECA6C7B"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-3.3</w:t>
            </w:r>
          </w:p>
        </w:tc>
        <w:tc>
          <w:tcPr>
            <w:tcW w:w="850" w:type="dxa"/>
            <w:tcBorders>
              <w:top w:val="nil"/>
              <w:left w:val="none" w:sz="0" w:space="0" w:color="auto"/>
              <w:bottom w:val="single" w:sz="8" w:space="0" w:color="8EAADB"/>
              <w:right w:val="single" w:sz="8" w:space="0" w:color="8EAADB"/>
            </w:tcBorders>
            <w:shd w:val="clear" w:color="auto" w:fill="auto"/>
            <w:vAlign w:val="center"/>
          </w:tcPr>
          <w:p w14:paraId="06B06B80"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3.4</w:t>
            </w:r>
          </w:p>
        </w:tc>
        <w:tc>
          <w:tcPr>
            <w:tcW w:w="851" w:type="dxa"/>
            <w:tcBorders>
              <w:top w:val="nil"/>
              <w:left w:val="none" w:sz="0" w:space="0" w:color="auto"/>
              <w:bottom w:val="single" w:sz="8" w:space="0" w:color="8EAADB"/>
              <w:right w:val="single" w:sz="8" w:space="0" w:color="8EAADB"/>
            </w:tcBorders>
            <w:shd w:val="clear" w:color="auto" w:fill="auto"/>
            <w:vAlign w:val="center"/>
          </w:tcPr>
          <w:p w14:paraId="3918C58C"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5.8</w:t>
            </w:r>
          </w:p>
        </w:tc>
        <w:tc>
          <w:tcPr>
            <w:tcW w:w="850" w:type="dxa"/>
            <w:tcBorders>
              <w:top w:val="nil"/>
              <w:left w:val="none" w:sz="0" w:space="0" w:color="auto"/>
              <w:bottom w:val="single" w:sz="8" w:space="0" w:color="8EAADB"/>
              <w:right w:val="single" w:sz="8" w:space="0" w:color="8EAADB"/>
            </w:tcBorders>
            <w:shd w:val="clear" w:color="auto" w:fill="auto"/>
            <w:vAlign w:val="center"/>
          </w:tcPr>
          <w:p w14:paraId="065F609B"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5.4</w:t>
            </w:r>
          </w:p>
        </w:tc>
        <w:tc>
          <w:tcPr>
            <w:tcW w:w="851" w:type="dxa"/>
            <w:tcBorders>
              <w:top w:val="nil"/>
              <w:left w:val="none" w:sz="0" w:space="0" w:color="auto"/>
              <w:bottom w:val="single" w:sz="8" w:space="0" w:color="8EAADB"/>
              <w:right w:val="single" w:sz="8" w:space="0" w:color="8EAADB"/>
            </w:tcBorders>
            <w:shd w:val="clear" w:color="auto" w:fill="auto"/>
            <w:vAlign w:val="center"/>
          </w:tcPr>
          <w:p w14:paraId="1409DE7F"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5.2</w:t>
            </w:r>
          </w:p>
        </w:tc>
        <w:tc>
          <w:tcPr>
            <w:tcW w:w="850" w:type="dxa"/>
            <w:tcBorders>
              <w:top w:val="nil"/>
              <w:left w:val="none" w:sz="0" w:space="0" w:color="auto"/>
              <w:bottom w:val="single" w:sz="8" w:space="0" w:color="8EAADB"/>
              <w:right w:val="single" w:sz="8" w:space="0" w:color="8EAADB"/>
            </w:tcBorders>
            <w:shd w:val="clear" w:color="auto" w:fill="auto"/>
            <w:vAlign w:val="center"/>
          </w:tcPr>
          <w:p w14:paraId="59A96CDA"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5.5</w:t>
            </w:r>
          </w:p>
        </w:tc>
        <w:tc>
          <w:tcPr>
            <w:tcW w:w="851" w:type="dxa"/>
            <w:tcBorders>
              <w:top w:val="nil"/>
              <w:left w:val="none" w:sz="0" w:space="0" w:color="auto"/>
              <w:bottom w:val="single" w:sz="8" w:space="0" w:color="8EAADB"/>
              <w:right w:val="single" w:sz="8" w:space="0" w:color="8EAADB"/>
            </w:tcBorders>
            <w:shd w:val="clear" w:color="auto" w:fill="auto"/>
            <w:vAlign w:val="center"/>
          </w:tcPr>
          <w:p w14:paraId="53C1C24F"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6.0</w:t>
            </w:r>
          </w:p>
        </w:tc>
        <w:tc>
          <w:tcPr>
            <w:tcW w:w="992" w:type="dxa"/>
            <w:tcBorders>
              <w:top w:val="nil"/>
              <w:left w:val="none" w:sz="0" w:space="0" w:color="auto"/>
              <w:bottom w:val="single" w:sz="8" w:space="0" w:color="8EAADB"/>
              <w:right w:val="single" w:sz="8" w:space="0" w:color="8EAADB"/>
            </w:tcBorders>
            <w:shd w:val="clear" w:color="auto" w:fill="auto"/>
            <w:vAlign w:val="center"/>
          </w:tcPr>
          <w:p w14:paraId="4B4825BE"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4.2</w:t>
            </w:r>
          </w:p>
        </w:tc>
        <w:tc>
          <w:tcPr>
            <w:tcW w:w="928" w:type="dxa"/>
            <w:tcBorders>
              <w:top w:val="nil"/>
              <w:left w:val="none" w:sz="0" w:space="0" w:color="auto"/>
              <w:bottom w:val="single" w:sz="8" w:space="0" w:color="8EAADB"/>
              <w:right w:val="single" w:sz="8" w:space="0" w:color="8EAADB"/>
            </w:tcBorders>
            <w:shd w:val="clear" w:color="auto" w:fill="auto"/>
            <w:vAlign w:val="center"/>
          </w:tcPr>
          <w:p w14:paraId="29DCCA15"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4.4</w:t>
            </w:r>
          </w:p>
        </w:tc>
      </w:tr>
      <w:tr w:rsidR="00B7540A" w:rsidRPr="00586097" w14:paraId="5971158D" w14:textId="77777777" w:rsidTr="00B7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left w:val="single" w:sz="8" w:space="0" w:color="8EAADB"/>
              <w:bottom w:val="single" w:sz="8" w:space="0" w:color="8EAADB"/>
              <w:right w:val="single" w:sz="8" w:space="0" w:color="8EAADB"/>
            </w:tcBorders>
            <w:shd w:val="clear" w:color="000000" w:fill="D9E2F3"/>
            <w:vAlign w:val="center"/>
          </w:tcPr>
          <w:p w14:paraId="647BD351" w14:textId="77777777" w:rsidR="00B7540A" w:rsidRPr="00586097" w:rsidRDefault="00B7540A" w:rsidP="00B7540A">
            <w:pPr>
              <w:spacing w:after="120" w:line="276" w:lineRule="auto"/>
              <w:ind w:firstLine="0"/>
              <w:rPr>
                <w:rFonts w:cs="Sylfaen"/>
                <w:bCs w:val="0"/>
                <w:i/>
                <w:color w:val="000000"/>
              </w:rPr>
            </w:pPr>
            <w:r w:rsidRPr="00586097">
              <w:rPr>
                <w:rFonts w:eastAsia="Calibri"/>
                <w:color w:val="000000"/>
              </w:rPr>
              <w:t>ՌԴ</w:t>
            </w:r>
          </w:p>
        </w:tc>
        <w:tc>
          <w:tcPr>
            <w:tcW w:w="851" w:type="dxa"/>
            <w:tcBorders>
              <w:top w:val="nil"/>
              <w:bottom w:val="single" w:sz="8" w:space="0" w:color="8EAADB"/>
              <w:right w:val="single" w:sz="8" w:space="0" w:color="8EAADB"/>
            </w:tcBorders>
            <w:shd w:val="clear" w:color="000000" w:fill="D9E2F3"/>
            <w:vAlign w:val="center"/>
          </w:tcPr>
          <w:p w14:paraId="7D66B7BE" w14:textId="77777777" w:rsidR="00B7540A" w:rsidRPr="00586097" w:rsidRDefault="00B7540A" w:rsidP="00B7540A">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-3.1</w:t>
            </w:r>
          </w:p>
        </w:tc>
        <w:tc>
          <w:tcPr>
            <w:tcW w:w="850" w:type="dxa"/>
            <w:tcBorders>
              <w:top w:val="nil"/>
              <w:bottom w:val="single" w:sz="8" w:space="0" w:color="8EAADB"/>
              <w:right w:val="single" w:sz="8" w:space="0" w:color="8EAADB"/>
            </w:tcBorders>
            <w:shd w:val="clear" w:color="000000" w:fill="D9E2F3"/>
            <w:vAlign w:val="center"/>
          </w:tcPr>
          <w:p w14:paraId="68A3F4C0" w14:textId="77777777" w:rsidR="00B7540A" w:rsidRPr="00586097" w:rsidRDefault="00B7540A" w:rsidP="00B7540A">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2</w:t>
            </w:r>
          </w:p>
        </w:tc>
        <w:tc>
          <w:tcPr>
            <w:tcW w:w="851" w:type="dxa"/>
            <w:tcBorders>
              <w:top w:val="nil"/>
              <w:bottom w:val="single" w:sz="8" w:space="0" w:color="8EAADB"/>
              <w:right w:val="single" w:sz="8" w:space="0" w:color="8EAADB"/>
            </w:tcBorders>
            <w:shd w:val="clear" w:color="000000" w:fill="D9E2F3"/>
            <w:vAlign w:val="center"/>
          </w:tcPr>
          <w:p w14:paraId="74F145FC" w14:textId="77777777" w:rsidR="00B7540A" w:rsidRPr="00586097" w:rsidRDefault="00B7540A" w:rsidP="00B7540A">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3.5</w:t>
            </w:r>
          </w:p>
        </w:tc>
        <w:tc>
          <w:tcPr>
            <w:tcW w:w="850" w:type="dxa"/>
            <w:tcBorders>
              <w:top w:val="nil"/>
              <w:bottom w:val="single" w:sz="8" w:space="0" w:color="8EAADB"/>
              <w:right w:val="single" w:sz="8" w:space="0" w:color="8EAADB"/>
            </w:tcBorders>
            <w:shd w:val="clear" w:color="000000" w:fill="D9E2F3"/>
            <w:vAlign w:val="center"/>
          </w:tcPr>
          <w:p w14:paraId="6716C563" w14:textId="77777777" w:rsidR="00B7540A" w:rsidRPr="00586097" w:rsidRDefault="00B7540A" w:rsidP="00B7540A">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4.1</w:t>
            </w:r>
          </w:p>
        </w:tc>
        <w:tc>
          <w:tcPr>
            <w:tcW w:w="851" w:type="dxa"/>
            <w:tcBorders>
              <w:top w:val="nil"/>
              <w:bottom w:val="single" w:sz="8" w:space="0" w:color="8EAADB"/>
              <w:right w:val="single" w:sz="8" w:space="0" w:color="8EAADB"/>
            </w:tcBorders>
            <w:shd w:val="clear" w:color="000000" w:fill="D9E2F3"/>
            <w:vAlign w:val="center"/>
          </w:tcPr>
          <w:p w14:paraId="6F9F5615" w14:textId="77777777" w:rsidR="00B7540A" w:rsidRPr="00586097" w:rsidRDefault="00B7540A" w:rsidP="00B7540A">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2.8</w:t>
            </w:r>
          </w:p>
        </w:tc>
        <w:tc>
          <w:tcPr>
            <w:tcW w:w="850" w:type="dxa"/>
            <w:tcBorders>
              <w:top w:val="nil"/>
              <w:bottom w:val="single" w:sz="8" w:space="0" w:color="8EAADB"/>
              <w:right w:val="single" w:sz="8" w:space="0" w:color="8EAADB"/>
            </w:tcBorders>
            <w:shd w:val="clear" w:color="000000" w:fill="D9E2F3"/>
          </w:tcPr>
          <w:p w14:paraId="4EB64BC7" w14:textId="77777777" w:rsidR="00B7540A" w:rsidRPr="00586097" w:rsidRDefault="00B7540A" w:rsidP="00B7540A">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3.0</w:t>
            </w:r>
          </w:p>
        </w:tc>
        <w:tc>
          <w:tcPr>
            <w:tcW w:w="851" w:type="dxa"/>
            <w:tcBorders>
              <w:top w:val="nil"/>
              <w:bottom w:val="single" w:sz="8" w:space="0" w:color="8EAADB"/>
              <w:right w:val="single" w:sz="8" w:space="0" w:color="8EAADB"/>
            </w:tcBorders>
            <w:shd w:val="clear" w:color="000000" w:fill="D9E2F3"/>
            <w:vAlign w:val="center"/>
          </w:tcPr>
          <w:p w14:paraId="4285FDB7" w14:textId="77777777" w:rsidR="00B7540A" w:rsidRPr="00586097" w:rsidRDefault="00B7540A" w:rsidP="00B7540A">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3.8</w:t>
            </w:r>
          </w:p>
        </w:tc>
        <w:tc>
          <w:tcPr>
            <w:tcW w:w="992" w:type="dxa"/>
            <w:tcBorders>
              <w:top w:val="nil"/>
              <w:bottom w:val="single" w:sz="8" w:space="0" w:color="8EAADB"/>
              <w:right w:val="single" w:sz="8" w:space="0" w:color="8EAADB"/>
            </w:tcBorders>
            <w:shd w:val="clear" w:color="000000" w:fill="D9E2F3"/>
          </w:tcPr>
          <w:p w14:paraId="296328F4" w14:textId="77777777" w:rsidR="00B7540A" w:rsidRPr="00586097" w:rsidRDefault="00B7540A" w:rsidP="00B7540A">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3.9</w:t>
            </w:r>
          </w:p>
        </w:tc>
        <w:tc>
          <w:tcPr>
            <w:tcW w:w="928" w:type="dxa"/>
            <w:tcBorders>
              <w:top w:val="nil"/>
              <w:bottom w:val="single" w:sz="8" w:space="0" w:color="8EAADB"/>
              <w:right w:val="single" w:sz="8" w:space="0" w:color="8EAADB"/>
            </w:tcBorders>
            <w:shd w:val="clear" w:color="000000" w:fill="D9E2F3"/>
            <w:vAlign w:val="center"/>
          </w:tcPr>
          <w:p w14:paraId="5C26D974" w14:textId="77777777" w:rsidR="00B7540A" w:rsidRPr="00586097" w:rsidRDefault="00B7540A" w:rsidP="00B7540A">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3.8</w:t>
            </w:r>
          </w:p>
        </w:tc>
      </w:tr>
      <w:tr w:rsidR="00B7540A" w:rsidRPr="00586097" w14:paraId="34A3292F" w14:textId="77777777" w:rsidTr="00B75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left w:val="single" w:sz="8" w:space="0" w:color="8EAADB"/>
              <w:bottom w:val="single" w:sz="8" w:space="0" w:color="8EAADB"/>
              <w:right w:val="single" w:sz="8" w:space="0" w:color="8EAADB"/>
            </w:tcBorders>
            <w:shd w:val="clear" w:color="auto" w:fill="auto"/>
            <w:vAlign w:val="center"/>
          </w:tcPr>
          <w:p w14:paraId="625496F7" w14:textId="77777777" w:rsidR="00B7540A" w:rsidRPr="00586097" w:rsidRDefault="00B7540A" w:rsidP="00B7540A">
            <w:pPr>
              <w:spacing w:after="120" w:line="276" w:lineRule="auto"/>
              <w:ind w:firstLine="0"/>
              <w:rPr>
                <w:rFonts w:cs="Sylfaen"/>
                <w:bCs w:val="0"/>
                <w:i/>
                <w:color w:val="000000"/>
              </w:rPr>
            </w:pPr>
            <w:r w:rsidRPr="00586097">
              <w:rPr>
                <w:rFonts w:eastAsia="Calibri"/>
                <w:color w:val="000000"/>
              </w:rPr>
              <w:t>Եվրոգոտի</w:t>
            </w:r>
          </w:p>
        </w:tc>
        <w:tc>
          <w:tcPr>
            <w:tcW w:w="851" w:type="dxa"/>
            <w:tcBorders>
              <w:top w:val="nil"/>
              <w:bottom w:val="single" w:sz="8" w:space="0" w:color="8EAADB"/>
              <w:right w:val="single" w:sz="8" w:space="0" w:color="8EAADB"/>
            </w:tcBorders>
            <w:shd w:val="clear" w:color="auto" w:fill="auto"/>
            <w:vAlign w:val="center"/>
          </w:tcPr>
          <w:p w14:paraId="62306C47"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-6.6</w:t>
            </w:r>
          </w:p>
        </w:tc>
        <w:tc>
          <w:tcPr>
            <w:tcW w:w="850" w:type="dxa"/>
            <w:tcBorders>
              <w:top w:val="nil"/>
              <w:bottom w:val="single" w:sz="8" w:space="0" w:color="8EAADB"/>
              <w:right w:val="single" w:sz="8" w:space="0" w:color="8EAADB"/>
            </w:tcBorders>
            <w:shd w:val="clear" w:color="auto" w:fill="auto"/>
            <w:vAlign w:val="center"/>
          </w:tcPr>
          <w:p w14:paraId="76B6C4DE"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1.4</w:t>
            </w:r>
          </w:p>
        </w:tc>
        <w:tc>
          <w:tcPr>
            <w:tcW w:w="851" w:type="dxa"/>
            <w:tcBorders>
              <w:top w:val="nil"/>
              <w:bottom w:val="single" w:sz="8" w:space="0" w:color="8EAADB"/>
              <w:right w:val="single" w:sz="8" w:space="0" w:color="8EAADB"/>
            </w:tcBorders>
            <w:shd w:val="clear" w:color="auto" w:fill="auto"/>
            <w:vAlign w:val="center"/>
          </w:tcPr>
          <w:p w14:paraId="5CAB7A20"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4.7</w:t>
            </w:r>
          </w:p>
        </w:tc>
        <w:tc>
          <w:tcPr>
            <w:tcW w:w="850" w:type="dxa"/>
            <w:tcBorders>
              <w:top w:val="nil"/>
              <w:bottom w:val="single" w:sz="8" w:space="0" w:color="8EAADB"/>
              <w:right w:val="single" w:sz="8" w:space="0" w:color="8EAADB"/>
            </w:tcBorders>
            <w:shd w:val="clear" w:color="auto" w:fill="auto"/>
            <w:vAlign w:val="center"/>
          </w:tcPr>
          <w:p w14:paraId="3978F2AB"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6.0</w:t>
            </w:r>
          </w:p>
        </w:tc>
        <w:tc>
          <w:tcPr>
            <w:tcW w:w="851" w:type="dxa"/>
            <w:tcBorders>
              <w:top w:val="nil"/>
              <w:bottom w:val="single" w:sz="8" w:space="0" w:color="8EAADB"/>
              <w:right w:val="single" w:sz="8" w:space="0" w:color="8EAADB"/>
            </w:tcBorders>
            <w:shd w:val="clear" w:color="auto" w:fill="auto"/>
            <w:vAlign w:val="center"/>
          </w:tcPr>
          <w:p w14:paraId="70026A2D"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5.2</w:t>
            </w:r>
          </w:p>
        </w:tc>
        <w:tc>
          <w:tcPr>
            <w:tcW w:w="850" w:type="dxa"/>
            <w:tcBorders>
              <w:top w:val="nil"/>
              <w:bottom w:val="single" w:sz="8" w:space="0" w:color="8EAADB"/>
              <w:right w:val="single" w:sz="8" w:space="0" w:color="8EAADB"/>
            </w:tcBorders>
            <w:shd w:val="clear" w:color="auto" w:fill="auto"/>
          </w:tcPr>
          <w:p w14:paraId="27B03B4F"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4.2</w:t>
            </w:r>
          </w:p>
        </w:tc>
        <w:tc>
          <w:tcPr>
            <w:tcW w:w="851" w:type="dxa"/>
            <w:tcBorders>
              <w:top w:val="nil"/>
              <w:bottom w:val="single" w:sz="8" w:space="0" w:color="8EAADB"/>
              <w:right w:val="single" w:sz="8" w:space="0" w:color="8EAADB"/>
            </w:tcBorders>
            <w:shd w:val="clear" w:color="auto" w:fill="auto"/>
            <w:vAlign w:val="center"/>
          </w:tcPr>
          <w:p w14:paraId="2EDFFC06"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4.4</w:t>
            </w:r>
          </w:p>
        </w:tc>
        <w:tc>
          <w:tcPr>
            <w:tcW w:w="992" w:type="dxa"/>
            <w:tcBorders>
              <w:top w:val="nil"/>
              <w:bottom w:val="single" w:sz="8" w:space="0" w:color="8EAADB"/>
              <w:right w:val="single" w:sz="8" w:space="0" w:color="8EAADB"/>
            </w:tcBorders>
            <w:shd w:val="clear" w:color="auto" w:fill="auto"/>
          </w:tcPr>
          <w:p w14:paraId="61D4401A"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3.6</w:t>
            </w:r>
          </w:p>
        </w:tc>
        <w:tc>
          <w:tcPr>
            <w:tcW w:w="928" w:type="dxa"/>
            <w:tcBorders>
              <w:top w:val="nil"/>
              <w:bottom w:val="single" w:sz="8" w:space="0" w:color="8EAADB"/>
              <w:right w:val="single" w:sz="8" w:space="0" w:color="8EAADB"/>
            </w:tcBorders>
            <w:shd w:val="clear" w:color="auto" w:fill="auto"/>
            <w:vAlign w:val="center"/>
          </w:tcPr>
          <w:p w14:paraId="26AC220E"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3.8</w:t>
            </w:r>
          </w:p>
        </w:tc>
      </w:tr>
      <w:tr w:rsidR="00B7540A" w:rsidRPr="00586097" w14:paraId="6A3A4478" w14:textId="77777777" w:rsidTr="00B7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left w:val="single" w:sz="8" w:space="0" w:color="8EAADB"/>
              <w:bottom w:val="single" w:sz="8" w:space="0" w:color="8EAADB"/>
              <w:right w:val="single" w:sz="8" w:space="0" w:color="8EAADB"/>
            </w:tcBorders>
            <w:shd w:val="clear" w:color="000000" w:fill="D9E2F3"/>
            <w:vAlign w:val="center"/>
          </w:tcPr>
          <w:p w14:paraId="726FCF75" w14:textId="77777777" w:rsidR="00B7540A" w:rsidRPr="00586097" w:rsidRDefault="00B7540A" w:rsidP="00B7540A">
            <w:pPr>
              <w:spacing w:after="120" w:line="276" w:lineRule="auto"/>
              <w:ind w:firstLine="0"/>
              <w:rPr>
                <w:rFonts w:cs="Sylfaen"/>
                <w:bCs w:val="0"/>
                <w:i/>
                <w:color w:val="000000"/>
              </w:rPr>
            </w:pPr>
            <w:r w:rsidRPr="00586097">
              <w:rPr>
                <w:rFonts w:eastAsia="Calibri"/>
                <w:color w:val="000000"/>
              </w:rPr>
              <w:t>Չինաստան</w:t>
            </w:r>
          </w:p>
        </w:tc>
        <w:tc>
          <w:tcPr>
            <w:tcW w:w="851" w:type="dxa"/>
            <w:tcBorders>
              <w:top w:val="nil"/>
              <w:bottom w:val="single" w:sz="8" w:space="0" w:color="8EAADB"/>
              <w:right w:val="single" w:sz="8" w:space="0" w:color="8EAADB"/>
            </w:tcBorders>
            <w:shd w:val="clear" w:color="000000" w:fill="D9E2F3"/>
            <w:vAlign w:val="center"/>
          </w:tcPr>
          <w:p w14:paraId="46769E1C" w14:textId="77777777" w:rsidR="00B7540A" w:rsidRPr="00586097" w:rsidRDefault="00B7540A" w:rsidP="00B7540A">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2.3</w:t>
            </w:r>
          </w:p>
        </w:tc>
        <w:tc>
          <w:tcPr>
            <w:tcW w:w="850" w:type="dxa"/>
            <w:tcBorders>
              <w:top w:val="nil"/>
              <w:bottom w:val="single" w:sz="8" w:space="0" w:color="8EAADB"/>
              <w:right w:val="single" w:sz="8" w:space="0" w:color="8EAADB"/>
            </w:tcBorders>
            <w:shd w:val="clear" w:color="000000" w:fill="D9E2F3"/>
            <w:vAlign w:val="center"/>
          </w:tcPr>
          <w:p w14:paraId="4F9C7382" w14:textId="77777777" w:rsidR="00B7540A" w:rsidRPr="00586097" w:rsidRDefault="00B7540A" w:rsidP="00B7540A">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5.8</w:t>
            </w:r>
          </w:p>
        </w:tc>
        <w:tc>
          <w:tcPr>
            <w:tcW w:w="851" w:type="dxa"/>
            <w:tcBorders>
              <w:top w:val="nil"/>
              <w:bottom w:val="single" w:sz="8" w:space="0" w:color="8EAADB"/>
              <w:right w:val="single" w:sz="8" w:space="0" w:color="8EAADB"/>
            </w:tcBorders>
            <w:shd w:val="clear" w:color="000000" w:fill="D9E2F3"/>
            <w:vAlign w:val="center"/>
          </w:tcPr>
          <w:p w14:paraId="40082C2D" w14:textId="77777777" w:rsidR="00B7540A" w:rsidRPr="00586097" w:rsidRDefault="00B7540A" w:rsidP="00B7540A">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9.2</w:t>
            </w:r>
          </w:p>
        </w:tc>
        <w:tc>
          <w:tcPr>
            <w:tcW w:w="850" w:type="dxa"/>
            <w:tcBorders>
              <w:top w:val="nil"/>
              <w:bottom w:val="single" w:sz="8" w:space="0" w:color="8EAADB"/>
              <w:right w:val="single" w:sz="8" w:space="0" w:color="8EAADB"/>
            </w:tcBorders>
            <w:shd w:val="clear" w:color="000000" w:fill="D9E2F3"/>
            <w:vAlign w:val="center"/>
          </w:tcPr>
          <w:p w14:paraId="14938E0C" w14:textId="77777777" w:rsidR="00B7540A" w:rsidRPr="00586097" w:rsidRDefault="00B7540A" w:rsidP="00B7540A">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8.2</w:t>
            </w:r>
          </w:p>
        </w:tc>
        <w:tc>
          <w:tcPr>
            <w:tcW w:w="851" w:type="dxa"/>
            <w:tcBorders>
              <w:top w:val="nil"/>
              <w:bottom w:val="single" w:sz="8" w:space="0" w:color="8EAADB"/>
              <w:right w:val="single" w:sz="8" w:space="0" w:color="8EAADB"/>
            </w:tcBorders>
            <w:shd w:val="clear" w:color="000000" w:fill="D9E2F3"/>
            <w:vAlign w:val="center"/>
          </w:tcPr>
          <w:p w14:paraId="7BBD11B6" w14:textId="77777777" w:rsidR="00B7540A" w:rsidRPr="00586097" w:rsidRDefault="00B7540A" w:rsidP="00B7540A">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8.2</w:t>
            </w:r>
          </w:p>
        </w:tc>
        <w:tc>
          <w:tcPr>
            <w:tcW w:w="850" w:type="dxa"/>
            <w:tcBorders>
              <w:top w:val="nil"/>
              <w:bottom w:val="single" w:sz="8" w:space="0" w:color="8EAADB"/>
              <w:right w:val="single" w:sz="8" w:space="0" w:color="8EAADB"/>
            </w:tcBorders>
            <w:shd w:val="clear" w:color="000000" w:fill="D9E2F3"/>
          </w:tcPr>
          <w:p w14:paraId="1F5D6B87" w14:textId="77777777" w:rsidR="00B7540A" w:rsidRPr="00586097" w:rsidRDefault="00B7540A" w:rsidP="00B7540A">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8.1</w:t>
            </w:r>
          </w:p>
        </w:tc>
        <w:tc>
          <w:tcPr>
            <w:tcW w:w="851" w:type="dxa"/>
            <w:tcBorders>
              <w:top w:val="nil"/>
              <w:bottom w:val="single" w:sz="8" w:space="0" w:color="8EAADB"/>
              <w:right w:val="single" w:sz="8" w:space="0" w:color="8EAADB"/>
            </w:tcBorders>
            <w:shd w:val="clear" w:color="000000" w:fill="D9E2F3"/>
            <w:vAlign w:val="center"/>
          </w:tcPr>
          <w:p w14:paraId="5DF2EFFC" w14:textId="77777777" w:rsidR="00B7540A" w:rsidRPr="00586097" w:rsidRDefault="00B7540A" w:rsidP="00B7540A">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8.4</w:t>
            </w:r>
          </w:p>
        </w:tc>
        <w:tc>
          <w:tcPr>
            <w:tcW w:w="992" w:type="dxa"/>
            <w:tcBorders>
              <w:top w:val="nil"/>
              <w:bottom w:val="single" w:sz="8" w:space="0" w:color="8EAADB"/>
              <w:right w:val="single" w:sz="8" w:space="0" w:color="8EAADB"/>
            </w:tcBorders>
            <w:shd w:val="clear" w:color="000000" w:fill="D9E2F3"/>
          </w:tcPr>
          <w:p w14:paraId="4BED7D7F" w14:textId="77777777" w:rsidR="00B7540A" w:rsidRPr="00586097" w:rsidRDefault="00B7540A" w:rsidP="00B7540A">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5.6</w:t>
            </w:r>
          </w:p>
        </w:tc>
        <w:tc>
          <w:tcPr>
            <w:tcW w:w="928" w:type="dxa"/>
            <w:tcBorders>
              <w:top w:val="nil"/>
              <w:bottom w:val="single" w:sz="8" w:space="0" w:color="8EAADB"/>
              <w:right w:val="single" w:sz="8" w:space="0" w:color="8EAADB"/>
            </w:tcBorders>
            <w:shd w:val="clear" w:color="000000" w:fill="D9E2F3"/>
            <w:vAlign w:val="center"/>
          </w:tcPr>
          <w:p w14:paraId="70F46101" w14:textId="77777777" w:rsidR="00B7540A" w:rsidRPr="00586097" w:rsidRDefault="00B7540A" w:rsidP="00B7540A">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5.6</w:t>
            </w:r>
          </w:p>
        </w:tc>
      </w:tr>
      <w:tr w:rsidR="00B7540A" w:rsidRPr="00586097" w14:paraId="471F9A8C" w14:textId="77777777" w:rsidTr="00B75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left w:val="single" w:sz="8" w:space="0" w:color="8EAADB"/>
              <w:bottom w:val="single" w:sz="8" w:space="0" w:color="8EAADB"/>
              <w:right w:val="single" w:sz="8" w:space="0" w:color="8EAADB"/>
            </w:tcBorders>
            <w:shd w:val="clear" w:color="auto" w:fill="auto"/>
            <w:vAlign w:val="center"/>
          </w:tcPr>
          <w:p w14:paraId="58619904" w14:textId="77777777" w:rsidR="00B7540A" w:rsidRPr="00586097" w:rsidRDefault="00B7540A" w:rsidP="00B7540A">
            <w:pPr>
              <w:spacing w:after="120" w:line="276" w:lineRule="auto"/>
              <w:ind w:firstLine="0"/>
              <w:rPr>
                <w:rFonts w:cs="Sylfaen"/>
                <w:bCs w:val="0"/>
                <w:i/>
                <w:color w:val="000000"/>
              </w:rPr>
            </w:pPr>
            <w:r w:rsidRPr="00586097">
              <w:rPr>
                <w:rFonts w:eastAsia="Calibri"/>
                <w:color w:val="000000"/>
              </w:rPr>
              <w:t>ԱՄՆ</w:t>
            </w:r>
          </w:p>
        </w:tc>
        <w:tc>
          <w:tcPr>
            <w:tcW w:w="851" w:type="dxa"/>
            <w:tcBorders>
              <w:top w:val="nil"/>
              <w:bottom w:val="single" w:sz="8" w:space="0" w:color="8EAADB"/>
              <w:right w:val="single" w:sz="8" w:space="0" w:color="8EAADB"/>
            </w:tcBorders>
            <w:shd w:val="clear" w:color="auto" w:fill="auto"/>
            <w:vAlign w:val="center"/>
          </w:tcPr>
          <w:p w14:paraId="33381E19"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-3.5</w:t>
            </w:r>
          </w:p>
        </w:tc>
        <w:tc>
          <w:tcPr>
            <w:tcW w:w="850" w:type="dxa"/>
            <w:tcBorders>
              <w:top w:val="nil"/>
              <w:bottom w:val="single" w:sz="8" w:space="0" w:color="8EAADB"/>
              <w:right w:val="single" w:sz="8" w:space="0" w:color="8EAADB"/>
            </w:tcBorders>
            <w:shd w:val="clear" w:color="auto" w:fill="auto"/>
            <w:vAlign w:val="center"/>
          </w:tcPr>
          <w:p w14:paraId="0AE7714A"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1.7</w:t>
            </w:r>
          </w:p>
        </w:tc>
        <w:tc>
          <w:tcPr>
            <w:tcW w:w="851" w:type="dxa"/>
            <w:tcBorders>
              <w:top w:val="nil"/>
              <w:bottom w:val="single" w:sz="8" w:space="0" w:color="8EAADB"/>
              <w:right w:val="single" w:sz="8" w:space="0" w:color="8EAADB"/>
            </w:tcBorders>
            <w:shd w:val="clear" w:color="auto" w:fill="auto"/>
            <w:vAlign w:val="center"/>
          </w:tcPr>
          <w:p w14:paraId="6BF1CCF1"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4.7</w:t>
            </w:r>
          </w:p>
        </w:tc>
        <w:tc>
          <w:tcPr>
            <w:tcW w:w="850" w:type="dxa"/>
            <w:tcBorders>
              <w:top w:val="nil"/>
              <w:bottom w:val="single" w:sz="8" w:space="0" w:color="8EAADB"/>
              <w:right w:val="single" w:sz="8" w:space="0" w:color="8EAADB"/>
            </w:tcBorders>
            <w:shd w:val="clear" w:color="auto" w:fill="auto"/>
            <w:vAlign w:val="center"/>
          </w:tcPr>
          <w:p w14:paraId="36502812"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4.5</w:t>
            </w:r>
          </w:p>
        </w:tc>
        <w:tc>
          <w:tcPr>
            <w:tcW w:w="851" w:type="dxa"/>
            <w:tcBorders>
              <w:top w:val="nil"/>
              <w:bottom w:val="single" w:sz="8" w:space="0" w:color="8EAADB"/>
              <w:right w:val="single" w:sz="8" w:space="0" w:color="8EAADB"/>
            </w:tcBorders>
            <w:shd w:val="clear" w:color="auto" w:fill="auto"/>
            <w:vAlign w:val="center"/>
          </w:tcPr>
          <w:p w14:paraId="3C1E1162"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3.1</w:t>
            </w:r>
          </w:p>
        </w:tc>
        <w:tc>
          <w:tcPr>
            <w:tcW w:w="850" w:type="dxa"/>
            <w:tcBorders>
              <w:top w:val="nil"/>
              <w:bottom w:val="single" w:sz="8" w:space="0" w:color="8EAADB"/>
              <w:right w:val="single" w:sz="8" w:space="0" w:color="8EAADB"/>
            </w:tcBorders>
            <w:shd w:val="clear" w:color="auto" w:fill="auto"/>
          </w:tcPr>
          <w:p w14:paraId="688DA415"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5.1</w:t>
            </w:r>
          </w:p>
        </w:tc>
        <w:tc>
          <w:tcPr>
            <w:tcW w:w="851" w:type="dxa"/>
            <w:tcBorders>
              <w:top w:val="nil"/>
              <w:bottom w:val="single" w:sz="8" w:space="0" w:color="8EAADB"/>
              <w:right w:val="single" w:sz="8" w:space="0" w:color="8EAADB"/>
            </w:tcBorders>
            <w:shd w:val="clear" w:color="auto" w:fill="auto"/>
            <w:vAlign w:val="center"/>
          </w:tcPr>
          <w:p w14:paraId="1CDC9E69"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6.4</w:t>
            </w:r>
          </w:p>
        </w:tc>
        <w:tc>
          <w:tcPr>
            <w:tcW w:w="992" w:type="dxa"/>
            <w:tcBorders>
              <w:top w:val="nil"/>
              <w:bottom w:val="single" w:sz="8" w:space="0" w:color="8EAADB"/>
              <w:right w:val="single" w:sz="8" w:space="0" w:color="8EAADB"/>
            </w:tcBorders>
            <w:shd w:val="clear" w:color="auto" w:fill="auto"/>
          </w:tcPr>
          <w:p w14:paraId="56B5E162"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2.5</w:t>
            </w:r>
          </w:p>
        </w:tc>
        <w:tc>
          <w:tcPr>
            <w:tcW w:w="928" w:type="dxa"/>
            <w:tcBorders>
              <w:top w:val="nil"/>
              <w:bottom w:val="single" w:sz="8" w:space="0" w:color="8EAADB"/>
              <w:right w:val="single" w:sz="8" w:space="0" w:color="8EAADB"/>
            </w:tcBorders>
            <w:shd w:val="clear" w:color="auto" w:fill="auto"/>
            <w:vAlign w:val="center"/>
          </w:tcPr>
          <w:p w14:paraId="1A945222" w14:textId="77777777" w:rsidR="00B7540A" w:rsidRPr="00586097" w:rsidRDefault="00B7540A" w:rsidP="00B7540A">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rPr>
            </w:pPr>
            <w:r w:rsidRPr="00586097">
              <w:rPr>
                <w:rFonts w:eastAsia="Calibri" w:cs="Calibri"/>
              </w:rPr>
              <w:t>3.5</w:t>
            </w:r>
          </w:p>
        </w:tc>
      </w:tr>
      <w:tr w:rsidR="00B7540A" w:rsidRPr="00586097" w14:paraId="25BBB9FB" w14:textId="77777777" w:rsidTr="00B7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left w:val="single" w:sz="8" w:space="0" w:color="8EAADB"/>
              <w:bottom w:val="single" w:sz="8" w:space="0" w:color="8EAADB"/>
              <w:right w:val="single" w:sz="8" w:space="0" w:color="8EAADB"/>
            </w:tcBorders>
            <w:shd w:val="clear" w:color="000000" w:fill="D9E2F3"/>
            <w:vAlign w:val="center"/>
          </w:tcPr>
          <w:p w14:paraId="2278CF8B" w14:textId="77777777" w:rsidR="00B7540A" w:rsidRPr="00586097" w:rsidRDefault="00B7540A" w:rsidP="00B7540A">
            <w:pPr>
              <w:keepNext/>
              <w:spacing w:after="120" w:line="276" w:lineRule="auto"/>
              <w:ind w:firstLine="0"/>
              <w:rPr>
                <w:rFonts w:cs="Sylfaen"/>
                <w:bCs w:val="0"/>
                <w:i/>
                <w:color w:val="000000"/>
              </w:rPr>
            </w:pPr>
            <w:r w:rsidRPr="00586097">
              <w:rPr>
                <w:rFonts w:eastAsia="Calibri"/>
                <w:color w:val="000000"/>
              </w:rPr>
              <w:t>Համաշխարհային առևտրի աճ, %</w:t>
            </w:r>
          </w:p>
        </w:tc>
        <w:tc>
          <w:tcPr>
            <w:tcW w:w="851" w:type="dxa"/>
            <w:tcBorders>
              <w:top w:val="nil"/>
              <w:bottom w:val="single" w:sz="8" w:space="0" w:color="8EAADB"/>
              <w:right w:val="single" w:sz="8" w:space="0" w:color="8EAADB"/>
            </w:tcBorders>
            <w:shd w:val="clear" w:color="000000" w:fill="D9E2F3"/>
            <w:vAlign w:val="center"/>
          </w:tcPr>
          <w:p w14:paraId="0FBEC371" w14:textId="77777777" w:rsidR="00B7540A" w:rsidRPr="00586097" w:rsidRDefault="00B7540A" w:rsidP="00B7540A">
            <w:pPr>
              <w:keepNext/>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-8.5</w:t>
            </w:r>
          </w:p>
        </w:tc>
        <w:tc>
          <w:tcPr>
            <w:tcW w:w="850" w:type="dxa"/>
            <w:tcBorders>
              <w:top w:val="nil"/>
              <w:bottom w:val="single" w:sz="8" w:space="0" w:color="8EAADB"/>
              <w:right w:val="single" w:sz="8" w:space="0" w:color="8EAADB"/>
            </w:tcBorders>
            <w:shd w:val="clear" w:color="000000" w:fill="D9E2F3"/>
            <w:vAlign w:val="center"/>
          </w:tcPr>
          <w:p w14:paraId="245C8584" w14:textId="77777777" w:rsidR="00B7540A" w:rsidRPr="00586097" w:rsidRDefault="00B7540A" w:rsidP="00B7540A">
            <w:pPr>
              <w:keepNext/>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3.7</w:t>
            </w:r>
          </w:p>
        </w:tc>
        <w:tc>
          <w:tcPr>
            <w:tcW w:w="851" w:type="dxa"/>
            <w:tcBorders>
              <w:top w:val="nil"/>
              <w:bottom w:val="single" w:sz="8" w:space="0" w:color="8EAADB"/>
              <w:right w:val="single" w:sz="8" w:space="0" w:color="8EAADB"/>
            </w:tcBorders>
            <w:shd w:val="clear" w:color="000000" w:fill="D9E2F3"/>
            <w:vAlign w:val="center"/>
          </w:tcPr>
          <w:p w14:paraId="0C7AED07" w14:textId="77777777" w:rsidR="00B7540A" w:rsidRPr="00586097" w:rsidRDefault="00B7540A" w:rsidP="00B7540A">
            <w:pPr>
              <w:keepNext/>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8.4</w:t>
            </w:r>
          </w:p>
        </w:tc>
        <w:tc>
          <w:tcPr>
            <w:tcW w:w="850" w:type="dxa"/>
            <w:tcBorders>
              <w:top w:val="nil"/>
              <w:bottom w:val="single" w:sz="8" w:space="0" w:color="8EAADB"/>
              <w:right w:val="single" w:sz="8" w:space="0" w:color="8EAADB"/>
            </w:tcBorders>
            <w:shd w:val="clear" w:color="000000" w:fill="D9E2F3"/>
            <w:vAlign w:val="center"/>
          </w:tcPr>
          <w:p w14:paraId="62E3D160" w14:textId="77777777" w:rsidR="00B7540A" w:rsidRPr="00586097" w:rsidRDefault="00B7540A" w:rsidP="00B7540A">
            <w:pPr>
              <w:keepNext/>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8.0</w:t>
            </w:r>
          </w:p>
        </w:tc>
        <w:tc>
          <w:tcPr>
            <w:tcW w:w="851" w:type="dxa"/>
            <w:tcBorders>
              <w:top w:val="nil"/>
              <w:bottom w:val="single" w:sz="8" w:space="0" w:color="8EAADB"/>
              <w:right w:val="single" w:sz="8" w:space="0" w:color="8EAADB"/>
            </w:tcBorders>
            <w:shd w:val="clear" w:color="000000" w:fill="D9E2F3"/>
            <w:vAlign w:val="center"/>
          </w:tcPr>
          <w:p w14:paraId="58E433AE" w14:textId="77777777" w:rsidR="00B7540A" w:rsidRPr="00586097" w:rsidRDefault="00B7540A" w:rsidP="00B7540A">
            <w:pPr>
              <w:keepNext/>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8.3</w:t>
            </w:r>
          </w:p>
        </w:tc>
        <w:tc>
          <w:tcPr>
            <w:tcW w:w="850" w:type="dxa"/>
            <w:tcBorders>
              <w:top w:val="nil"/>
              <w:bottom w:val="single" w:sz="8" w:space="0" w:color="8EAADB"/>
              <w:right w:val="single" w:sz="8" w:space="0" w:color="8EAADB"/>
            </w:tcBorders>
            <w:shd w:val="clear" w:color="000000" w:fill="D9E2F3"/>
            <w:vAlign w:val="center"/>
          </w:tcPr>
          <w:p w14:paraId="459F71F4" w14:textId="77777777" w:rsidR="00B7540A" w:rsidRPr="00586097" w:rsidRDefault="00B7540A" w:rsidP="00B7540A">
            <w:pPr>
              <w:keepNext/>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8.1</w:t>
            </w:r>
          </w:p>
        </w:tc>
        <w:tc>
          <w:tcPr>
            <w:tcW w:w="851" w:type="dxa"/>
            <w:tcBorders>
              <w:top w:val="nil"/>
              <w:bottom w:val="single" w:sz="8" w:space="0" w:color="8EAADB"/>
              <w:right w:val="single" w:sz="8" w:space="0" w:color="8EAADB"/>
            </w:tcBorders>
            <w:shd w:val="clear" w:color="000000" w:fill="D9E2F3"/>
            <w:vAlign w:val="center"/>
          </w:tcPr>
          <w:p w14:paraId="10E36C05" w14:textId="77777777" w:rsidR="00B7540A" w:rsidRPr="00586097" w:rsidRDefault="00B7540A" w:rsidP="00B7540A">
            <w:pPr>
              <w:keepNext/>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8.4</w:t>
            </w:r>
          </w:p>
        </w:tc>
        <w:tc>
          <w:tcPr>
            <w:tcW w:w="992" w:type="dxa"/>
            <w:tcBorders>
              <w:top w:val="nil"/>
              <w:bottom w:val="single" w:sz="8" w:space="0" w:color="8EAADB"/>
              <w:right w:val="single" w:sz="8" w:space="0" w:color="8EAADB"/>
            </w:tcBorders>
            <w:shd w:val="clear" w:color="000000" w:fill="D9E2F3"/>
            <w:vAlign w:val="center"/>
          </w:tcPr>
          <w:p w14:paraId="7FB3AF24" w14:textId="77777777" w:rsidR="00B7540A" w:rsidRPr="00586097" w:rsidRDefault="00B7540A" w:rsidP="00B7540A">
            <w:pPr>
              <w:keepNext/>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6.3</w:t>
            </w:r>
          </w:p>
        </w:tc>
        <w:tc>
          <w:tcPr>
            <w:tcW w:w="928" w:type="dxa"/>
            <w:tcBorders>
              <w:top w:val="nil"/>
              <w:bottom w:val="single" w:sz="8" w:space="0" w:color="8EAADB"/>
              <w:right w:val="single" w:sz="8" w:space="0" w:color="8EAADB"/>
            </w:tcBorders>
            <w:shd w:val="clear" w:color="000000" w:fill="D9E2F3"/>
            <w:vAlign w:val="center"/>
          </w:tcPr>
          <w:p w14:paraId="2B52E22E" w14:textId="77777777" w:rsidR="00B7540A" w:rsidRPr="00586097" w:rsidRDefault="00B7540A" w:rsidP="00B7540A">
            <w:pPr>
              <w:keepNext/>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rPr>
            </w:pPr>
            <w:r w:rsidRPr="00586097">
              <w:rPr>
                <w:rFonts w:eastAsia="Calibri" w:cs="Calibri"/>
              </w:rPr>
              <w:t>6.5</w:t>
            </w:r>
          </w:p>
        </w:tc>
      </w:tr>
    </w:tbl>
    <w:p w14:paraId="2DDA9FA9" w14:textId="77777777" w:rsidR="00B7540A" w:rsidRPr="00586097" w:rsidRDefault="00B7540A" w:rsidP="0027114B">
      <w:pPr>
        <w:pStyle w:val="afd"/>
      </w:pPr>
      <w:r w:rsidRPr="00586097">
        <w:t>Աղբյուրը` ԱՄՀ «World Economic Outlook»</w:t>
      </w:r>
    </w:p>
    <w:p w14:paraId="372BE931" w14:textId="77777777" w:rsidR="00B7540A" w:rsidRPr="00586097" w:rsidRDefault="00B7540A" w:rsidP="00B7540A">
      <w:pPr>
        <w:spacing w:line="276" w:lineRule="auto"/>
        <w:rPr>
          <w:rFonts w:cs="Sylfaen"/>
          <w:i/>
        </w:rPr>
      </w:pPr>
    </w:p>
    <w:p w14:paraId="2A9DCBA1" w14:textId="77777777" w:rsidR="00B7540A" w:rsidRPr="00586097" w:rsidRDefault="00B7540A" w:rsidP="00B7540A">
      <w:pPr>
        <w:spacing w:line="276" w:lineRule="auto"/>
      </w:pPr>
      <w:r w:rsidRPr="00586097">
        <w:rPr>
          <w:b/>
        </w:rPr>
        <w:t>Հումքային ապրանքների համաշխարհային գները կտրուկ աճում են</w:t>
      </w:r>
      <w:r w:rsidRPr="00586097">
        <w:t>։ Համավարակով պայմանավորված ամբողջ աշխարհում պահանջարկի անկումը, անորոշության բարձրացումը և նավթի շուկայում հիմնական խաղացողների միջև տարաձայնությունները 2020թ</w:t>
      </w:r>
      <w:r w:rsidRPr="00586097">
        <w:rPr>
          <w:rFonts w:ascii="Cambria Math" w:hAnsi="Cambria Math" w:cs="Cambria Math"/>
        </w:rPr>
        <w:t>․</w:t>
      </w:r>
      <w:r w:rsidRPr="00586097">
        <w:t xml:space="preserve"> հանգեցրել են նավթի միջազգային գների շուրջ 34% նվազման, մինչդեռ պղնձի միջազգային գները, պայմանավորված երկրորդ կիսամյակի զարգացումներով, աճել են 2.7%-ով: </w:t>
      </w:r>
    </w:p>
    <w:p w14:paraId="02999644" w14:textId="77777777" w:rsidR="00B7540A" w:rsidRPr="00586097" w:rsidRDefault="00B7540A" w:rsidP="00B7540A">
      <w:pPr>
        <w:spacing w:line="276" w:lineRule="auto"/>
      </w:pPr>
      <w:r w:rsidRPr="00586097">
        <w:t>2021թ</w:t>
      </w:r>
      <w:r w:rsidRPr="00586097">
        <w:rPr>
          <w:rFonts w:ascii="Cambria Math" w:hAnsi="Cambria Math" w:cs="Cambria Math"/>
        </w:rPr>
        <w:t>․</w:t>
      </w:r>
      <w:r w:rsidRPr="00586097">
        <w:t xml:space="preserve"> առաջին կիսամյակում նախորդ տարվա նույն ժամանակահատվածի նկատմամբ պղնձի միջազգային շուկայում գներն աճել են 65.5%-ով, ինչին նպաստել է Չինաստանի բարձր տնտեսական ակտիվությունը, իսկ նավթի միջազգային գները 2021թ</w:t>
      </w:r>
      <w:r w:rsidRPr="00586097">
        <w:rPr>
          <w:rFonts w:ascii="Cambria Math" w:hAnsi="Cambria Math" w:cs="Cambria Math"/>
        </w:rPr>
        <w:t>․</w:t>
      </w:r>
      <w:r w:rsidRPr="00586097">
        <w:t xml:space="preserve"> առաջին կիսամյակում աճել են 57.6%-ով՝ հիմնականում համաշխարհային պահանջարկի վերականգնմամբ պայմանավորված:</w:t>
      </w:r>
    </w:p>
    <w:p w14:paraId="592659B6" w14:textId="77777777" w:rsidR="00B7540A" w:rsidRPr="00586097" w:rsidRDefault="00B7540A" w:rsidP="00B7540A">
      <w:pPr>
        <w:spacing w:line="276" w:lineRule="auto"/>
      </w:pPr>
      <w:r w:rsidRPr="00586097">
        <w:t>«Բլումբերգ» միջազգային հեղինակավոր կազմակերպությունը՝ իր փետրվարի կանխատեսումները մայիսին</w:t>
      </w:r>
      <w:r w:rsidRPr="00586097">
        <w:rPr>
          <w:vertAlign w:val="superscript"/>
        </w:rPr>
        <w:footnoteReference w:id="5"/>
      </w:r>
      <w:r w:rsidRPr="00586097">
        <w:t xml:space="preserve"> վերանայել է դեպի վերև: Մասնավորապես, 2021թ. նավթի և պղնձի բորսային գները կաճեն շուրջ 57%-ով, իսկ 2022թ. նավթի գները կգրանցեն թույլ անկում (2.9%), իսկ պղնձի գները՝ թույլ աճ (2.6%):</w:t>
      </w:r>
    </w:p>
    <w:p w14:paraId="2F4C7F00" w14:textId="77777777" w:rsidR="00B7540A" w:rsidRPr="00586097" w:rsidRDefault="00B7540A" w:rsidP="00B7540A">
      <w:pPr>
        <w:spacing w:line="276" w:lineRule="auto"/>
      </w:pPr>
      <w:r w:rsidRPr="00586097">
        <w:rPr>
          <w:b/>
        </w:rPr>
        <w:t>Զարգացող երկրներում ազգային արժույթները թուլացել են, իսկ երկրների ռիսկի հավելավճարները՝ որոշակի կտրուկ բարձրացումից հետո նվազել են և կայունացել:</w:t>
      </w:r>
      <w:r w:rsidRPr="00586097" w:rsidDel="00F227B8">
        <w:rPr>
          <w:b/>
        </w:rPr>
        <w:t xml:space="preserve"> </w:t>
      </w:r>
      <w:r w:rsidRPr="00586097">
        <w:t>Համավարակն իր բացասական ազդեցությունն է թողել նաև միջազգային ֆինանսական շուկաների վրա, երկրների միջև առևտրային սահմանափակումները, ներդրումային միջավայրի բարձր անորոշությունը թուլացրել են զարգացող երկրների ազգային արժույթները,  երկրների ռիսկի հավելավճարներն՝ անցած տարվա կտրուկ բարձրացումից հետո նվազել են և կայունացել</w:t>
      </w:r>
      <w:r w:rsidRPr="00586097">
        <w:rPr>
          <w:vertAlign w:val="superscript"/>
        </w:rPr>
        <w:footnoteReference w:id="6"/>
      </w:r>
      <w:r w:rsidRPr="00586097">
        <w:t>։</w:t>
      </w:r>
    </w:p>
    <w:p w14:paraId="24B0F25A" w14:textId="77777777" w:rsidR="00B7540A" w:rsidRPr="00586097" w:rsidRDefault="00B7540A" w:rsidP="00B7540A">
      <w:pPr>
        <w:keepNext/>
        <w:keepLines/>
        <w:spacing w:before="0" w:after="0" w:line="276" w:lineRule="auto"/>
        <w:ind w:firstLine="0"/>
        <w:jc w:val="left"/>
        <w:rPr>
          <w:rFonts w:eastAsia="Calibri"/>
          <w:b/>
          <w:i/>
          <w:color w:val="000000"/>
        </w:rPr>
      </w:pPr>
      <w:r w:rsidRPr="00586097">
        <w:rPr>
          <w:rFonts w:eastAsia="Calibri"/>
          <w:b/>
          <w:i/>
          <w:color w:val="000000"/>
        </w:rPr>
        <w:t>Միջազգային տնտեսական և ֆինանսական զարգացումները և կանխատեսումները</w:t>
      </w:r>
    </w:p>
    <w:tbl>
      <w:tblPr>
        <w:tblStyle w:val="TableGrid22141"/>
        <w:tblW w:w="9812" w:type="dxa"/>
        <w:tblInd w:w="-8"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ayout w:type="fixed"/>
        <w:tblLook w:val="04A0" w:firstRow="1" w:lastRow="0" w:firstColumn="1" w:lastColumn="0" w:noHBand="0" w:noVBand="1"/>
      </w:tblPr>
      <w:tblGrid>
        <w:gridCol w:w="4890"/>
        <w:gridCol w:w="4922"/>
      </w:tblGrid>
      <w:tr w:rsidR="00B7540A" w:rsidRPr="00C024D9" w14:paraId="6EE7337C" w14:textId="77777777" w:rsidTr="00B7540A">
        <w:trPr>
          <w:trHeight w:val="4190"/>
        </w:trPr>
        <w:tc>
          <w:tcPr>
            <w:tcW w:w="4890" w:type="dxa"/>
          </w:tcPr>
          <w:p w14:paraId="334E27E2" w14:textId="77777777" w:rsidR="00B7540A" w:rsidRPr="00F30397" w:rsidRDefault="00B7540A" w:rsidP="00F30397">
            <w:pPr>
              <w:pStyle w:val="afe"/>
            </w:pPr>
            <w:r w:rsidRPr="00F30397">
              <w:drawing>
                <wp:anchor distT="0" distB="0" distL="114300" distR="114300" simplePos="0" relativeHeight="251628032" behindDoc="1" locked="0" layoutInCell="1" allowOverlap="1" wp14:anchorId="136131D7" wp14:editId="12C1CF4A">
                  <wp:simplePos x="0" y="0"/>
                  <wp:positionH relativeFrom="column">
                    <wp:posOffset>-64135</wp:posOffset>
                  </wp:positionH>
                  <wp:positionV relativeFrom="paragraph">
                    <wp:posOffset>559435</wp:posOffset>
                  </wp:positionV>
                  <wp:extent cx="3133725" cy="1852295"/>
                  <wp:effectExtent l="0" t="0" r="9525" b="14605"/>
                  <wp:wrapTight wrapText="bothSides">
                    <wp:wrapPolygon edited="0">
                      <wp:start x="0" y="0"/>
                      <wp:lineTo x="0" y="21548"/>
                      <wp:lineTo x="21534" y="21548"/>
                      <wp:lineTo x="21534" y="0"/>
                      <wp:lineTo x="0" y="0"/>
                    </wp:wrapPolygon>
                  </wp:wrapTight>
                  <wp:docPr id="2063" name="Chart 20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Pr="00F30397">
              <w:t>Գծապատկեր 1.1. Համաշխարհային խոր անկումից հետո տնտեսությունները վերականգնվում են (տնտեսական աճեր, %)</w:t>
            </w:r>
          </w:p>
          <w:p w14:paraId="585CE3FD" w14:textId="77777777" w:rsidR="00B7540A" w:rsidRPr="00586097" w:rsidRDefault="00B7540A" w:rsidP="00F30397">
            <w:pPr>
              <w:pStyle w:val="afd"/>
              <w:rPr>
                <w:b/>
              </w:rPr>
            </w:pPr>
            <w:r w:rsidRPr="00586097">
              <w:t xml:space="preserve"> Աղբյուրը՝ ԱՄՀ</w:t>
            </w:r>
          </w:p>
        </w:tc>
        <w:tc>
          <w:tcPr>
            <w:tcW w:w="4922" w:type="dxa"/>
          </w:tcPr>
          <w:p w14:paraId="7EA34769" w14:textId="77777777" w:rsidR="00B7540A" w:rsidRPr="009121FA" w:rsidRDefault="00B7540A" w:rsidP="00F30397">
            <w:pPr>
              <w:pStyle w:val="afe"/>
              <w:rPr>
                <w:lang w:val="hy-AM"/>
              </w:rPr>
            </w:pPr>
            <w:r w:rsidRPr="009121FA">
              <w:rPr>
                <w:lang w:val="hy-AM"/>
              </w:rPr>
              <w:t>Գծապատկեր 1.2. Հումքային ապրանքների գների դինամիկան</w:t>
            </w:r>
          </w:p>
          <w:p w14:paraId="58F77391" w14:textId="77777777" w:rsidR="00B7540A" w:rsidRPr="00B7540A" w:rsidRDefault="00B7540A" w:rsidP="00B7540A">
            <w:pPr>
              <w:spacing w:before="0" w:after="0" w:line="276" w:lineRule="auto"/>
              <w:ind w:firstLine="0"/>
              <w:contextualSpacing/>
              <w:rPr>
                <w:bCs/>
                <w:i/>
                <w:lang w:val="hy-AM"/>
              </w:rPr>
            </w:pPr>
            <w:r w:rsidRPr="00586097">
              <w:rPr>
                <w:b/>
                <w:noProof/>
              </w:rPr>
              <w:drawing>
                <wp:anchor distT="0" distB="0" distL="114300" distR="114300" simplePos="0" relativeHeight="251631104" behindDoc="1" locked="0" layoutInCell="1" allowOverlap="1" wp14:anchorId="3039F69E" wp14:editId="3AB6CFBC">
                  <wp:simplePos x="0" y="0"/>
                  <wp:positionH relativeFrom="column">
                    <wp:posOffset>-62230</wp:posOffset>
                  </wp:positionH>
                  <wp:positionV relativeFrom="paragraph">
                    <wp:posOffset>184785</wp:posOffset>
                  </wp:positionV>
                  <wp:extent cx="3057525" cy="1847850"/>
                  <wp:effectExtent l="0" t="0" r="9525" b="0"/>
                  <wp:wrapTight wrapText="bothSides">
                    <wp:wrapPolygon edited="0">
                      <wp:start x="0" y="0"/>
                      <wp:lineTo x="0" y="21377"/>
                      <wp:lineTo x="21533" y="21377"/>
                      <wp:lineTo x="21533" y="0"/>
                      <wp:lineTo x="0" y="0"/>
                    </wp:wrapPolygon>
                  </wp:wrapTight>
                  <wp:docPr id="2064" name="Chart 20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28195539" w14:textId="77777777" w:rsidR="00B7540A" w:rsidRPr="00586097" w:rsidRDefault="00B7540A" w:rsidP="00F30397">
            <w:pPr>
              <w:pStyle w:val="afd"/>
            </w:pPr>
            <w:r w:rsidRPr="00586097">
              <w:t xml:space="preserve">Աղբյուրը՝ կանխատեսումները ըստ Բլումբերգի </w:t>
            </w:r>
          </w:p>
        </w:tc>
      </w:tr>
      <w:tr w:rsidR="00B7540A" w:rsidRPr="00C024D9" w14:paraId="0CB97B71" w14:textId="77777777" w:rsidTr="00B7540A">
        <w:trPr>
          <w:trHeight w:val="202"/>
        </w:trPr>
        <w:tc>
          <w:tcPr>
            <w:tcW w:w="4890" w:type="dxa"/>
          </w:tcPr>
          <w:p w14:paraId="36AF1CB3" w14:textId="77777777" w:rsidR="00B7540A" w:rsidRPr="00586097" w:rsidRDefault="00B7540A" w:rsidP="00B7540A">
            <w:pPr>
              <w:pStyle w:val="afe"/>
              <w:rPr>
                <w:sz w:val="22"/>
                <w:szCs w:val="22"/>
                <w:lang w:val="hy-AM"/>
              </w:rPr>
            </w:pPr>
            <w:r w:rsidRPr="00F30397">
              <w:drawing>
                <wp:anchor distT="0" distB="0" distL="114300" distR="114300" simplePos="0" relativeHeight="251621888" behindDoc="1" locked="0" layoutInCell="1" allowOverlap="1" wp14:anchorId="124C2BF4" wp14:editId="0F3EDC27">
                  <wp:simplePos x="0" y="0"/>
                  <wp:positionH relativeFrom="column">
                    <wp:posOffset>-64135</wp:posOffset>
                  </wp:positionH>
                  <wp:positionV relativeFrom="paragraph">
                    <wp:posOffset>394335</wp:posOffset>
                  </wp:positionV>
                  <wp:extent cx="3096260" cy="1748790"/>
                  <wp:effectExtent l="0" t="0" r="8890" b="3810"/>
                  <wp:wrapTight wrapText="bothSides">
                    <wp:wrapPolygon edited="0">
                      <wp:start x="0" y="0"/>
                      <wp:lineTo x="0" y="21412"/>
                      <wp:lineTo x="21529" y="21412"/>
                      <wp:lineTo x="21529" y="0"/>
                      <wp:lineTo x="0" y="0"/>
                    </wp:wrapPolygon>
                  </wp:wrapTight>
                  <wp:docPr id="2065" name="Chart 2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Pr="009121FA">
              <w:rPr>
                <w:lang w:val="hy-AM"/>
              </w:rPr>
              <w:t xml:space="preserve">Գծապատկեր 1.3. Համաշխարհային առևտուրը վերականգնվում է  </w:t>
            </w:r>
          </w:p>
          <w:p w14:paraId="76ECD438" w14:textId="77777777" w:rsidR="00B7540A" w:rsidRPr="00F30397" w:rsidRDefault="00B7540A" w:rsidP="00F30397">
            <w:pPr>
              <w:pStyle w:val="afd"/>
            </w:pPr>
            <w:r w:rsidRPr="00F30397">
              <w:t>Աղբյուրը՝ ԱՄՀ</w:t>
            </w:r>
          </w:p>
        </w:tc>
        <w:tc>
          <w:tcPr>
            <w:tcW w:w="4922" w:type="dxa"/>
          </w:tcPr>
          <w:p w14:paraId="76965656" w14:textId="77777777" w:rsidR="00B7540A" w:rsidRPr="009121FA" w:rsidRDefault="00B7540A" w:rsidP="00F30397">
            <w:pPr>
              <w:pStyle w:val="afe"/>
              <w:rPr>
                <w:lang w:val="hy-AM"/>
              </w:rPr>
            </w:pPr>
            <w:r w:rsidRPr="00F30397">
              <w:drawing>
                <wp:anchor distT="0" distB="0" distL="114300" distR="114300" simplePos="0" relativeHeight="251634176" behindDoc="1" locked="0" layoutInCell="1" allowOverlap="1" wp14:anchorId="79907398" wp14:editId="35AF8D99">
                  <wp:simplePos x="0" y="0"/>
                  <wp:positionH relativeFrom="column">
                    <wp:posOffset>-64135</wp:posOffset>
                  </wp:positionH>
                  <wp:positionV relativeFrom="paragraph">
                    <wp:posOffset>346710</wp:posOffset>
                  </wp:positionV>
                  <wp:extent cx="3123565" cy="1796415"/>
                  <wp:effectExtent l="0" t="0" r="635" b="13335"/>
                  <wp:wrapTight wrapText="bothSides">
                    <wp:wrapPolygon edited="0">
                      <wp:start x="0" y="0"/>
                      <wp:lineTo x="0" y="21531"/>
                      <wp:lineTo x="21473" y="21531"/>
                      <wp:lineTo x="21473" y="0"/>
                      <wp:lineTo x="0" y="0"/>
                    </wp:wrapPolygon>
                  </wp:wrapTight>
                  <wp:docPr id="2066" name="Chart 20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Pr="009121FA">
              <w:rPr>
                <w:lang w:val="hy-AM"/>
              </w:rPr>
              <w:t>Գծապատկեր 1.4. Զարգացող երկրներում ազգային արժույթները  դոլարի նկատմամբ թուլացել են</w:t>
            </w:r>
            <w:r w:rsidRPr="00F30397">
              <w:footnoteReference w:id="7"/>
            </w:r>
          </w:p>
          <w:p w14:paraId="007B13F6" w14:textId="77777777" w:rsidR="00B7540A" w:rsidRPr="00F30397" w:rsidRDefault="00B7540A" w:rsidP="00F30397">
            <w:pPr>
              <w:pStyle w:val="afd"/>
            </w:pPr>
            <w:r w:rsidRPr="00F30397">
              <w:t>Աղբյուրը՝ Բլումբերգ, ՀՀ ԿԲ, ՀՀ ՖՆ հաշվարկներ</w:t>
            </w:r>
          </w:p>
        </w:tc>
      </w:tr>
      <w:tr w:rsidR="00B7540A" w:rsidRPr="00586097" w14:paraId="4D82A5FF" w14:textId="77777777" w:rsidTr="00B7540A">
        <w:trPr>
          <w:trHeight w:val="4164"/>
        </w:trPr>
        <w:tc>
          <w:tcPr>
            <w:tcW w:w="4890" w:type="dxa"/>
          </w:tcPr>
          <w:p w14:paraId="42C164EF" w14:textId="77777777" w:rsidR="00B7540A" w:rsidRPr="009121FA" w:rsidRDefault="00B7540A" w:rsidP="00F30397">
            <w:pPr>
              <w:pStyle w:val="afe"/>
              <w:rPr>
                <w:lang w:val="hy-AM"/>
              </w:rPr>
            </w:pPr>
            <w:r w:rsidRPr="00F30397">
              <w:drawing>
                <wp:anchor distT="0" distB="0" distL="114300" distR="114300" simplePos="0" relativeHeight="251624960" behindDoc="1" locked="0" layoutInCell="1" allowOverlap="1" wp14:anchorId="2AD7F855" wp14:editId="3A5E8EE0">
                  <wp:simplePos x="0" y="0"/>
                  <wp:positionH relativeFrom="column">
                    <wp:posOffset>-64135</wp:posOffset>
                  </wp:positionH>
                  <wp:positionV relativeFrom="paragraph">
                    <wp:posOffset>401458</wp:posOffset>
                  </wp:positionV>
                  <wp:extent cx="3157855" cy="1971675"/>
                  <wp:effectExtent l="0" t="0" r="4445" b="9525"/>
                  <wp:wrapTight wrapText="bothSides">
                    <wp:wrapPolygon edited="0">
                      <wp:start x="0" y="0"/>
                      <wp:lineTo x="0" y="21496"/>
                      <wp:lineTo x="21500" y="21496"/>
                      <wp:lineTo x="21500" y="0"/>
                      <wp:lineTo x="0" y="0"/>
                    </wp:wrapPolygon>
                  </wp:wrapTight>
                  <wp:docPr id="2067" name="Chart 20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Pr="009121FA">
              <w:rPr>
                <w:lang w:val="hy-AM"/>
              </w:rPr>
              <w:t>Գծապատկեր 1.5. Բաժնետոմսերի միջազգային շուկան  վերականգնվել է</w:t>
            </w:r>
          </w:p>
          <w:p w14:paraId="104A03B9" w14:textId="77777777" w:rsidR="00B7540A" w:rsidRPr="00F30397" w:rsidRDefault="00B7540A" w:rsidP="00F30397">
            <w:pPr>
              <w:pStyle w:val="afd"/>
            </w:pPr>
            <w:r w:rsidRPr="00F30397">
              <w:t>Աղբյուրը՝ Բլումբերգ, ՀՀ ՖՆ հաշվարկներ</w:t>
            </w:r>
          </w:p>
        </w:tc>
        <w:tc>
          <w:tcPr>
            <w:tcW w:w="4922" w:type="dxa"/>
          </w:tcPr>
          <w:p w14:paraId="027D98BE" w14:textId="77777777" w:rsidR="00B7540A" w:rsidRPr="009121FA" w:rsidRDefault="00B7540A" w:rsidP="00F30397">
            <w:pPr>
              <w:pStyle w:val="afe"/>
              <w:rPr>
                <w:lang w:val="hy-AM"/>
              </w:rPr>
            </w:pPr>
            <w:r w:rsidRPr="009121FA">
              <w:rPr>
                <w:lang w:val="hy-AM"/>
              </w:rPr>
              <w:t>Գծապատկեր 1.6. Զարգացող երկրներում ռիսկի հավելավճարները</w:t>
            </w:r>
            <w:r w:rsidRPr="00F30397">
              <w:footnoteReference w:id="8"/>
            </w:r>
            <w:r w:rsidRPr="009121FA">
              <w:rPr>
                <w:lang w:val="hy-AM"/>
              </w:rPr>
              <w:t xml:space="preserve"> կայունացել են </w:t>
            </w:r>
          </w:p>
          <w:p w14:paraId="27595DE8" w14:textId="77777777" w:rsidR="00B7540A" w:rsidRPr="00586097" w:rsidRDefault="00B7540A" w:rsidP="00B7540A">
            <w:pPr>
              <w:spacing w:after="160" w:line="276" w:lineRule="auto"/>
              <w:ind w:firstLine="0"/>
              <w:contextualSpacing/>
              <w:rPr>
                <w:b/>
              </w:rPr>
            </w:pPr>
            <w:r w:rsidRPr="00586097">
              <w:rPr>
                <w:b/>
                <w:noProof/>
              </w:rPr>
              <w:drawing>
                <wp:inline distT="0" distB="0" distL="0" distR="0" wp14:anchorId="589BF17A" wp14:editId="718BC7CF">
                  <wp:extent cx="3181350" cy="2035534"/>
                  <wp:effectExtent l="0" t="0" r="0" b="3175"/>
                  <wp:docPr id="2068" name="Chart 2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745F8E" w14:textId="77777777" w:rsidR="00B7540A" w:rsidRPr="00F30397" w:rsidRDefault="00B7540A" w:rsidP="00F30397">
            <w:pPr>
              <w:pStyle w:val="afd"/>
            </w:pPr>
            <w:r w:rsidRPr="00F30397">
              <w:t>Աղբյուրը՝ Բլումբերգ</w:t>
            </w:r>
          </w:p>
        </w:tc>
      </w:tr>
    </w:tbl>
    <w:p w14:paraId="2827188E" w14:textId="77777777" w:rsidR="00B7540A" w:rsidRPr="00586097" w:rsidRDefault="00B7540A" w:rsidP="00B7540A">
      <w:pPr>
        <w:spacing w:line="276" w:lineRule="auto"/>
      </w:pPr>
    </w:p>
    <w:p w14:paraId="7EE5CF28" w14:textId="77777777" w:rsidR="00B7540A" w:rsidRPr="00586097" w:rsidRDefault="00B7540A" w:rsidP="00B7540A">
      <w:pPr>
        <w:spacing w:line="276" w:lineRule="auto"/>
      </w:pPr>
      <w:r w:rsidRPr="00586097">
        <w:rPr>
          <w:b/>
        </w:rPr>
        <w:t>Առողջապահական և տնտեսական ճգնաժամին հակազդելու համար աշխարհում Կառավարությունները և Կենտրոնական բանկերը ավելի «ագրեսիվ» են խթանել տնտեսություններին, քան իրականացրել են համաշխարհային ֆինանսական ճգնաճամի ժամանակ</w:t>
      </w:r>
      <w:r w:rsidRPr="00586097">
        <w:t>։ COVID-19 համարավարակի հետևանքները հաղթահարելու համար հարկաբյուջետային քաղաքականությունը առանցքային դերակատարում ունի։ Ընդհանուր առմամբ, համավարակին հակազդելու համար մշակված հարկաբյուջետային փաթեթներն աշխարհի մակարդակով գնահատվում են 16 տրիլիոն դոլար (վերաբերում է ինչպես 2020, այնպես էլ 2021թ</w:t>
      </w:r>
      <w:r w:rsidRPr="00586097">
        <w:rPr>
          <w:rFonts w:ascii="Cambria Math" w:hAnsi="Cambria Math" w:cs="Cambria Math"/>
        </w:rPr>
        <w:t>․</w:t>
      </w:r>
      <w:r w:rsidRPr="00586097">
        <w:t xml:space="preserve"> համար նախատեսված միջոցառումներին)</w:t>
      </w:r>
      <w:r w:rsidRPr="00586097">
        <w:rPr>
          <w:vertAlign w:val="superscript"/>
        </w:rPr>
        <w:footnoteReference w:id="9"/>
      </w:r>
      <w:r w:rsidRPr="00586097">
        <w:t>։ Վերջինից 10 տրիլիոնը վերաբերում է ծախսային և հարկային միջոցառումներին (բյուջեի վրա ուղղակի ազդեցություն ունեցող), իսկ 6 տրիլիոնը՝ պետական վարկերի, կապիտալի ներարկումների և վարկային երաշխիքների տրամադրմանը։ Կենտրոնական բանկերը ևս խթանող դրամավարկային քաղաքականությամբ (տոկոսադրույքների նվազեցում և ֆինանսական շուկայից ակտիվների ձեռք բերման աննախադեպ ծրագրերի իրականացում) հակազդել են համավարակի տարածման տնտեսական ազդեցություններին։</w:t>
      </w:r>
    </w:p>
    <w:p w14:paraId="51492DFD" w14:textId="77777777" w:rsidR="00B7540A" w:rsidRPr="00586097" w:rsidRDefault="00B7540A" w:rsidP="00B7540A">
      <w:pPr>
        <w:spacing w:line="276" w:lineRule="auto"/>
      </w:pPr>
      <w:r w:rsidRPr="00586097">
        <w:t>Խթանող հարկաբյուջետային քաղաքականության պայմաններում 2020թ. աշխարհում գրանցվել է պետական բյուջեի պակասուրդի և պարտքի բեռի էական աճ: 2021թ. սպասվող վերականգնման պայմաններում Կառավարությունները սկսելու են իրականացնել հարկաբյուջետային կոնսոլիդացիա՝ պետական պարտքի բեռի աճը մեղմելու և հետագայում կայունացնելու նպատակադրմամբ:</w:t>
      </w:r>
    </w:p>
    <w:p w14:paraId="7F761182" w14:textId="77777777" w:rsidR="00B7540A" w:rsidRPr="00586097" w:rsidRDefault="00B7540A" w:rsidP="00B7540A">
      <w:pPr>
        <w:pStyle w:val="afc"/>
        <w:spacing w:line="276" w:lineRule="auto"/>
      </w:pPr>
      <w:r w:rsidRPr="00586097">
        <w:t xml:space="preserve">Գծապատկեր 1.7. Համաշխարհային տնտեսության և հարկաբյուջետային քաղաքականության արձագանքը (% ՀՆԱ-ում) ճգնաժամերի և հաջորդող տարիներին </w:t>
      </w:r>
    </w:p>
    <w:tbl>
      <w:tblPr>
        <w:tblStyle w:val="TableGrid41131"/>
        <w:tblW w:w="9619"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3290"/>
        <w:gridCol w:w="3409"/>
        <w:gridCol w:w="3319"/>
      </w:tblGrid>
      <w:tr w:rsidR="00B7540A" w:rsidRPr="00586097" w14:paraId="4B17B5F8" w14:textId="77777777" w:rsidTr="00B7540A">
        <w:trPr>
          <w:trHeight w:val="3593"/>
        </w:trPr>
        <w:tc>
          <w:tcPr>
            <w:tcW w:w="3159" w:type="dxa"/>
          </w:tcPr>
          <w:p w14:paraId="6F8A96D1" w14:textId="77777777" w:rsidR="00B7540A" w:rsidRPr="00F30397" w:rsidRDefault="00B7540A" w:rsidP="00F30397">
            <w:pPr>
              <w:pStyle w:val="afd"/>
            </w:pPr>
            <w:r w:rsidRPr="00F30397">
              <w:rPr>
                <w:noProof/>
                <w:lang w:val="en-US"/>
              </w:rPr>
              <w:drawing>
                <wp:anchor distT="0" distB="0" distL="114300" distR="114300" simplePos="0" relativeHeight="251637248" behindDoc="1" locked="0" layoutInCell="1" allowOverlap="1" wp14:anchorId="1A7D3F05" wp14:editId="51E76F2B">
                  <wp:simplePos x="0" y="0"/>
                  <wp:positionH relativeFrom="column">
                    <wp:posOffset>-10160</wp:posOffset>
                  </wp:positionH>
                  <wp:positionV relativeFrom="paragraph">
                    <wp:posOffset>19685</wp:posOffset>
                  </wp:positionV>
                  <wp:extent cx="1943735" cy="2695575"/>
                  <wp:effectExtent l="0" t="0" r="18415" b="9525"/>
                  <wp:wrapTight wrapText="bothSides">
                    <wp:wrapPolygon edited="0">
                      <wp:start x="0" y="0"/>
                      <wp:lineTo x="0" y="21524"/>
                      <wp:lineTo x="21593" y="21524"/>
                      <wp:lineTo x="21593" y="0"/>
                      <wp:lineTo x="0" y="0"/>
                    </wp:wrapPolygon>
                  </wp:wrapTight>
                  <wp:docPr id="2069" name="Chart 2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F30397">
              <w:t>Աղբյուրը՝ ԱՄՀ, 2021թ. կանխատեսում:</w:t>
            </w:r>
          </w:p>
        </w:tc>
        <w:tc>
          <w:tcPr>
            <w:tcW w:w="3273" w:type="dxa"/>
          </w:tcPr>
          <w:p w14:paraId="32C8D407" w14:textId="77777777" w:rsidR="00B7540A" w:rsidRPr="00586097" w:rsidRDefault="00B7540A" w:rsidP="00B7540A">
            <w:pPr>
              <w:spacing w:before="0" w:after="0" w:line="276" w:lineRule="auto"/>
              <w:ind w:firstLine="0"/>
              <w:contextualSpacing/>
            </w:pPr>
            <w:r w:rsidRPr="00586097">
              <w:rPr>
                <w:noProof/>
              </w:rPr>
              <w:drawing>
                <wp:anchor distT="0" distB="0" distL="114300" distR="114300" simplePos="0" relativeHeight="251640320" behindDoc="1" locked="0" layoutInCell="1" allowOverlap="1" wp14:anchorId="36A0A1FC" wp14:editId="4B730076">
                  <wp:simplePos x="0" y="0"/>
                  <wp:positionH relativeFrom="column">
                    <wp:posOffset>-4445</wp:posOffset>
                  </wp:positionH>
                  <wp:positionV relativeFrom="paragraph">
                    <wp:posOffset>39370</wp:posOffset>
                  </wp:positionV>
                  <wp:extent cx="2038350" cy="2714625"/>
                  <wp:effectExtent l="0" t="0" r="0" b="9525"/>
                  <wp:wrapTight wrapText="bothSides">
                    <wp:wrapPolygon edited="0">
                      <wp:start x="0" y="0"/>
                      <wp:lineTo x="0" y="21524"/>
                      <wp:lineTo x="21398" y="21524"/>
                      <wp:lineTo x="21398" y="0"/>
                      <wp:lineTo x="0" y="0"/>
                    </wp:wrapPolygon>
                  </wp:wrapTight>
                  <wp:docPr id="2070" name="Chart 2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p>
        </w:tc>
        <w:tc>
          <w:tcPr>
            <w:tcW w:w="3187" w:type="dxa"/>
          </w:tcPr>
          <w:p w14:paraId="5D7ACD02" w14:textId="77777777" w:rsidR="00B7540A" w:rsidRPr="00586097" w:rsidRDefault="00B7540A" w:rsidP="00B7540A">
            <w:pPr>
              <w:spacing w:before="0" w:after="0" w:line="276" w:lineRule="auto"/>
              <w:ind w:firstLine="0"/>
              <w:contextualSpacing/>
            </w:pPr>
            <w:r w:rsidRPr="00586097">
              <w:rPr>
                <w:noProof/>
              </w:rPr>
              <w:drawing>
                <wp:anchor distT="0" distB="0" distL="114300" distR="114300" simplePos="0" relativeHeight="251643392" behindDoc="1" locked="0" layoutInCell="1" allowOverlap="1" wp14:anchorId="15E58663" wp14:editId="21613D70">
                  <wp:simplePos x="0" y="0"/>
                  <wp:positionH relativeFrom="column">
                    <wp:posOffset>-55880</wp:posOffset>
                  </wp:positionH>
                  <wp:positionV relativeFrom="paragraph">
                    <wp:posOffset>58420</wp:posOffset>
                  </wp:positionV>
                  <wp:extent cx="1979930" cy="2695575"/>
                  <wp:effectExtent l="0" t="0" r="1270" b="9525"/>
                  <wp:wrapTight wrapText="bothSides">
                    <wp:wrapPolygon edited="0">
                      <wp:start x="0" y="0"/>
                      <wp:lineTo x="0" y="21524"/>
                      <wp:lineTo x="21406" y="21524"/>
                      <wp:lineTo x="21406" y="0"/>
                      <wp:lineTo x="0" y="0"/>
                    </wp:wrapPolygon>
                  </wp:wrapTight>
                  <wp:docPr id="2071" name="Chart 20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p>
        </w:tc>
      </w:tr>
    </w:tbl>
    <w:p w14:paraId="67ACC8AD" w14:textId="77777777" w:rsidR="00B7540A" w:rsidRPr="00586097" w:rsidRDefault="00B7540A" w:rsidP="00B7540A">
      <w:pPr>
        <w:spacing w:after="120" w:line="276" w:lineRule="auto"/>
        <w:contextualSpacing/>
      </w:pPr>
    </w:p>
    <w:p w14:paraId="6A9B9007" w14:textId="77777777" w:rsidR="00B7540A" w:rsidRPr="00C0628C" w:rsidRDefault="00B7540A" w:rsidP="00C0628C">
      <w:pPr>
        <w:pStyle w:val="Heading3"/>
        <w:shd w:val="clear" w:color="auto" w:fill="FFFFFF" w:themeFill="background1"/>
        <w:rPr>
          <w:rFonts w:cs="Sylfaen"/>
          <w:bCs/>
          <w:caps w:val="0"/>
          <w:color w:val="1F497D" w:themeColor="text2"/>
          <w:sz w:val="28"/>
          <w:szCs w:val="28"/>
        </w:rPr>
      </w:pPr>
      <w:bookmarkStart w:id="173" w:name="_Toc77249718"/>
      <w:bookmarkStart w:id="174" w:name="_Toc77252785"/>
      <w:bookmarkStart w:id="175" w:name="_Toc77337785"/>
      <w:bookmarkStart w:id="176" w:name="_Toc77338265"/>
      <w:bookmarkStart w:id="177" w:name="_Toc77338412"/>
      <w:bookmarkStart w:id="178" w:name="_Toc77339225"/>
      <w:bookmarkStart w:id="179" w:name="_Toc77249719"/>
      <w:bookmarkStart w:id="180" w:name="_Toc77252786"/>
      <w:bookmarkStart w:id="181" w:name="_Toc77337786"/>
      <w:bookmarkStart w:id="182" w:name="_Toc77338266"/>
      <w:bookmarkStart w:id="183" w:name="_Toc77338413"/>
      <w:bookmarkStart w:id="184" w:name="_Toc77339226"/>
      <w:bookmarkStart w:id="185" w:name="_Toc77337787"/>
      <w:bookmarkStart w:id="186" w:name="_Toc77338267"/>
      <w:bookmarkStart w:id="187" w:name="_Toc77338414"/>
      <w:bookmarkStart w:id="188" w:name="_Toc77339227"/>
      <w:bookmarkStart w:id="189" w:name="_Toc77337788"/>
      <w:bookmarkStart w:id="190" w:name="_Toc77338268"/>
      <w:bookmarkStart w:id="191" w:name="_Toc77338415"/>
      <w:bookmarkStart w:id="192" w:name="_Toc77339228"/>
      <w:bookmarkStart w:id="193" w:name="_Toc77337789"/>
      <w:bookmarkStart w:id="194" w:name="_Toc77338269"/>
      <w:bookmarkStart w:id="195" w:name="_Toc77338416"/>
      <w:bookmarkStart w:id="196" w:name="_Toc77339229"/>
      <w:bookmarkStart w:id="197" w:name="_Toc77337790"/>
      <w:bookmarkStart w:id="198" w:name="_Toc77338270"/>
      <w:bookmarkStart w:id="199" w:name="_Toc77338417"/>
      <w:bookmarkStart w:id="200" w:name="_Toc77339230"/>
      <w:bookmarkStart w:id="201" w:name="_Toc77337791"/>
      <w:bookmarkStart w:id="202" w:name="_Toc77338271"/>
      <w:bookmarkStart w:id="203" w:name="_Toc77338418"/>
      <w:bookmarkStart w:id="204" w:name="_Toc77339231"/>
      <w:bookmarkStart w:id="205" w:name="_Toc77337792"/>
      <w:bookmarkStart w:id="206" w:name="_Toc77338272"/>
      <w:bookmarkStart w:id="207" w:name="_Toc77338419"/>
      <w:bookmarkStart w:id="208" w:name="_Toc77339232"/>
      <w:bookmarkStart w:id="209" w:name="_Toc77337793"/>
      <w:bookmarkStart w:id="210" w:name="_Toc77338273"/>
      <w:bookmarkStart w:id="211" w:name="_Toc77338420"/>
      <w:bookmarkStart w:id="212" w:name="_Toc77339233"/>
      <w:bookmarkStart w:id="213" w:name="_Toc77337794"/>
      <w:bookmarkStart w:id="214" w:name="_Toc77338274"/>
      <w:bookmarkStart w:id="215" w:name="_Toc77338421"/>
      <w:bookmarkStart w:id="216" w:name="_Toc77339234"/>
      <w:bookmarkStart w:id="217" w:name="_Toc77336443"/>
      <w:bookmarkStart w:id="218" w:name="_Toc77336545"/>
      <w:bookmarkStart w:id="219" w:name="_Toc77339237"/>
      <w:bookmarkStart w:id="220" w:name="_Toc77342841"/>
      <w:bookmarkStart w:id="221" w:name="_Toc77351120"/>
      <w:bookmarkStart w:id="222" w:name="_Toc77351568"/>
      <w:bookmarkStart w:id="223" w:name="_Toc77352005"/>
      <w:bookmarkStart w:id="224" w:name="_Toc77353443"/>
      <w:bookmarkStart w:id="225" w:name="_Toc77355423"/>
      <w:bookmarkStart w:id="226" w:name="_Toc77358334"/>
      <w:bookmarkStart w:id="227" w:name="_Toc77359236"/>
      <w:bookmarkStart w:id="228" w:name="_Toc77339247"/>
      <w:bookmarkStart w:id="229" w:name="_Toc77342851"/>
      <w:bookmarkStart w:id="230" w:name="_Toc77351130"/>
      <w:bookmarkStart w:id="231" w:name="_Toc77351578"/>
      <w:bookmarkStart w:id="232" w:name="_Toc77352015"/>
      <w:bookmarkStart w:id="233" w:name="_Toc77353453"/>
      <w:bookmarkStart w:id="234" w:name="_Toc77355433"/>
      <w:bookmarkStart w:id="235" w:name="_Toc77358344"/>
      <w:bookmarkStart w:id="236" w:name="_Toc77359246"/>
      <w:bookmarkStart w:id="237" w:name="_Toc77339534"/>
      <w:bookmarkStart w:id="238" w:name="_Toc77343138"/>
      <w:bookmarkStart w:id="239" w:name="_Toc77351417"/>
      <w:bookmarkStart w:id="240" w:name="_Toc77351865"/>
      <w:bookmarkStart w:id="241" w:name="_Toc77352302"/>
      <w:bookmarkStart w:id="242" w:name="_Toc77353740"/>
      <w:bookmarkStart w:id="243" w:name="_Toc77355720"/>
      <w:bookmarkStart w:id="244" w:name="_Toc77358631"/>
      <w:bookmarkStart w:id="245" w:name="_Toc77359533"/>
      <w:bookmarkStart w:id="246" w:name="_Toc77339535"/>
      <w:bookmarkStart w:id="247" w:name="_Toc77343139"/>
      <w:bookmarkStart w:id="248" w:name="_Toc77351418"/>
      <w:bookmarkStart w:id="249" w:name="_Toc77351866"/>
      <w:bookmarkStart w:id="250" w:name="_Toc77352303"/>
      <w:bookmarkStart w:id="251" w:name="_Toc77353741"/>
      <w:bookmarkStart w:id="252" w:name="_Toc77355721"/>
      <w:bookmarkStart w:id="253" w:name="_Toc77358632"/>
      <w:bookmarkStart w:id="254" w:name="_Toc77359534"/>
      <w:bookmarkStart w:id="255" w:name="_Toc77339536"/>
      <w:bookmarkStart w:id="256" w:name="_Toc77343140"/>
      <w:bookmarkStart w:id="257" w:name="_Toc77351419"/>
      <w:bookmarkStart w:id="258" w:name="_Toc77351867"/>
      <w:bookmarkStart w:id="259" w:name="_Toc77352304"/>
      <w:bookmarkStart w:id="260" w:name="_Toc77353742"/>
      <w:bookmarkStart w:id="261" w:name="_Toc77355722"/>
      <w:bookmarkStart w:id="262" w:name="_Toc77358633"/>
      <w:bookmarkStart w:id="263" w:name="_Toc77359535"/>
      <w:bookmarkStart w:id="264" w:name="_Toc77339537"/>
      <w:bookmarkStart w:id="265" w:name="_Toc77343141"/>
      <w:bookmarkStart w:id="266" w:name="_Toc77351420"/>
      <w:bookmarkStart w:id="267" w:name="_Toc77351868"/>
      <w:bookmarkStart w:id="268" w:name="_Toc77352305"/>
      <w:bookmarkStart w:id="269" w:name="_Toc77353743"/>
      <w:bookmarkStart w:id="270" w:name="_Toc77355723"/>
      <w:bookmarkStart w:id="271" w:name="_Toc77358634"/>
      <w:bookmarkStart w:id="272" w:name="_Toc77359536"/>
      <w:bookmarkStart w:id="273" w:name="_Toc77339538"/>
      <w:bookmarkStart w:id="274" w:name="_Toc77343142"/>
      <w:bookmarkStart w:id="275" w:name="_Toc77351421"/>
      <w:bookmarkStart w:id="276" w:name="_Toc77351869"/>
      <w:bookmarkStart w:id="277" w:name="_Toc77352306"/>
      <w:bookmarkStart w:id="278" w:name="_Toc77353744"/>
      <w:bookmarkStart w:id="279" w:name="_Toc77355724"/>
      <w:bookmarkStart w:id="280" w:name="_Toc77358635"/>
      <w:bookmarkStart w:id="281" w:name="_Toc77359537"/>
      <w:bookmarkStart w:id="282" w:name="_Toc77339539"/>
      <w:bookmarkStart w:id="283" w:name="_Toc77343143"/>
      <w:bookmarkStart w:id="284" w:name="_Toc77351422"/>
      <w:bookmarkStart w:id="285" w:name="_Toc77351870"/>
      <w:bookmarkStart w:id="286" w:name="_Toc77352307"/>
      <w:bookmarkStart w:id="287" w:name="_Toc77353745"/>
      <w:bookmarkStart w:id="288" w:name="_Toc77355725"/>
      <w:bookmarkStart w:id="289" w:name="_Toc77358636"/>
      <w:bookmarkStart w:id="290" w:name="_Toc77359538"/>
      <w:bookmarkStart w:id="291" w:name="_Toc77339540"/>
      <w:bookmarkStart w:id="292" w:name="_Toc77343144"/>
      <w:bookmarkStart w:id="293" w:name="_Toc77351423"/>
      <w:bookmarkStart w:id="294" w:name="_Toc77351871"/>
      <w:bookmarkStart w:id="295" w:name="_Toc77352308"/>
      <w:bookmarkStart w:id="296" w:name="_Toc77353746"/>
      <w:bookmarkStart w:id="297" w:name="_Toc77355726"/>
      <w:bookmarkStart w:id="298" w:name="_Toc77358637"/>
      <w:bookmarkStart w:id="299" w:name="_Toc77359539"/>
      <w:bookmarkStart w:id="300" w:name="_Toc77339541"/>
      <w:bookmarkStart w:id="301" w:name="_Toc77343145"/>
      <w:bookmarkStart w:id="302" w:name="_Toc77351424"/>
      <w:bookmarkStart w:id="303" w:name="_Toc77351872"/>
      <w:bookmarkStart w:id="304" w:name="_Toc77352309"/>
      <w:bookmarkStart w:id="305" w:name="_Toc77353747"/>
      <w:bookmarkStart w:id="306" w:name="_Toc77355727"/>
      <w:bookmarkStart w:id="307" w:name="_Toc77358638"/>
      <w:bookmarkStart w:id="308" w:name="_Toc77359540"/>
      <w:bookmarkStart w:id="309" w:name="_Toc77339542"/>
      <w:bookmarkStart w:id="310" w:name="_Toc77343146"/>
      <w:bookmarkStart w:id="311" w:name="_Toc77351425"/>
      <w:bookmarkStart w:id="312" w:name="_Toc77351873"/>
      <w:bookmarkStart w:id="313" w:name="_Toc77352310"/>
      <w:bookmarkStart w:id="314" w:name="_Toc77353748"/>
      <w:bookmarkStart w:id="315" w:name="_Toc77355728"/>
      <w:bookmarkStart w:id="316" w:name="_Toc77358639"/>
      <w:bookmarkStart w:id="317" w:name="_Toc77359541"/>
      <w:bookmarkStart w:id="318" w:name="_Toc77339543"/>
      <w:bookmarkStart w:id="319" w:name="_Toc77343147"/>
      <w:bookmarkStart w:id="320" w:name="_Toc77351426"/>
      <w:bookmarkStart w:id="321" w:name="_Toc77351874"/>
      <w:bookmarkStart w:id="322" w:name="_Toc77352311"/>
      <w:bookmarkStart w:id="323" w:name="_Toc77353749"/>
      <w:bookmarkStart w:id="324" w:name="_Toc77355729"/>
      <w:bookmarkStart w:id="325" w:name="_Toc77358640"/>
      <w:bookmarkStart w:id="326" w:name="_Toc77359542"/>
      <w:bookmarkStart w:id="327" w:name="_Toc77339548"/>
      <w:bookmarkStart w:id="328" w:name="_Toc77343152"/>
      <w:bookmarkStart w:id="329" w:name="_Toc77351431"/>
      <w:bookmarkStart w:id="330" w:name="_Toc77351879"/>
      <w:bookmarkStart w:id="331" w:name="_Toc77352316"/>
      <w:bookmarkStart w:id="332" w:name="_Toc77353754"/>
      <w:bookmarkStart w:id="333" w:name="_Toc77355734"/>
      <w:bookmarkStart w:id="334" w:name="_Toc77358645"/>
      <w:bookmarkStart w:id="335" w:name="_Toc77359547"/>
      <w:bookmarkStart w:id="336" w:name="_Toc77339625"/>
      <w:bookmarkStart w:id="337" w:name="_Toc77343229"/>
      <w:bookmarkStart w:id="338" w:name="_Toc77351508"/>
      <w:bookmarkStart w:id="339" w:name="_Toc77351956"/>
      <w:bookmarkStart w:id="340" w:name="_Toc77352393"/>
      <w:bookmarkStart w:id="341" w:name="_Toc77353831"/>
      <w:bookmarkStart w:id="342" w:name="_Toc77355811"/>
      <w:bookmarkStart w:id="343" w:name="_Toc77358722"/>
      <w:bookmarkStart w:id="344" w:name="_Toc77359624"/>
      <w:bookmarkStart w:id="345" w:name="_Toc77339626"/>
      <w:bookmarkStart w:id="346" w:name="_Toc77343230"/>
      <w:bookmarkStart w:id="347" w:name="_Toc77351509"/>
      <w:bookmarkStart w:id="348" w:name="_Toc77351957"/>
      <w:bookmarkStart w:id="349" w:name="_Toc77352394"/>
      <w:bookmarkStart w:id="350" w:name="_Toc77353832"/>
      <w:bookmarkStart w:id="351" w:name="_Toc77355812"/>
      <w:bookmarkStart w:id="352" w:name="_Toc77358723"/>
      <w:bookmarkStart w:id="353" w:name="_Toc77359625"/>
      <w:bookmarkStart w:id="354" w:name="_Toc77339627"/>
      <w:bookmarkStart w:id="355" w:name="_Toc77343231"/>
      <w:bookmarkStart w:id="356" w:name="_Toc77351510"/>
      <w:bookmarkStart w:id="357" w:name="_Toc77351958"/>
      <w:bookmarkStart w:id="358" w:name="_Toc77352395"/>
      <w:bookmarkStart w:id="359" w:name="_Toc77353833"/>
      <w:bookmarkStart w:id="360" w:name="_Toc77355813"/>
      <w:bookmarkStart w:id="361" w:name="_Toc77358724"/>
      <w:bookmarkStart w:id="362" w:name="_Toc77359626"/>
      <w:bookmarkStart w:id="363" w:name="_Toc77339628"/>
      <w:bookmarkStart w:id="364" w:name="_Toc77343232"/>
      <w:bookmarkStart w:id="365" w:name="_Toc77351511"/>
      <w:bookmarkStart w:id="366" w:name="_Toc77351959"/>
      <w:bookmarkStart w:id="367" w:name="_Toc77352396"/>
      <w:bookmarkStart w:id="368" w:name="_Toc77353834"/>
      <w:bookmarkStart w:id="369" w:name="_Toc77355814"/>
      <w:bookmarkStart w:id="370" w:name="_Toc77358725"/>
      <w:bookmarkStart w:id="371" w:name="_Toc77359627"/>
      <w:bookmarkStart w:id="372" w:name="_Toc77339629"/>
      <w:bookmarkStart w:id="373" w:name="_Toc77343233"/>
      <w:bookmarkStart w:id="374" w:name="_Toc77351512"/>
      <w:bookmarkStart w:id="375" w:name="_Toc77351960"/>
      <w:bookmarkStart w:id="376" w:name="_Toc77352397"/>
      <w:bookmarkStart w:id="377" w:name="_Toc77353835"/>
      <w:bookmarkStart w:id="378" w:name="_Toc77355815"/>
      <w:bookmarkStart w:id="379" w:name="_Toc77358726"/>
      <w:bookmarkStart w:id="380" w:name="_Toc77359628"/>
      <w:bookmarkStart w:id="381" w:name="_Toc77339630"/>
      <w:bookmarkStart w:id="382" w:name="_Toc77343234"/>
      <w:bookmarkStart w:id="383" w:name="_Toc77351513"/>
      <w:bookmarkStart w:id="384" w:name="_Toc77351961"/>
      <w:bookmarkStart w:id="385" w:name="_Toc77352398"/>
      <w:bookmarkStart w:id="386" w:name="_Toc77353836"/>
      <w:bookmarkStart w:id="387" w:name="_Toc77355816"/>
      <w:bookmarkStart w:id="388" w:name="_Toc77358727"/>
      <w:bookmarkStart w:id="389" w:name="_Toc77359629"/>
      <w:bookmarkStart w:id="390" w:name="_Toc77339631"/>
      <w:bookmarkStart w:id="391" w:name="_Toc77343235"/>
      <w:bookmarkStart w:id="392" w:name="_Toc77351514"/>
      <w:bookmarkStart w:id="393" w:name="_Toc77351962"/>
      <w:bookmarkStart w:id="394" w:name="_Toc77352399"/>
      <w:bookmarkStart w:id="395" w:name="_Toc77353837"/>
      <w:bookmarkStart w:id="396" w:name="_Toc77355817"/>
      <w:bookmarkStart w:id="397" w:name="_Toc77358728"/>
      <w:bookmarkStart w:id="398" w:name="_Toc77359630"/>
      <w:bookmarkStart w:id="399" w:name="_Toc77339650"/>
      <w:bookmarkStart w:id="400" w:name="_Toc77343254"/>
      <w:bookmarkStart w:id="401" w:name="_Toc77351533"/>
      <w:bookmarkStart w:id="402" w:name="_Toc77351981"/>
      <w:bookmarkStart w:id="403" w:name="_Toc77352418"/>
      <w:bookmarkStart w:id="404" w:name="_Toc77353856"/>
      <w:bookmarkStart w:id="405" w:name="_Toc77355836"/>
      <w:bookmarkStart w:id="406" w:name="_Toc77358747"/>
      <w:bookmarkStart w:id="407" w:name="_Toc77359649"/>
      <w:bookmarkStart w:id="408" w:name="_Toc77339651"/>
      <w:bookmarkStart w:id="409" w:name="_Toc77343255"/>
      <w:bookmarkStart w:id="410" w:name="_Toc77351534"/>
      <w:bookmarkStart w:id="411" w:name="_Toc77351982"/>
      <w:bookmarkStart w:id="412" w:name="_Toc77352419"/>
      <w:bookmarkStart w:id="413" w:name="_Toc77353857"/>
      <w:bookmarkStart w:id="414" w:name="_Toc77355837"/>
      <w:bookmarkStart w:id="415" w:name="_Toc77358748"/>
      <w:bookmarkStart w:id="416" w:name="_Toc77359650"/>
      <w:bookmarkStart w:id="417" w:name="_Toc77339652"/>
      <w:bookmarkStart w:id="418" w:name="_Toc77343256"/>
      <w:bookmarkStart w:id="419" w:name="_Toc77351535"/>
      <w:bookmarkStart w:id="420" w:name="_Toc77351983"/>
      <w:bookmarkStart w:id="421" w:name="_Toc77352420"/>
      <w:bookmarkStart w:id="422" w:name="_Toc77353858"/>
      <w:bookmarkStart w:id="423" w:name="_Toc77355838"/>
      <w:bookmarkStart w:id="424" w:name="_Toc77358749"/>
      <w:bookmarkStart w:id="425" w:name="_Toc77359651"/>
      <w:bookmarkStart w:id="426" w:name="_Toc77339653"/>
      <w:bookmarkStart w:id="427" w:name="_Toc77343257"/>
      <w:bookmarkStart w:id="428" w:name="_Toc77351536"/>
      <w:bookmarkStart w:id="429" w:name="_Toc77351984"/>
      <w:bookmarkStart w:id="430" w:name="_Toc77352421"/>
      <w:bookmarkStart w:id="431" w:name="_Toc77353859"/>
      <w:bookmarkStart w:id="432" w:name="_Toc77355839"/>
      <w:bookmarkStart w:id="433" w:name="_Toc77358750"/>
      <w:bookmarkStart w:id="434" w:name="_Toc77359652"/>
      <w:bookmarkStart w:id="435" w:name="_Toc77339658"/>
      <w:bookmarkStart w:id="436" w:name="_Toc77343262"/>
      <w:bookmarkStart w:id="437" w:name="_Toc77351541"/>
      <w:bookmarkStart w:id="438" w:name="_Toc77351989"/>
      <w:bookmarkStart w:id="439" w:name="_Toc77352426"/>
      <w:bookmarkStart w:id="440" w:name="_Toc77353864"/>
      <w:bookmarkStart w:id="441" w:name="_Toc77355844"/>
      <w:bookmarkStart w:id="442" w:name="_Toc77358755"/>
      <w:bookmarkStart w:id="443" w:name="_Toc77359657"/>
      <w:bookmarkStart w:id="444" w:name="_Toc77249723"/>
      <w:bookmarkStart w:id="445" w:name="_Toc77451193"/>
      <w:bookmarkStart w:id="446" w:name="_Toc78536688"/>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sidRPr="00C0628C">
        <w:rPr>
          <w:rFonts w:cs="Sylfaen"/>
          <w:bCs/>
          <w:caps w:val="0"/>
          <w:color w:val="1F497D" w:themeColor="text2"/>
          <w:sz w:val="28"/>
          <w:szCs w:val="28"/>
        </w:rPr>
        <w:t>1.3. ՀՀ ՄԱԿՐՈՏՆՏԵՍԱԿԱՆ ԶԱՐԳԱՑՈՒՄՆԵՐ ԵՎ ԿԱՆԽԱՏԵՍՈՒՄՆԵՐ</w:t>
      </w:r>
      <w:bookmarkEnd w:id="444"/>
      <w:bookmarkEnd w:id="445"/>
      <w:bookmarkEnd w:id="446"/>
    </w:p>
    <w:p w14:paraId="6CF14E0F" w14:textId="77777777" w:rsidR="00B7540A" w:rsidRPr="00C21B7F" w:rsidRDefault="00B7540A" w:rsidP="00C21B7F">
      <w:pPr>
        <w:pStyle w:val="Heading3"/>
        <w:spacing w:before="40" w:after="0" w:line="240" w:lineRule="auto"/>
        <w:contextualSpacing w:val="0"/>
        <w:rPr>
          <w:rFonts w:eastAsia="SimSun" w:cs="Times New Roman"/>
          <w:caps w:val="0"/>
          <w:color w:val="1F497D" w:themeColor="text2"/>
        </w:rPr>
      </w:pPr>
      <w:bookmarkStart w:id="447" w:name="_Toc77451194"/>
      <w:bookmarkStart w:id="448" w:name="_Toc77249724"/>
      <w:bookmarkStart w:id="449" w:name="_Toc78536689"/>
      <w:r w:rsidRPr="00C21B7F">
        <w:rPr>
          <w:rFonts w:eastAsia="SimSun" w:cs="Times New Roman"/>
          <w:caps w:val="0"/>
          <w:color w:val="1F497D" w:themeColor="text2"/>
        </w:rPr>
        <w:t>1.3.1. ԹԻՐԱԽԱՅԻՆ (ԲԱՐՁՐ) ՏՆՏԵՍԱԿԱՆ ԱՃԻ ՍՑԵՆԱՐ</w:t>
      </w:r>
      <w:bookmarkEnd w:id="447"/>
      <w:bookmarkEnd w:id="449"/>
    </w:p>
    <w:p w14:paraId="004C7669" w14:textId="77777777" w:rsidR="00B7540A" w:rsidRPr="00B7540A" w:rsidRDefault="00B7540A" w:rsidP="00B7540A">
      <w:pPr>
        <w:spacing w:line="276" w:lineRule="auto"/>
        <w:rPr>
          <w:lang w:val="hy-AM"/>
        </w:rPr>
      </w:pPr>
      <w:r w:rsidRPr="00B7540A">
        <w:rPr>
          <w:b/>
          <w:bCs/>
          <w:lang w:val="hy-AM"/>
        </w:rPr>
        <w:t>ՀՀ կառավարությունը նպատակադրում է հասնել միջինում առնվազն 7% տնտեսական աճի:</w:t>
      </w:r>
      <w:r w:rsidRPr="00B7540A">
        <w:rPr>
          <w:lang w:val="hy-AM"/>
        </w:rPr>
        <w:t xml:space="preserve"> Հաշվի առնելով համավարակի և Արցախյան պատերազմի հետևանքով ՀՀ ներուժային տնտեսական աճի նվազումը՝ այդ աճին հնարավոր է հասնել միայն համապատասխան քաղաքականությունների և միջոցառումների միջոցով լրացուցիչ նշանակալի ջանքեր ներդնելու իրատեսական ճանապահով:</w:t>
      </w:r>
    </w:p>
    <w:p w14:paraId="10674F6C" w14:textId="77777777" w:rsidR="00B7540A" w:rsidRPr="00B7540A" w:rsidRDefault="00B7540A" w:rsidP="00B7540A">
      <w:pPr>
        <w:spacing w:line="276" w:lineRule="auto"/>
        <w:rPr>
          <w:lang w:val="hy-AM"/>
        </w:rPr>
      </w:pPr>
      <w:r w:rsidRPr="00B7540A">
        <w:rPr>
          <w:lang w:val="hy-AM"/>
        </w:rPr>
        <w:t xml:space="preserve">Այդ առումով, սույն բաժնում նկարագրվում է 2022-2026թթ. տնտեսության ներուժի աստիճանական բարձրացման և ավելի բարձր տնտեսական աճի ապահովման մակրոտնտեսական սցենարը: Վերջինս առաջիկա 5 տարիների համար նախանշում է առանցքային մակրոտնտեսական ցուցանիշների ուղենշային այն մեծությունները, որոնց թիրախավորման դեպքում հնարավոր կլինի ապահովել ՀՀ տնտեսության ավելի արագ տեմպերով զարգացումը: Անհրաժեշտ է նշել, որ այս սցենարը և դրանում ներառված առանցքային ուղենշային ցուցանիշները կարող են ենթարկվել որոշակի փոփոխությունների՝ հաշվի առնելով  նախատեսվող քննարկումների արդյունքում ձևավորվելիք տնտեսական քաղաքականության հստակ միջոցառումները և դրանց հնարավոր ազդեցությունները: </w:t>
      </w:r>
    </w:p>
    <w:p w14:paraId="665E9B54" w14:textId="77777777" w:rsidR="00B7540A" w:rsidRPr="00B7540A" w:rsidRDefault="00B7540A" w:rsidP="00B7540A">
      <w:pPr>
        <w:spacing w:line="276" w:lineRule="auto"/>
        <w:rPr>
          <w:lang w:val="hy-AM"/>
        </w:rPr>
      </w:pPr>
      <w:r w:rsidRPr="00B7540A">
        <w:rPr>
          <w:b/>
          <w:bCs/>
          <w:u w:val="single"/>
          <w:lang w:val="hy-AM"/>
        </w:rPr>
        <w:t>Տնտեսական աճ:</w:t>
      </w:r>
      <w:r w:rsidRPr="00B7540A">
        <w:rPr>
          <w:b/>
          <w:bCs/>
          <w:lang w:val="hy-AM"/>
        </w:rPr>
        <w:t xml:space="preserve"> 2020թ. COVID-19 համավարակի հետևանքով աշխարհի բոլոր տնտեսությունները, այդ թվում՝ ՀՀ տնտեսությունը կրեցին մեծ վնասներ:</w:t>
      </w:r>
      <w:r w:rsidRPr="00B7540A">
        <w:rPr>
          <w:lang w:val="hy-AM"/>
        </w:rPr>
        <w:t xml:space="preserve"> </w:t>
      </w:r>
      <w:r w:rsidRPr="00B7540A">
        <w:rPr>
          <w:b/>
          <w:bCs/>
          <w:lang w:val="hy-AM"/>
        </w:rPr>
        <w:t>Իսկ ՀՀ տնտեսությունը ենթարկվեց նաև երկրորդ՝ Արցախյան պատերազմի ցնցմանը:</w:t>
      </w:r>
      <w:r w:rsidRPr="00B7540A">
        <w:rPr>
          <w:lang w:val="hy-AM"/>
        </w:rPr>
        <w:t xml:space="preserve"> 2020թ. Համաշխարհային տնտեսությունն իրական արտահայտությամբ նվազեց 3.3%-ով, իսկ  ՀՀ հիմնական գործընկեր երկրներից Եվրոգոտում անկումը կազմեց 6.6%, ՌԴ-ում՝ 3.1%, ԱՄՆ</w:t>
      </w:r>
      <w:r w:rsidRPr="00B7540A">
        <w:rPr>
          <w:lang w:val="hy-AM"/>
        </w:rPr>
        <w:noBreakHyphen/>
        <w:t xml:space="preserve">ում՝ 3.5% և միայն Չինաստանի տնտեսությունը գրանցեց 2.3% տնտեսական աճ:  ՀՀ տնտեսական անկումը եղավ ավելի խորը՝ 7.4%: </w:t>
      </w:r>
    </w:p>
    <w:p w14:paraId="5679DD75" w14:textId="77777777" w:rsidR="00B7540A" w:rsidRPr="00B7540A" w:rsidRDefault="00B7540A" w:rsidP="00B7540A">
      <w:pPr>
        <w:spacing w:line="276" w:lineRule="auto"/>
        <w:rPr>
          <w:lang w:val="hy-AM"/>
        </w:rPr>
      </w:pPr>
      <w:r w:rsidRPr="00B7540A">
        <w:rPr>
          <w:lang w:val="hy-AM"/>
        </w:rPr>
        <w:t>Եվ չնայած 2021թ. ինչպես ՀՀ հիմնական գործընկեր երկրները, այնպես էլ ՀՀ-ն թևակոխել են տնտեսական վերականգման ժամանակաշրջան, համավարակը և Արցախյան պատերազմը սահմանափակել են ՀՀ տնտեսության ներուժը՝ թողնելով միջնաժամկետ «սպիներ»: Այս պայմաններում գնահատվում է, որ ՀՀ տնտեսության ներուժային աճը նախկին 4-5% գնահատված միջակայքից նվազել է՝  հասնելով 3-4% միջակայքի:</w:t>
      </w:r>
    </w:p>
    <w:p w14:paraId="1C31ABCC" w14:textId="77777777" w:rsidR="00B7540A" w:rsidRPr="00B7540A" w:rsidRDefault="00B7540A" w:rsidP="00B7540A">
      <w:pPr>
        <w:spacing w:line="276" w:lineRule="auto"/>
        <w:rPr>
          <w:b/>
          <w:lang w:val="hy-AM"/>
        </w:rPr>
      </w:pPr>
      <w:r w:rsidRPr="00B7540A">
        <w:rPr>
          <w:lang w:val="hy-AM"/>
        </w:rPr>
        <w:t xml:space="preserve">Այդուհանդերձ, ինչպես բոլոր ճգնաժամերը, այս ճգնաժամը նույնպես ևս մեկ անգամ ստիպեց վերանայելու, վերաիմաստավորելու ՀՀ-ում տնտեսական, մակրոտնտեսական և կառուցվածքային  քաղաքականությունների ուղղությունները և իրականացման մեխանիզմները, ինչպես նաև որոնելու և բացահայտելու տնտեսական նոր հնարավորություններ: </w:t>
      </w:r>
      <w:r w:rsidRPr="00B7540A">
        <w:rPr>
          <w:b/>
          <w:lang w:val="hy-AM"/>
        </w:rPr>
        <w:t xml:space="preserve">Այս համատեքստում 2022-2026թթ. համար ՀՀ կառավարությունը թիրախավորում/նպատակադրում է ապահովել տարեկան միջինում առնվազն 7.0% տնտեսական աճ: </w:t>
      </w:r>
      <w:r w:rsidRPr="00B7540A">
        <w:rPr>
          <w:lang w:val="hy-AM"/>
        </w:rPr>
        <w:t>Այսպիսի բարձր աճերի հասնելու համար</w:t>
      </w:r>
      <w:r w:rsidRPr="00B7540A">
        <w:rPr>
          <w:b/>
          <w:lang w:val="hy-AM"/>
        </w:rPr>
        <w:t xml:space="preserve"> </w:t>
      </w:r>
      <w:r w:rsidRPr="00B7540A">
        <w:rPr>
          <w:lang w:val="hy-AM"/>
        </w:rPr>
        <w:t>ապագա տարիներին ՀՀ տնտեսությունը պետք է զարգանա ՀՀ կառավարության գործող ծրագրով նախանշված առաջարկի վրա հիմնված տնտեսական աճի մոդելով (որն իր կենսունակությունն ապացուցել է աշխարհի բազմաթիվ երկրներում), որտեղ տնտեսական աճի առանցքային շարժիչը պետք է լինի արտահանելի հատվածը և արտահանումը (export-led growth model):</w:t>
      </w:r>
    </w:p>
    <w:p w14:paraId="38985FDE" w14:textId="77777777" w:rsidR="00B7540A" w:rsidRPr="00B7540A" w:rsidRDefault="00B7540A" w:rsidP="00B7540A">
      <w:pPr>
        <w:spacing w:line="276" w:lineRule="auto"/>
        <w:rPr>
          <w:lang w:val="hy-AM"/>
        </w:rPr>
      </w:pPr>
      <w:r w:rsidRPr="00B7540A">
        <w:rPr>
          <w:b/>
          <w:u w:val="single"/>
          <w:lang w:val="hy-AM"/>
        </w:rPr>
        <w:t>Ներդրումներ և արտադրողականութուն:</w:t>
      </w:r>
      <w:r w:rsidRPr="00B7540A">
        <w:rPr>
          <w:lang w:val="hy-AM"/>
        </w:rPr>
        <w:t xml:space="preserve"> Միջնաժամկետում (2022-2026թթ.) միջինում 7.0% տնտեսական աճի ապահովման համար անհրաժեշտ է շարունակաբար բարձրացնել տնտեսության ներուժը՝ ինչն իր հերթին կբարձրացնի տնտեսության ներուժային աճը և կհաստատվի նոր՝ առավել բարձր մակարդակում: Վերջինիս ապահովման համար անհրաժեշտ է իրականացնել արդյունավետ ներդրումային քաղաքականություն՝ ներդրումներն ուղղելով տնտեսության արտահանելի հատված, դեպի տեխնոլոգիաներ և ենթակառուցվածքներ, ապահովելով կապիտալի բարձր արտադրողականություն: </w:t>
      </w:r>
      <w:r w:rsidRPr="00B7540A">
        <w:rPr>
          <w:b/>
          <w:lang w:val="hy-AM"/>
        </w:rPr>
        <w:t>Որդեգրված նմանատիպ ներդրումային քաղաքականության պայմաններում միջնաժամկետում 7.0% տնտեսական աճի ապահովման համար անհաժեշտ է հիմնական միջոցներում ներդրումների (և՛ մասնավոր, և՛ պետական)  տարեկան միջինում 12.8% իրական աճ (տարեկան լրացուցիչ միջինում շուրջ 280 մլրդ դրամ), ինչը հիմնական միջոցների կշիռը ՀՆԱ-ում 2021թ. համեմատ 2026թ.-ին կբարձրացնի շուրջ 5 տոկոսային կետով:</w:t>
      </w:r>
      <w:r w:rsidRPr="00B7540A">
        <w:rPr>
          <w:lang w:val="hy-AM"/>
        </w:rPr>
        <w:t xml:space="preserve">  </w:t>
      </w:r>
    </w:p>
    <w:p w14:paraId="48A28850" w14:textId="77777777" w:rsidR="00B7540A" w:rsidRDefault="00B7540A" w:rsidP="00F844BA">
      <w:pPr>
        <w:spacing w:after="120" w:line="276" w:lineRule="auto"/>
        <w:ind w:firstLine="562"/>
        <w:rPr>
          <w:b/>
          <w:lang w:val="hy-AM"/>
        </w:rPr>
      </w:pPr>
      <w:r w:rsidRPr="00B7540A">
        <w:rPr>
          <w:lang w:val="hy-AM"/>
        </w:rPr>
        <w:t xml:space="preserve">Բարձր տնտեսական աճի ապահովման համար կարևոր նախադրյալ է աշխատանքի և կապիտալի արտադրողականության բարձրացումը, ինչը հնարավոր է իրականացնել նոր տեխնոլոգիական լուծումների կիրառմամբ, գործարար և ներդրումային միջավայրի բարելավմամբ, աշխատուժի որակի բարձրացման և կրթական միջոցառումների իրականացմամբ: </w:t>
      </w:r>
      <w:r w:rsidRPr="00B7540A">
        <w:rPr>
          <w:b/>
          <w:lang w:val="hy-AM"/>
        </w:rPr>
        <w:t>Միջնաժամկետում 7.0% տնտեսական աճի ապահովման համար անհրաժեշտ է միջինում 5.3% ընդհանուր գործոնային արտադրողականության աճ:</w:t>
      </w:r>
    </w:p>
    <w:tbl>
      <w:tblPr>
        <w:tblStyle w:val="TableGrid12"/>
        <w:tblW w:w="0" w:type="auto"/>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5131"/>
        <w:gridCol w:w="4887"/>
      </w:tblGrid>
      <w:tr w:rsidR="00B7540A" w:rsidRPr="00586097" w14:paraId="18DA9EF4" w14:textId="77777777" w:rsidTr="00362F2A">
        <w:trPr>
          <w:trHeight w:val="4129"/>
        </w:trPr>
        <w:tc>
          <w:tcPr>
            <w:tcW w:w="5131" w:type="dxa"/>
            <w:shd w:val="clear" w:color="auto" w:fill="auto"/>
          </w:tcPr>
          <w:p w14:paraId="4F18C4C4" w14:textId="6E4D9E1A" w:rsidR="00B7540A" w:rsidRPr="00A42F0D" w:rsidRDefault="00B7540A" w:rsidP="00A425D5">
            <w:pPr>
              <w:pStyle w:val="afe"/>
              <w:contextualSpacing w:val="0"/>
              <w:rPr>
                <w:lang w:val="hy-AM"/>
              </w:rPr>
            </w:pPr>
            <w:r w:rsidRPr="00A42F0D">
              <w:rPr>
                <w:lang w:val="hy-AM"/>
              </w:rPr>
              <w:t xml:space="preserve">Գծապատկեր 1.8. </w:t>
            </w:r>
            <w:r w:rsidRPr="00F844BA">
              <w:rPr>
                <w:lang w:val="hy-AM"/>
              </w:rPr>
              <w:t>Տնտեսության</w:t>
            </w:r>
            <w:r w:rsidRPr="00A42F0D">
              <w:rPr>
                <w:lang w:val="hy-AM"/>
              </w:rPr>
              <w:t xml:space="preserve"> ճյուղերի նպաստում</w:t>
            </w:r>
            <w:r w:rsidR="00F844BA" w:rsidRPr="00F844BA">
              <w:rPr>
                <w:lang w:val="hy-AM"/>
              </w:rPr>
              <w:t xml:space="preserve">- </w:t>
            </w:r>
            <w:r w:rsidRPr="00A42F0D">
              <w:rPr>
                <w:lang w:val="hy-AM"/>
              </w:rPr>
              <w:t>ները ՀՆԱ-ին (տ.կ.)</w:t>
            </w:r>
          </w:p>
          <w:p w14:paraId="5DA2096D" w14:textId="0A12C6CE" w:rsidR="00B7540A" w:rsidRPr="00A36CD1" w:rsidRDefault="00B7540A" w:rsidP="00406CBF">
            <w:pPr>
              <w:tabs>
                <w:tab w:val="right" w:pos="0"/>
              </w:tabs>
              <w:spacing w:before="120" w:line="240" w:lineRule="auto"/>
              <w:ind w:firstLine="29"/>
              <w:contextualSpacing/>
              <w:rPr>
                <w:rFonts w:cs="Sylfaen"/>
                <w:i/>
              </w:rPr>
            </w:pPr>
            <w:r w:rsidRPr="00586097">
              <w:rPr>
                <w:rFonts w:cs="Sylfaen"/>
                <w:i/>
                <w:noProof/>
              </w:rPr>
              <w:drawing>
                <wp:inline distT="0" distB="0" distL="0" distR="0" wp14:anchorId="2A7EB161" wp14:editId="704F588B">
                  <wp:extent cx="3188335" cy="2018665"/>
                  <wp:effectExtent l="0" t="0" r="12065" b="6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887" w:type="dxa"/>
            <w:shd w:val="clear" w:color="auto" w:fill="auto"/>
          </w:tcPr>
          <w:p w14:paraId="2C507364" w14:textId="43B767B0" w:rsidR="00B7540A" w:rsidRPr="00A42F0D" w:rsidRDefault="00B7540A" w:rsidP="00A425D5">
            <w:pPr>
              <w:pStyle w:val="afe"/>
              <w:rPr>
                <w:lang w:val="hy-AM"/>
              </w:rPr>
            </w:pPr>
            <w:r w:rsidRPr="00A425D5">
              <w:t>Գծապատկեր</w:t>
            </w:r>
            <w:r w:rsidRPr="00A42F0D">
              <w:rPr>
                <w:lang w:val="hy-AM"/>
              </w:rPr>
              <w:t xml:space="preserve"> 1.9. Ծախսային բաղադրիչների նպաս</w:t>
            </w:r>
            <w:r w:rsidR="00F844BA">
              <w:t xml:space="preserve">- </w:t>
            </w:r>
            <w:r w:rsidRPr="00A42F0D">
              <w:rPr>
                <w:lang w:val="hy-AM"/>
              </w:rPr>
              <w:t>տումները ՀՆԱ-ին (տ.կ.)</w:t>
            </w:r>
          </w:p>
          <w:p w14:paraId="0EACDE58" w14:textId="1EC12C1D" w:rsidR="00B7540A" w:rsidRPr="00586097" w:rsidRDefault="00B7540A" w:rsidP="00406CBF">
            <w:pPr>
              <w:tabs>
                <w:tab w:val="right" w:pos="0"/>
              </w:tabs>
              <w:spacing w:before="120" w:after="0" w:line="240" w:lineRule="auto"/>
              <w:ind w:firstLine="0"/>
              <w:rPr>
                <w:rFonts w:cs="Sylfaen"/>
                <w:i/>
              </w:rPr>
            </w:pPr>
            <w:r w:rsidRPr="00586097">
              <w:rPr>
                <w:noProof/>
              </w:rPr>
              <w:drawing>
                <wp:inline distT="0" distB="0" distL="0" distR="0" wp14:anchorId="765FA907" wp14:editId="091AB494">
                  <wp:extent cx="2997642" cy="2018665"/>
                  <wp:effectExtent l="0" t="0" r="12700" b="6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B7540A" w:rsidRPr="00586097" w14:paraId="75DA7EAF" w14:textId="77777777" w:rsidTr="00362F2A">
        <w:trPr>
          <w:trHeight w:val="411"/>
        </w:trPr>
        <w:tc>
          <w:tcPr>
            <w:tcW w:w="5131" w:type="dxa"/>
            <w:shd w:val="clear" w:color="auto" w:fill="auto"/>
          </w:tcPr>
          <w:p w14:paraId="1610A6F9" w14:textId="77777777" w:rsidR="00B7540A" w:rsidRPr="00A42F0D" w:rsidRDefault="00B7540A" w:rsidP="00B7540A">
            <w:pPr>
              <w:pStyle w:val="afe"/>
              <w:rPr>
                <w:lang w:val="hy-AM"/>
              </w:rPr>
            </w:pPr>
            <w:r w:rsidRPr="00A42F0D">
              <w:rPr>
                <w:bCs/>
                <w:lang w:val="hy-AM"/>
              </w:rPr>
              <w:t>Գծապատկեր 1.10.</w:t>
            </w:r>
            <w:r w:rsidRPr="00A42F0D">
              <w:rPr>
                <w:lang w:val="hy-AM"/>
              </w:rPr>
              <w:t xml:space="preserve"> Տնտեսության ճյուղերի կշիռները ՀՆԱ-ում (%)</w:t>
            </w:r>
          </w:p>
          <w:p w14:paraId="6156E505" w14:textId="6FE354F3" w:rsidR="00B7540A" w:rsidRPr="00586097" w:rsidRDefault="00B7540A" w:rsidP="00406CBF">
            <w:pPr>
              <w:tabs>
                <w:tab w:val="right" w:pos="0"/>
              </w:tabs>
              <w:spacing w:before="120" w:line="276" w:lineRule="auto"/>
              <w:ind w:firstLine="29"/>
              <w:contextualSpacing/>
              <w:rPr>
                <w:rFonts w:cs="Sylfaen"/>
                <w:highlight w:val="yellow"/>
              </w:rPr>
            </w:pPr>
            <w:r w:rsidRPr="00586097">
              <w:rPr>
                <w:rFonts w:cs="Sylfaen"/>
                <w:noProof/>
              </w:rPr>
              <w:drawing>
                <wp:inline distT="0" distB="0" distL="0" distR="0" wp14:anchorId="28D62D36" wp14:editId="6ED2B5A8">
                  <wp:extent cx="3148717" cy="1923415"/>
                  <wp:effectExtent l="0" t="0" r="13970" b="6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887" w:type="dxa"/>
            <w:shd w:val="clear" w:color="auto" w:fill="auto"/>
          </w:tcPr>
          <w:p w14:paraId="5D9CD5AB" w14:textId="79CCA629" w:rsidR="00B7540A" w:rsidRPr="00A42F0D" w:rsidRDefault="00B7540A" w:rsidP="00B7540A">
            <w:pPr>
              <w:pStyle w:val="afe"/>
              <w:rPr>
                <w:lang w:val="hy-AM"/>
              </w:rPr>
            </w:pPr>
            <w:r w:rsidRPr="00A42F0D">
              <w:rPr>
                <w:lang w:val="hy-AM"/>
              </w:rPr>
              <w:t>Գծապատկեր 1.11. Ծախսային բաղադրիչների կշիռ</w:t>
            </w:r>
            <w:r w:rsidR="00F844BA">
              <w:t xml:space="preserve">- </w:t>
            </w:r>
            <w:r w:rsidRPr="00A42F0D">
              <w:rPr>
                <w:lang w:val="hy-AM"/>
              </w:rPr>
              <w:t>ները ՀՆԱ-ում  (%)</w:t>
            </w:r>
          </w:p>
          <w:p w14:paraId="655480B5" w14:textId="0BAB86B2" w:rsidR="00B7540A" w:rsidRPr="00406CBF" w:rsidRDefault="00B7540A" w:rsidP="00406CBF">
            <w:pPr>
              <w:tabs>
                <w:tab w:val="right" w:pos="0"/>
              </w:tabs>
              <w:spacing w:before="120" w:line="276" w:lineRule="auto"/>
              <w:ind w:firstLine="0"/>
              <w:contextualSpacing/>
              <w:rPr>
                <w:rFonts w:cs="Sylfaen"/>
                <w:i/>
              </w:rPr>
            </w:pPr>
            <w:r w:rsidRPr="00586097">
              <w:rPr>
                <w:noProof/>
              </w:rPr>
              <w:drawing>
                <wp:inline distT="0" distB="0" distL="0" distR="0" wp14:anchorId="4BB20C6A" wp14:editId="16CCA864">
                  <wp:extent cx="2957885" cy="1923415"/>
                  <wp:effectExtent l="0" t="0" r="13970" b="6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B7540A" w:rsidRPr="00586097" w14:paraId="15588376" w14:textId="77777777" w:rsidTr="00362F2A">
        <w:trPr>
          <w:trHeight w:val="411"/>
        </w:trPr>
        <w:tc>
          <w:tcPr>
            <w:tcW w:w="5131" w:type="dxa"/>
            <w:shd w:val="clear" w:color="auto" w:fill="auto"/>
          </w:tcPr>
          <w:p w14:paraId="5A3B0518" w14:textId="77777777" w:rsidR="00B7540A" w:rsidRPr="00A42F0D" w:rsidRDefault="00B7540A" w:rsidP="00B7540A">
            <w:pPr>
              <w:pStyle w:val="afe"/>
              <w:rPr>
                <w:lang w:val="hy-AM"/>
              </w:rPr>
            </w:pPr>
            <w:r w:rsidRPr="00A42F0D">
              <w:rPr>
                <w:bCs/>
                <w:lang w:val="hy-AM"/>
              </w:rPr>
              <w:t>Գծապատկեր 1.12.</w:t>
            </w:r>
            <w:r w:rsidRPr="00A42F0D">
              <w:rPr>
                <w:lang w:val="hy-AM"/>
              </w:rPr>
              <w:t xml:space="preserve"> Անհրաժեշտ լրացուցիչ ներդրումներ հիմնական միջոցներում (մլրդ դրամ) </w:t>
            </w:r>
          </w:p>
          <w:p w14:paraId="253F5DEF" w14:textId="77777777" w:rsidR="00B7540A" w:rsidRPr="00586097" w:rsidRDefault="00B7540A" w:rsidP="00B7540A">
            <w:pPr>
              <w:tabs>
                <w:tab w:val="right" w:pos="0"/>
              </w:tabs>
              <w:spacing w:before="120" w:line="276" w:lineRule="auto"/>
              <w:ind w:firstLine="29"/>
              <w:contextualSpacing/>
              <w:rPr>
                <w:rFonts w:cs="Sylfaen"/>
                <w:b/>
                <w:bCs/>
                <w:i/>
              </w:rPr>
            </w:pPr>
            <w:r w:rsidRPr="00586097">
              <w:rPr>
                <w:rFonts w:cs="Sylfaen"/>
                <w:b/>
                <w:bCs/>
                <w:i/>
                <w:noProof/>
              </w:rPr>
              <w:drawing>
                <wp:inline distT="0" distB="0" distL="0" distR="0" wp14:anchorId="0E6D3C42" wp14:editId="692B10D7">
                  <wp:extent cx="3148330" cy="2004060"/>
                  <wp:effectExtent l="0" t="0" r="13970" b="1524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B03691A" w14:textId="77777777" w:rsidR="00B7540A" w:rsidRPr="00A42F0D" w:rsidRDefault="00B7540A" w:rsidP="0064012E">
            <w:pPr>
              <w:pStyle w:val="afd"/>
              <w:spacing w:after="0"/>
              <w:rPr>
                <w:rFonts w:cs="Sylfaen"/>
                <w:b/>
                <w:bCs/>
                <w:sz w:val="16"/>
              </w:rPr>
            </w:pPr>
            <w:r w:rsidRPr="0067228E">
              <w:t>Աղբյուրը՝ ՀՀ ՎԿ, ՀՀ ՖՆ հաշվարկներ, գնահատականներ և կանխատեսումներ</w:t>
            </w:r>
          </w:p>
        </w:tc>
        <w:tc>
          <w:tcPr>
            <w:tcW w:w="4887" w:type="dxa"/>
            <w:shd w:val="clear" w:color="auto" w:fill="auto"/>
          </w:tcPr>
          <w:p w14:paraId="1CE3C4AB" w14:textId="2C9CD6AD" w:rsidR="00B7540A" w:rsidRPr="00A42F0D" w:rsidRDefault="00B7540A" w:rsidP="00B7540A">
            <w:pPr>
              <w:pStyle w:val="afe"/>
              <w:rPr>
                <w:lang w:val="hy-AM"/>
              </w:rPr>
            </w:pPr>
            <w:r w:rsidRPr="00A42F0D">
              <w:rPr>
                <w:bCs/>
                <w:lang w:val="hy-AM"/>
              </w:rPr>
              <w:t>Գծապատկեր 1.13.</w:t>
            </w:r>
            <w:r w:rsidRPr="00A42F0D">
              <w:rPr>
                <w:lang w:val="hy-AM"/>
              </w:rPr>
              <w:t xml:space="preserve"> Հիմնական միջոցներում ներդրում</w:t>
            </w:r>
            <w:r w:rsidR="007E1714" w:rsidRPr="00052861">
              <w:rPr>
                <w:lang w:val="hy-AM"/>
              </w:rPr>
              <w:t xml:space="preserve">- </w:t>
            </w:r>
            <w:r w:rsidRPr="00A42F0D">
              <w:rPr>
                <w:lang w:val="hy-AM"/>
              </w:rPr>
              <w:t xml:space="preserve">ների կշիռը ՀՆԱ-ում (%) </w:t>
            </w:r>
          </w:p>
          <w:p w14:paraId="68FC8CC4" w14:textId="77777777" w:rsidR="00B7540A" w:rsidRPr="00586097" w:rsidRDefault="00B7540A" w:rsidP="00B7540A">
            <w:pPr>
              <w:tabs>
                <w:tab w:val="right" w:pos="0"/>
              </w:tabs>
              <w:spacing w:before="120" w:line="276" w:lineRule="auto"/>
              <w:ind w:hanging="13"/>
              <w:contextualSpacing/>
              <w:rPr>
                <w:rFonts w:cs="Sylfaen"/>
                <w:i/>
              </w:rPr>
            </w:pPr>
            <w:r w:rsidRPr="00586097">
              <w:rPr>
                <w:rFonts w:cs="Sylfaen"/>
                <w:b/>
                <w:i/>
                <w:noProof/>
              </w:rPr>
              <w:drawing>
                <wp:inline distT="0" distB="0" distL="0" distR="0" wp14:anchorId="09125339" wp14:editId="730D940C">
                  <wp:extent cx="3057525" cy="2004060"/>
                  <wp:effectExtent l="0" t="0" r="9525" b="1524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B12155" w14:textId="77777777" w:rsidR="00B7540A" w:rsidRPr="00586097" w:rsidRDefault="00B7540A" w:rsidP="00B7540A">
            <w:pPr>
              <w:tabs>
                <w:tab w:val="right" w:pos="0"/>
              </w:tabs>
              <w:spacing w:before="120" w:line="276" w:lineRule="auto"/>
              <w:contextualSpacing/>
              <w:rPr>
                <w:rFonts w:cs="Sylfaen"/>
                <w:b/>
                <w:i/>
                <w:highlight w:val="yellow"/>
              </w:rPr>
            </w:pPr>
          </w:p>
        </w:tc>
      </w:tr>
    </w:tbl>
    <w:p w14:paraId="52079E11" w14:textId="454A25B6" w:rsidR="00B7540A" w:rsidRPr="00586097" w:rsidRDefault="00B7540A" w:rsidP="009704D2">
      <w:pPr>
        <w:spacing w:before="200" w:line="276" w:lineRule="auto"/>
        <w:ind w:firstLine="562"/>
      </w:pPr>
      <w:r w:rsidRPr="00586097">
        <w:rPr>
          <w:b/>
          <w:bCs/>
          <w:u w:val="single"/>
        </w:rPr>
        <w:t>Արտահանելի հատված և արտահանում:</w:t>
      </w:r>
      <w:r w:rsidRPr="00586097">
        <w:rPr>
          <w:b/>
          <w:bCs/>
        </w:rPr>
        <w:t xml:space="preserve"> Բարձր տնտեսական աճի ապահովման համար անհրաժեշտ է արտահանման տեմպերի արագացում ի հաշիվ ոչ հումքային բարձր ավելացված արժեք ստեղծող ապրանքատեսակների և արտահանելի ծառայությունների:</w:t>
      </w:r>
      <w:r w:rsidRPr="00586097">
        <w:t xml:space="preserve"> Արտաքին հատվածի զարգացումներն արտահանմանն ուղղված բարեփոխումների ներքո էապես կբարելավվեն: Այսպես, ներդրումների բարձր աճին կհաջորդեն կանխատեսվող հորիզոնում ապրանքների և ծառայությունների արտահանման ավելի բարձր աճերը: Այս զարգացումները կարտացոլեն տնտեսության արտահանելի հատվածի արտադրողական ճյուղերի էական բարելավման ազդեցությունը: Ընդ որում՝ կապահովվի նաև ՀՆԱ-ի նկատմամբ արտահանման մակարդակի բարձրացումը: Այսպես, բարձր տնտեսական աճի ապահովման համար անհրաժեշտ է տարեկան միջինում արտահանման 16</w:t>
      </w:r>
      <w:r w:rsidRPr="00586097">
        <w:rPr>
          <w:rFonts w:ascii="Cambria Math" w:hAnsi="Cambria Math" w:cs="Cambria Math"/>
        </w:rPr>
        <w:t>․</w:t>
      </w:r>
      <w:r w:rsidRPr="00586097">
        <w:t>5% և արդյունաբերության 8</w:t>
      </w:r>
      <w:r w:rsidRPr="00586097">
        <w:rPr>
          <w:rFonts w:ascii="Cambria Math" w:hAnsi="Cambria Math" w:cs="Cambria Math"/>
        </w:rPr>
        <w:t>․</w:t>
      </w:r>
      <w:r w:rsidRPr="00586097">
        <w:t>3% իրական աճեր, ինչը 2026թ.-ին 2021թ. համեմատ կբարելավի արտահանման մակարդակը ՀՆԱ-ում 16</w:t>
      </w:r>
      <w:r w:rsidRPr="00586097">
        <w:rPr>
          <w:rFonts w:ascii="Cambria Math" w:hAnsi="Cambria Math" w:cs="Cambria Math"/>
        </w:rPr>
        <w:t>․</w:t>
      </w:r>
      <w:r w:rsidRPr="00586097">
        <w:t>4%-ային կետով։</w:t>
      </w:r>
    </w:p>
    <w:p w14:paraId="0947E232" w14:textId="77777777" w:rsidR="00B7540A" w:rsidRPr="00586097" w:rsidRDefault="00B7540A" w:rsidP="00B7540A">
      <w:pPr>
        <w:pStyle w:val="afc"/>
        <w:spacing w:line="276" w:lineRule="auto"/>
      </w:pPr>
      <w:r w:rsidRPr="00586097">
        <w:t xml:space="preserve">Գծապատկեր 1.14. Արդյունաբերությունը և արտահանումը 2022-2026թթ. </w:t>
      </w:r>
    </w:p>
    <w:p w14:paraId="25BD60D9" w14:textId="77777777" w:rsidR="00B7540A" w:rsidRPr="00586097" w:rsidRDefault="00B7540A" w:rsidP="00B7540A">
      <w:pPr>
        <w:spacing w:line="276" w:lineRule="auto"/>
        <w:ind w:firstLine="0"/>
      </w:pPr>
      <w:r w:rsidRPr="00586097">
        <w:rPr>
          <w:noProof/>
        </w:rPr>
        <w:drawing>
          <wp:inline distT="0" distB="0" distL="0" distR="0" wp14:anchorId="2C7E6FB0" wp14:editId="098F7D6B">
            <wp:extent cx="3152775" cy="2986405"/>
            <wp:effectExtent l="0" t="0" r="9525" b="23495"/>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586097">
        <w:rPr>
          <w:noProof/>
        </w:rPr>
        <w:drawing>
          <wp:inline distT="0" distB="0" distL="0" distR="0" wp14:anchorId="60CB3A7A" wp14:editId="6F8F3488">
            <wp:extent cx="3048000" cy="2990850"/>
            <wp:effectExtent l="0" t="0" r="19050" b="1905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D391FA6" w14:textId="77777777" w:rsidR="00B7540A" w:rsidRPr="0027114B" w:rsidRDefault="00B7540A" w:rsidP="0027114B">
      <w:pPr>
        <w:pStyle w:val="afd"/>
      </w:pPr>
      <w:r w:rsidRPr="0027114B">
        <w:t>Աղբյուրը՝ ՀՀ ՎԿ, ՀՀ ՖՆ հաշվարկներ և  կանխատեսումներ</w:t>
      </w:r>
    </w:p>
    <w:p w14:paraId="438013B2" w14:textId="77777777" w:rsidR="00B7540A" w:rsidRPr="00B7540A" w:rsidRDefault="00B7540A" w:rsidP="00B7540A">
      <w:pPr>
        <w:spacing w:line="276" w:lineRule="auto"/>
        <w:rPr>
          <w:lang w:val="hy-AM"/>
        </w:rPr>
      </w:pPr>
      <w:r w:rsidRPr="00B7540A">
        <w:rPr>
          <w:b/>
          <w:bCs/>
          <w:u w:val="single"/>
          <w:lang w:val="hy-AM"/>
        </w:rPr>
        <w:t xml:space="preserve">Հարկաբյուջետային քաղաքականություն: </w:t>
      </w:r>
      <w:r w:rsidRPr="00B7540A">
        <w:rPr>
          <w:b/>
          <w:bCs/>
          <w:lang w:val="hy-AM"/>
        </w:rPr>
        <w:t>Հարկաբյուջետային քաղաքականու</w:t>
      </w:r>
      <w:r w:rsidRPr="00B7540A">
        <w:rPr>
          <w:b/>
          <w:bCs/>
          <w:lang w:val="hy-AM"/>
        </w:rPr>
        <w:softHyphen/>
        <w:t>թյունը պետք է միտված լինի կառավարության պարտքի բեռի նվազեցմանը և երկարաժամկետ տնտեսական աճի խթանմանը:</w:t>
      </w:r>
      <w:r w:rsidRPr="00B7540A">
        <w:rPr>
          <w:lang w:val="hy-AM"/>
        </w:rPr>
        <w:t xml:space="preserve"> Բարձր տնտեսական աճի պայմաններում նախատեսվում է սահուն կերպով նվազեցնել կառավարության պարտքի բեռը՝ մինչև 2026 թվականը հասցնելով այն ՀՆԱ-ի 52.1%-ին: Հարկաբյուջետային կանոններով սահմանված սահմանային շեմից՝ 60%-ից շուրջ 8 տոկոսային կետով պարտքի բեռի նվազեցումը հնարավորություն կտա ստեղծել «հարկաբյուջետային տարածք» կամ կուտակել հնարավոր շոկերին արձագանքելու համար կենսական նշանակություն ունեցող դիմադրողականության անհրաժեշտ պաշար: </w:t>
      </w:r>
    </w:p>
    <w:p w14:paraId="23807F30" w14:textId="77777777" w:rsidR="00B7540A" w:rsidRPr="00586097" w:rsidRDefault="00B7540A" w:rsidP="00B7540A">
      <w:pPr>
        <w:pStyle w:val="afc"/>
        <w:spacing w:line="276" w:lineRule="auto"/>
      </w:pPr>
      <w:r w:rsidRPr="00586097">
        <w:t>Գծապատկեր 1.15. Բարձր տնտեսական աճին նպաստող և հարկաբյուջետային կայունություն ապահովող հարկաբյուջետային քաղաքականության առաջնահերթությունները</w:t>
      </w:r>
    </w:p>
    <w:p w14:paraId="139C2104" w14:textId="77777777" w:rsidR="00B7540A" w:rsidRPr="00586097" w:rsidRDefault="00B7540A" w:rsidP="00B7540A">
      <w:pPr>
        <w:spacing w:line="276" w:lineRule="auto"/>
        <w:jc w:val="center"/>
      </w:pPr>
      <w:r w:rsidRPr="00586097">
        <w:rPr>
          <w:noProof/>
        </w:rPr>
        <w:drawing>
          <wp:inline distT="0" distB="0" distL="0" distR="0" wp14:anchorId="63DF39EB" wp14:editId="05BDD799">
            <wp:extent cx="5114925" cy="2562225"/>
            <wp:effectExtent l="0" t="0" r="9525"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14925" cy="2562225"/>
                    </a:xfrm>
                    <a:prstGeom prst="rect">
                      <a:avLst/>
                    </a:prstGeom>
                    <a:noFill/>
                    <a:ln>
                      <a:noFill/>
                    </a:ln>
                  </pic:spPr>
                </pic:pic>
              </a:graphicData>
            </a:graphic>
          </wp:inline>
        </w:drawing>
      </w:r>
    </w:p>
    <w:p w14:paraId="67AB625A" w14:textId="77777777" w:rsidR="00B7540A" w:rsidRPr="00586097" w:rsidRDefault="00B7540A" w:rsidP="00B7540A">
      <w:pPr>
        <w:spacing w:line="276" w:lineRule="auto"/>
      </w:pPr>
      <w:r w:rsidRPr="00586097">
        <w:t xml:space="preserve">Հարկաբյուջետային կոնսոլիդացիայի իրականացումն ապահովելու համար նախատեսվում է նվազեցնել պետական բյուջեի պակասուրդը, որը կանխատեսվող ժամանակահատվածի վերջում կկայունանա ՀՆԱ-ի 2.5%-ի շուրջ: </w:t>
      </w:r>
    </w:p>
    <w:p w14:paraId="34E916F9" w14:textId="77777777" w:rsidR="00B7540A" w:rsidRPr="00586097" w:rsidRDefault="00B7540A" w:rsidP="00B7540A">
      <w:pPr>
        <w:pStyle w:val="afc"/>
        <w:spacing w:line="276" w:lineRule="auto"/>
      </w:pPr>
      <w:r w:rsidRPr="00586097">
        <w:t>Գծապատկեր 1.16. Պետական բյուջեի պակասուրդը և կառավարության պարտքը 2022-2026թթ.</w:t>
      </w:r>
    </w:p>
    <w:p w14:paraId="6D232718" w14:textId="77777777" w:rsidR="00B7540A" w:rsidRPr="00586097" w:rsidRDefault="00B7540A" w:rsidP="00B7540A">
      <w:pPr>
        <w:spacing w:line="276" w:lineRule="auto"/>
      </w:pPr>
      <w:r w:rsidRPr="00586097">
        <w:rPr>
          <w:noProof/>
        </w:rPr>
        <w:drawing>
          <wp:inline distT="0" distB="0" distL="0" distR="0" wp14:anchorId="5F04B949" wp14:editId="534501E8">
            <wp:extent cx="5600700" cy="2505075"/>
            <wp:effectExtent l="0" t="0" r="19050" b="9525"/>
            <wp:docPr id="2060" name="Chart 2060">
              <a:extLst xmlns:a="http://schemas.openxmlformats.org/drawingml/2006/main">
                <a:ext uri="{FF2B5EF4-FFF2-40B4-BE49-F238E27FC236}">
                  <a16:creationId xmlns:a16="http://schemas.microsoft.com/office/drawing/2014/main" id="{F86123FC-9101-47B7-839D-09339365FE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89FBF59" w14:textId="77777777" w:rsidR="00B7540A" w:rsidRPr="0027114B" w:rsidRDefault="00B7540A" w:rsidP="0027114B">
      <w:pPr>
        <w:pStyle w:val="afd"/>
      </w:pPr>
      <w:r w:rsidRPr="0027114B">
        <w:t>Աղբյուրը՝ ՀՀ ՖՆ</w:t>
      </w:r>
    </w:p>
    <w:p w14:paraId="237CAE72" w14:textId="77777777" w:rsidR="00B7540A" w:rsidRPr="00586097" w:rsidRDefault="00B7540A" w:rsidP="00B7540A">
      <w:pPr>
        <w:spacing w:line="276" w:lineRule="auto"/>
      </w:pPr>
    </w:p>
    <w:p w14:paraId="013D21A9" w14:textId="77777777" w:rsidR="00B7540A" w:rsidRPr="00586097" w:rsidRDefault="00B7540A" w:rsidP="00B7540A">
      <w:pPr>
        <w:spacing w:line="276" w:lineRule="auto"/>
      </w:pPr>
      <w:r w:rsidRPr="00586097">
        <w:rPr>
          <w:b/>
          <w:bCs/>
        </w:rPr>
        <w:t>Բարձր տնտեսական աճի պայմաններում միջնաժամկետում ակնկալվում է պետական բյուջեի եկամուտների աճ, որոնք 2024 թվականին կկազմեն կանխատեսվող ՀՆԱ</w:t>
      </w:r>
      <w:r w:rsidRPr="00586097">
        <w:rPr>
          <w:b/>
          <w:bCs/>
        </w:rPr>
        <w:noBreakHyphen/>
        <w:t>ի 25.4%-ը, իսկ 2026թ.՝ 26.6%:</w:t>
      </w:r>
      <w:r w:rsidRPr="00586097">
        <w:t xml:space="preserve"> Հաշվի առնելով առնվազն 3.6% հարկային ճեղքի առկայությունը՝ հարկային վարչարարության լրացուցիչ ջանքի ներդրման միջոցով 2022-2026թթ. անհրաժեշտ է նախատեսել հարկային եկամուտների բարելավում ՀՆԱ-ի նկատմամբ տարեկան միջինում շուրջ 0.7 տոկոսային կետով՝ 2024թ. հասցնելով 24.7%-ի, իսկ 2026թ.՝ 25.9%-ի: Եթե դրան հնարավոր չլինի հասնել վարչարարության ջանքերով, ապա անհրաժեշտ կլինի իրականացնել տնտեսական աճը չխաթարող հարկային քաղաքականության ճեղքի նվազմանն ուղղված միջոցառումներ: Բարձր տնտեսական աճի տեմպերի պայմաններում լրացուցիչ հարկային եկամուտների հավաքագրումը հնարավորություն կընձեռի ավելի մեծ ռեսուրսներ հատկացնել երկարաժամկետ տնտեսական աճը խթանող կապիտալ ծախսեր իրականացնելու համար:</w:t>
      </w:r>
    </w:p>
    <w:p w14:paraId="2141067F" w14:textId="77777777" w:rsidR="00B7540A" w:rsidRPr="00586097" w:rsidRDefault="00B7540A" w:rsidP="00B7540A">
      <w:pPr>
        <w:spacing w:line="276" w:lineRule="auto"/>
      </w:pPr>
      <w:r w:rsidRPr="00586097">
        <w:t>Միջնաժամկետ կանխատեսվող հորիզոնում նախատեսվում է իրականացնել պետական բյուջեի ծախսերի կառուցվածքի բարելավման քաղաքականություն, ինչի արդյունքում պետական բյուջեի կապիտալ ծախսերի կշիռը ՀՆԱ-ում զգալիորեն կաճի, իսկ ընթացիկ առաջնային ծախսերի (առանց տոկոսավճարների) կշիռը՝ կպահպանվի նույն մակարդակում: Այսպես՝ տնտեսական աճի բարձր տեմպերի ապահովմանը նպաստելու նպատակով, նախատեսվում է 2022-2026թթ. բարձրացնել կապիտալ ծախսերի կշիռը ՀՆԱ</w:t>
      </w:r>
      <w:r w:rsidRPr="00586097">
        <w:noBreakHyphen/>
        <w:t>ում՝ 2024թ. հասցնելով շուրջ 4.8%-ի, իսկ մինչև 2026թ.՝ 6.1%: Ընթացիկ առաջնային ծախսերի գծով նախատեսվում է պահպանել ՀՆԱ-ի նկատմամբ կայուն մակարդակ՝ 2022-2026 թվականներին ապահովելով ընթացիկ առաջնային ծախսեր/ՀՆԱ հարաբերակցության կայունացումը 20%-ի շուրջ: Վերջինս սակայն, ենթադրում է հարկաբյուջետային կանոններով նախատեսվածից ավել ընթացիկ ծախսերի իրականացում, քանի որ հարկաբյուջետային կանոններին համապատասխան հաշվարկված ընթացիկ առաջնային ծախսերը ՀՆԱ-ի նկատմամբ կունենան նվազող ուղղություն: Հետևաբար, այս սցենարի իրականացման համար, անհրաժեշտ է որոշակի փոփոխություններ կատարել հարկաբյուջետային կանոնների օրենսդրական կարգավորումներում՝ հնարավորություն ստեղծելով տնտեսական բարձր աճի և բարձր հարկային եկամուտների պայմաններում ավելացնել ընթացիկ ծախսերի կազմում տնտեսության ներուժի և ներուժային տնտեսական աճի բարձրացմանը նպաստող ծախսերը (կրթություն, առողջապահություն, պաշտպանությանն ուղղված ծախսեր և այլն):</w:t>
      </w:r>
    </w:p>
    <w:p w14:paraId="56A2EF28" w14:textId="77777777" w:rsidR="00B7540A" w:rsidRPr="00586097" w:rsidRDefault="00B7540A" w:rsidP="00B7540A">
      <w:pPr>
        <w:pStyle w:val="afc"/>
        <w:spacing w:line="276" w:lineRule="auto"/>
      </w:pPr>
      <w:r w:rsidRPr="00586097">
        <w:t>Գծապատկեր 1.17. Պետական բյուջեի հարկային եկամուտները և ծախսերը 2022-2026 թթ.</w:t>
      </w:r>
    </w:p>
    <w:p w14:paraId="43BDBFA3" w14:textId="77777777" w:rsidR="00B7540A" w:rsidRPr="00B7540A" w:rsidRDefault="00B7540A" w:rsidP="00B7540A">
      <w:pPr>
        <w:spacing w:line="276" w:lineRule="auto"/>
        <w:ind w:firstLine="0"/>
        <w:rPr>
          <w:lang w:val="hy-AM"/>
        </w:rPr>
      </w:pPr>
      <w:r w:rsidRPr="00586097">
        <w:rPr>
          <w:noProof/>
        </w:rPr>
        <w:drawing>
          <wp:inline distT="0" distB="0" distL="0" distR="0" wp14:anchorId="1966F9B3" wp14:editId="1E860865">
            <wp:extent cx="3076575" cy="2886075"/>
            <wp:effectExtent l="0" t="0" r="9525" b="9525"/>
            <wp:docPr id="2061" name="Chart 2061">
              <a:extLst xmlns:a="http://schemas.openxmlformats.org/drawingml/2006/main">
                <a:ext uri="{FF2B5EF4-FFF2-40B4-BE49-F238E27FC236}">
                  <a16:creationId xmlns:a16="http://schemas.microsoft.com/office/drawing/2014/main" id="{FA7ADE50-3A28-4B81-916C-52FAC6711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B7540A">
        <w:rPr>
          <w:lang w:val="hy-AM"/>
        </w:rPr>
        <w:t xml:space="preserve"> </w:t>
      </w:r>
      <w:r w:rsidRPr="00586097">
        <w:rPr>
          <w:noProof/>
        </w:rPr>
        <w:drawing>
          <wp:inline distT="0" distB="0" distL="0" distR="0" wp14:anchorId="16FCBF4B" wp14:editId="7943675A">
            <wp:extent cx="3076575" cy="2886075"/>
            <wp:effectExtent l="0" t="0" r="9525" b="9525"/>
            <wp:docPr id="2062" name="Chart 2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16DBA29" w14:textId="77777777" w:rsidR="00B7540A" w:rsidRPr="0027114B" w:rsidRDefault="00B7540A" w:rsidP="0027114B">
      <w:pPr>
        <w:pStyle w:val="afd"/>
      </w:pPr>
      <w:r w:rsidRPr="0027114B">
        <w:t xml:space="preserve">Աղբյուրը՝ ՀՀ ՖՆ </w:t>
      </w:r>
    </w:p>
    <w:p w14:paraId="498BB0F4" w14:textId="77777777" w:rsidR="00B7540A" w:rsidRPr="00B7540A" w:rsidRDefault="00B7540A" w:rsidP="00B7540A">
      <w:pPr>
        <w:spacing w:line="276" w:lineRule="auto"/>
        <w:rPr>
          <w:b/>
          <w:bCs/>
          <w:lang w:val="hy-AM"/>
        </w:rPr>
      </w:pPr>
      <w:r w:rsidRPr="00B7540A">
        <w:rPr>
          <w:b/>
          <w:bCs/>
          <w:lang w:val="hy-AM"/>
        </w:rPr>
        <w:t>Այսպիսով, թիրախային տնտեսական կայուն աճի կանխատեսումների շրջանակում միջոցառումների իրականացման արդյունքում նախատեսվում է ապահովել ՀՀ տնտեսության կայուն առաջընթացը և մրցունակության բարձրացումը՝ բարելավելով տնտեսության կառուցվածքը ի օգուտ արտահանելի ճյուղերի: Ընդ որում՝ տնտեսության ներուժի բարձրացումը և աճի տեմպերի արագացումը կապահովվի ի հաշիվ ներդրումների բարձր աճի, արտահանման աճի արագացման, պետական բյուջեից ենթակառուցվածքներում կապիտալ ծախսերի ավելացման և կառուցվածքային բարեփոխումների արդյունքում ակնկալվող արտադրողականության աճի:</w:t>
      </w:r>
    </w:p>
    <w:p w14:paraId="0F10565D" w14:textId="77777777" w:rsidR="00B7540A" w:rsidRPr="00B7540A" w:rsidRDefault="00B7540A" w:rsidP="00B7540A">
      <w:pPr>
        <w:spacing w:line="276" w:lineRule="auto"/>
        <w:rPr>
          <w:lang w:val="hy-AM"/>
        </w:rPr>
      </w:pPr>
      <w:r w:rsidRPr="00B7540A">
        <w:rPr>
          <w:lang w:val="hy-AM"/>
        </w:rPr>
        <w:t>Ինչ վերաբերում է վերոնշյալ կանխատեսումների համատեքստում ակնկալվող լրացուցիչ բյուջետային հնարավորություններին, ապա դրանք նախատեսվում է իրացնել առաջացման ժամանակ՝ բյուջետային հարաբերությունները կարգավորող իրավական դաշտի պահանջներին համապատասխան:</w:t>
      </w:r>
    </w:p>
    <w:p w14:paraId="00CDD979" w14:textId="77777777" w:rsidR="00C0628C" w:rsidRDefault="00C0628C" w:rsidP="00C0628C">
      <w:pPr>
        <w:spacing w:line="276" w:lineRule="auto"/>
        <w:rPr>
          <w:b/>
          <w:bCs/>
          <w:lang w:val="hy-AM"/>
        </w:rPr>
      </w:pPr>
      <w:bookmarkStart w:id="450" w:name="_Toc77451195"/>
    </w:p>
    <w:p w14:paraId="741CA675" w14:textId="77777777" w:rsidR="00B7540A" w:rsidRPr="00955271" w:rsidRDefault="00C0628C" w:rsidP="00955271">
      <w:pPr>
        <w:pStyle w:val="Heading3"/>
        <w:spacing w:before="40" w:after="0" w:line="240" w:lineRule="auto"/>
        <w:contextualSpacing w:val="0"/>
        <w:rPr>
          <w:rFonts w:eastAsia="SimSun" w:cs="Times New Roman"/>
          <w:caps w:val="0"/>
          <w:color w:val="1F497D" w:themeColor="text2"/>
        </w:rPr>
      </w:pPr>
      <w:bookmarkStart w:id="451" w:name="_Toc78536690"/>
      <w:r w:rsidRPr="00955271">
        <w:rPr>
          <w:rFonts w:eastAsia="SimSun" w:cs="Times New Roman"/>
          <w:caps w:val="0"/>
          <w:color w:val="1F497D" w:themeColor="text2"/>
        </w:rPr>
        <w:t xml:space="preserve">1.3.2. </w:t>
      </w:r>
      <w:r w:rsidR="00B7540A" w:rsidRPr="00955271">
        <w:rPr>
          <w:rFonts w:eastAsia="SimSun" w:cs="Times New Roman"/>
          <w:caps w:val="0"/>
          <w:color w:val="1F497D" w:themeColor="text2"/>
        </w:rPr>
        <w:t>2022-2024թթ. ՄԺԾԾ ՄԱԿՐՈՏՆՏԵՍԱԿԱՆ ՍՑԵՆԱՐ (ԲՅՈՒՋԵՏԱՅԻՆ ՇՐՋԱՆԱԿ)</w:t>
      </w:r>
      <w:bookmarkEnd w:id="450"/>
      <w:bookmarkEnd w:id="451"/>
    </w:p>
    <w:p w14:paraId="0A2ADCDB" w14:textId="77777777" w:rsidR="00B7540A" w:rsidRPr="00B7540A" w:rsidRDefault="00B7540A" w:rsidP="00B7540A">
      <w:pPr>
        <w:pStyle w:val="Heading6"/>
        <w:spacing w:line="276" w:lineRule="auto"/>
        <w:rPr>
          <w:rFonts w:ascii="GHEA Grapalat" w:hAnsi="GHEA Grapalat"/>
          <w:lang w:val="hy-AM"/>
        </w:rPr>
      </w:pPr>
      <w:r w:rsidRPr="00B7540A">
        <w:rPr>
          <w:rFonts w:ascii="GHEA Grapalat" w:hAnsi="GHEA Grapalat"/>
          <w:lang w:val="hy-AM"/>
        </w:rPr>
        <w:t>ՀՆԱ և տնտեսական աճ</w:t>
      </w:r>
      <w:bookmarkEnd w:id="448"/>
    </w:p>
    <w:p w14:paraId="29677070" w14:textId="77777777" w:rsidR="00B7540A" w:rsidRPr="00B7540A" w:rsidRDefault="00B7540A" w:rsidP="00B7540A">
      <w:pPr>
        <w:spacing w:line="276" w:lineRule="auto"/>
        <w:rPr>
          <w:lang w:val="hy-AM"/>
        </w:rPr>
      </w:pPr>
      <w:r w:rsidRPr="00B7540A">
        <w:rPr>
          <w:rFonts w:eastAsiaTheme="majorEastAsia"/>
          <w:b/>
          <w:bCs/>
          <w:lang w:val="hy-AM"/>
        </w:rPr>
        <w:t>2018-2019թթ. Հայաստանի տնտեսությունը բնութագրվել է տնտեսական աճի բարձր ցուցանիշներով՝ միջինում գրանցելով 6.4% (2019թ.-ին՝ 7.6%) իրական աճ, սակայն կորոնավիրուսի համավարակի և Արցախյան պատերազմի բացասական ազդեցություններով պայմանավորված 2020թ. գրանցվեց 7.4% տնտեսական անկում:</w:t>
      </w:r>
      <w:r w:rsidRPr="00B7540A">
        <w:rPr>
          <w:rFonts w:eastAsiaTheme="majorEastAsia"/>
          <w:lang w:val="hy-AM"/>
        </w:rPr>
        <w:t xml:space="preserve"> 2018-2019թթ. տնտեսական աճին հիմնականում նպաստել են ծառայությունների և արդյունաբերության ճյուղերը` միջինում 4.8 և 1.5 տոկոսային կետերով: Պահանջարկի տեսանկյունից աճին նպաստել է ներքին պահանջարկը, ինչը պայմանվորված է եղել հիմնականում վերջնական սպառման (հատկապես՝ մասնավոր սպառման) աճով։ Նշված զարգացումները շարունակվեցին նաև 2020թ. առաջին եռամսյակի ընթացքում, սակայն, 2020թ. մարտի 1-ից սկիզբ առած Կորոնավիրուսի համավարակի բացասական ազդեցություններով պայմանավորված, 2020թ. երկրորդ եռամսյակից տնտեսական աճը վերափոխվեց տնտեսական անկման՝ իր վրա կրելով նաև սեպտեմբեր-նոյեմբեր ամիսներին տեղի ունեցած Արցախյան պատերազմի բացասական ազդեցությունները: </w:t>
      </w:r>
    </w:p>
    <w:p w14:paraId="005138FB" w14:textId="1F808FB5" w:rsidR="00B7540A" w:rsidRDefault="00B7540A" w:rsidP="00E067FB">
      <w:pPr>
        <w:spacing w:after="120" w:line="276" w:lineRule="auto"/>
        <w:ind w:firstLine="562"/>
        <w:rPr>
          <w:rFonts w:eastAsiaTheme="majorEastAsia"/>
          <w:lang w:val="hy-AM"/>
        </w:rPr>
      </w:pPr>
      <w:r w:rsidRPr="00B7540A">
        <w:rPr>
          <w:rFonts w:eastAsiaTheme="majorEastAsia"/>
          <w:b/>
          <w:bCs/>
          <w:lang w:val="hy-AM"/>
        </w:rPr>
        <w:t>Կորոնավիրուսի համավարակի և Արցախյան պատերազմի բացասական ազդեցությունները շարունակվեցին նաև 2021թ</w:t>
      </w:r>
      <w:r w:rsidRPr="00B7540A">
        <w:rPr>
          <w:rFonts w:ascii="Cambria Math" w:eastAsiaTheme="majorEastAsia" w:hAnsi="Cambria Math" w:cs="Cambria Math"/>
          <w:b/>
          <w:bCs/>
          <w:lang w:val="hy-AM"/>
        </w:rPr>
        <w:t>․</w:t>
      </w:r>
      <w:r w:rsidRPr="00B7540A">
        <w:rPr>
          <w:rFonts w:eastAsiaTheme="majorEastAsia"/>
          <w:b/>
          <w:bCs/>
          <w:lang w:val="hy-AM"/>
        </w:rPr>
        <w:t xml:space="preserve"> տարեսկզբին, սակայն մարտ ամսից արձանագրվեցին տնտեսական ակտիվության վերականգման միտումներ՝ պայմանավորված կիրառված սահմանափակումների վերացմամբ</w:t>
      </w:r>
      <w:r w:rsidRPr="00586097">
        <w:rPr>
          <w:rStyle w:val="FootnoteReference"/>
          <w:rFonts w:eastAsiaTheme="majorEastAsia"/>
          <w:b/>
          <w:bCs/>
        </w:rPr>
        <w:footnoteReference w:id="10"/>
      </w:r>
      <w:r w:rsidRPr="00B7540A">
        <w:rPr>
          <w:rFonts w:eastAsiaTheme="majorEastAsia"/>
          <w:b/>
          <w:bCs/>
          <w:lang w:val="hy-AM"/>
        </w:rPr>
        <w:t>, ներքին պահանջարկի վերականգնմամբ,  2020թ. իրականացված խթանող մակրոտնտեսական քաղաքականություններով և 2021թ. շարունակվող խթանող հարկաբյուջետային քաղաքականությամբ:</w:t>
      </w:r>
      <w:r w:rsidRPr="00B7540A">
        <w:rPr>
          <w:rFonts w:eastAsiaTheme="majorEastAsia"/>
          <w:lang w:val="hy-AM"/>
        </w:rPr>
        <w:t xml:space="preserve"> Արդյունքում 2021թ. առաջին եռամսյակում գրանցվեց ՀՆԱ-ի 3.3% իրական նվազում՝ հիմնականում պայմանավորված ծառայությունների նվազմամբ (նպաստումը՝ 2.2 տոկոսային կետ)։ Իսկ շինարարության և գյուղատնտեսության ճյուղերում արձանագրված աճերը հակազդեցին ՀՆԱ-ի նվազմանը (նպաստումը՝ յուրաքանչյուրը 0.1 տոկոսային կետ): </w:t>
      </w:r>
    </w:p>
    <w:tbl>
      <w:tblPr>
        <w:tblStyle w:val="TableGrid142121"/>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963"/>
        <w:gridCol w:w="4963"/>
      </w:tblGrid>
      <w:tr w:rsidR="00B7540A" w:rsidRPr="00C024D9" w14:paraId="2FD36395" w14:textId="77777777" w:rsidTr="00B7540A">
        <w:trPr>
          <w:trHeight w:val="3430"/>
        </w:trPr>
        <w:tc>
          <w:tcPr>
            <w:tcW w:w="4963" w:type="dxa"/>
          </w:tcPr>
          <w:p w14:paraId="4703A2D1" w14:textId="026519C6" w:rsidR="00B7540A" w:rsidRPr="00A42F0D" w:rsidRDefault="00B7540A" w:rsidP="00B7540A">
            <w:pPr>
              <w:pStyle w:val="afe"/>
              <w:rPr>
                <w:lang w:val="hy-AM"/>
              </w:rPr>
            </w:pPr>
            <w:r w:rsidRPr="00A42F0D">
              <w:rPr>
                <w:lang w:val="hy-AM"/>
              </w:rPr>
              <w:t>Գծապատկեր 1.18. ՀՆԱ աճ (%) և ճյուղերի նպաստում</w:t>
            </w:r>
            <w:r w:rsidR="00FA2BC5" w:rsidRPr="00FA2BC5">
              <w:rPr>
                <w:lang w:val="hy-AM"/>
              </w:rPr>
              <w:t xml:space="preserve">- </w:t>
            </w:r>
            <w:r w:rsidRPr="00A42F0D">
              <w:rPr>
                <w:lang w:val="hy-AM"/>
              </w:rPr>
              <w:t>ները ՀՆԱ աճին (տ.կ.)</w:t>
            </w:r>
          </w:p>
          <w:p w14:paraId="7189F727" w14:textId="77777777" w:rsidR="00B7540A" w:rsidRPr="00586097" w:rsidRDefault="00B7540A" w:rsidP="00B7540A">
            <w:pPr>
              <w:spacing w:line="276" w:lineRule="auto"/>
              <w:ind w:firstLine="29"/>
            </w:pPr>
            <w:r w:rsidRPr="00586097">
              <w:rPr>
                <w:rFonts w:eastAsiaTheme="majorEastAsia" w:cstheme="majorBidi"/>
                <w:noProof/>
                <w:color w:val="244061" w:themeColor="accent1" w:themeShade="80"/>
              </w:rPr>
              <w:drawing>
                <wp:inline distT="0" distB="0" distL="0" distR="0" wp14:anchorId="29E0CFFF" wp14:editId="30983D7C">
                  <wp:extent cx="2904134" cy="1675181"/>
                  <wp:effectExtent l="0" t="0" r="10795" b="20320"/>
                  <wp:docPr id="2073" name="Chart 2073">
                    <a:extLst xmlns:a="http://schemas.openxmlformats.org/drawingml/2006/main">
                      <a:ext uri="{FF2B5EF4-FFF2-40B4-BE49-F238E27FC236}">
                        <a16:creationId xmlns:a16="http://schemas.microsoft.com/office/drawing/2014/main" id="{B706C3B2-915B-4C24-A125-9A8A708CD2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4DB897B" w14:textId="77777777" w:rsidR="00B7540A" w:rsidRPr="00A42F0D" w:rsidRDefault="00B7540A" w:rsidP="00DB6C6E">
            <w:pPr>
              <w:pStyle w:val="afd"/>
              <w:spacing w:before="0" w:after="0"/>
              <w:rPr>
                <w:sz w:val="16"/>
              </w:rPr>
            </w:pPr>
            <w:r w:rsidRPr="0067228E">
              <w:t xml:space="preserve">Աղբյուրը՝ ՀՀ ՎԿ, ՀՀ ՖՆ հաշվարկներ </w:t>
            </w:r>
          </w:p>
        </w:tc>
        <w:tc>
          <w:tcPr>
            <w:tcW w:w="4963" w:type="dxa"/>
          </w:tcPr>
          <w:p w14:paraId="2F47DBA1" w14:textId="1A227307" w:rsidR="00FA2BC5" w:rsidRDefault="00B7540A" w:rsidP="00B7540A">
            <w:pPr>
              <w:pStyle w:val="afe"/>
              <w:rPr>
                <w:lang w:val="hy-AM"/>
              </w:rPr>
            </w:pPr>
            <w:r w:rsidRPr="00A42F0D">
              <w:rPr>
                <w:lang w:val="hy-AM"/>
              </w:rPr>
              <w:t>Գծապատկեր 1.19. ՀՆԱ աճ (%) և պահանջարկի բաղա</w:t>
            </w:r>
            <w:r w:rsidR="00BD4A1A" w:rsidRPr="00BD4A1A">
              <w:rPr>
                <w:lang w:val="hy-AM"/>
              </w:rPr>
              <w:t xml:space="preserve">- </w:t>
            </w:r>
            <w:r w:rsidRPr="00A42F0D">
              <w:rPr>
                <w:lang w:val="hy-AM"/>
              </w:rPr>
              <w:t>դրիչների նպաստումները ՀՆԱ աճին (տ.կ.)</w:t>
            </w:r>
          </w:p>
          <w:p w14:paraId="05360655" w14:textId="7795163A" w:rsidR="00B7540A" w:rsidRPr="00586097" w:rsidRDefault="00B7540A" w:rsidP="00B7540A">
            <w:pPr>
              <w:pStyle w:val="afe"/>
              <w:rPr>
                <w:sz w:val="22"/>
                <w:szCs w:val="22"/>
                <w:lang w:val="hy-AM"/>
              </w:rPr>
            </w:pPr>
            <w:r w:rsidRPr="00586097">
              <w:rPr>
                <w:rFonts w:eastAsiaTheme="majorEastAsia" w:cstheme="majorBidi"/>
                <w:color w:val="244061" w:themeColor="accent1" w:themeShade="80"/>
                <w:sz w:val="22"/>
                <w:szCs w:val="22"/>
              </w:rPr>
              <w:drawing>
                <wp:inline distT="0" distB="0" distL="0" distR="0" wp14:anchorId="5B7B7B56" wp14:editId="544A5169">
                  <wp:extent cx="2962275" cy="1698984"/>
                  <wp:effectExtent l="0" t="0" r="9525" b="15875"/>
                  <wp:docPr id="2074" name="Chart 2074">
                    <a:extLst xmlns:a="http://schemas.openxmlformats.org/drawingml/2006/main">
                      <a:ext uri="{FF2B5EF4-FFF2-40B4-BE49-F238E27FC236}">
                        <a16:creationId xmlns:a16="http://schemas.microsoft.com/office/drawing/2014/main" id="{9315E2B3-D3AE-476A-B7C4-ACF3898E8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49DABC5" w14:textId="77777777" w:rsidR="00B7540A" w:rsidRPr="00A42F0D" w:rsidRDefault="00B7540A" w:rsidP="00DB6C6E">
            <w:pPr>
              <w:pStyle w:val="afd"/>
              <w:spacing w:after="0"/>
              <w:contextualSpacing w:val="0"/>
              <w:rPr>
                <w:sz w:val="16"/>
              </w:rPr>
            </w:pPr>
            <w:r w:rsidRPr="0067228E">
              <w:t>Աղբյուրը՝ ՀՀ ՎԿ, ՀՀ ՖՆ հաշվարկներ</w:t>
            </w:r>
          </w:p>
        </w:tc>
      </w:tr>
    </w:tbl>
    <w:p w14:paraId="28557FAD" w14:textId="77777777" w:rsidR="00B7540A" w:rsidRPr="00B7540A" w:rsidRDefault="00B7540A" w:rsidP="00DE4931">
      <w:pPr>
        <w:spacing w:before="120" w:after="120" w:line="276" w:lineRule="auto"/>
        <w:ind w:firstLine="562"/>
        <w:rPr>
          <w:lang w:val="hy-AM"/>
        </w:rPr>
      </w:pPr>
      <w:r w:rsidRPr="00B7540A">
        <w:rPr>
          <w:rFonts w:eastAsiaTheme="majorEastAsia"/>
          <w:lang w:val="hy-AM"/>
        </w:rPr>
        <w:t>Չնայած հունվար-փետրվար ամիսների բացասական զարգացումներին և կորոնավիրուսի երրորդ ալիքին՝ մարտ ամսից տնտեսության բոլոր ճյուղերը սկսեցին վերականգնվել, իսկ մարտ-մայիս ամիսներին նախորդ տարվա նույն ամիսների նկատմամբ գրանցվեց տնտեսական ակտիվության (ՏԱՑ) աճ։ Արդյունքում, 2021թ. հունվար-մայիսին արձանագրվեց տնտեսական ակտիվության 4.3% աճ: Տնտեսական ակտիվության աճը պայմանավորված է եղել հիմնականում շինարարության (1.1 տոկոսային կետ) թողարկման իրական աճով, առևտուրը, արդյունաբերությունը և ծառայությունները նույնպես ունեցել են դրական նպաստումներ (համապատասխանաբար՝ 0.9, 0.5 և 0.4 տոկոսային կետեր)</w:t>
      </w:r>
      <w:r w:rsidRPr="00586097">
        <w:rPr>
          <w:rStyle w:val="FootnoteReference"/>
          <w:rFonts w:eastAsiaTheme="majorEastAsia"/>
        </w:rPr>
        <w:footnoteReference w:id="11"/>
      </w:r>
      <w:r w:rsidRPr="00B7540A">
        <w:rPr>
          <w:rFonts w:eastAsiaTheme="majorEastAsia"/>
          <w:lang w:val="hy-AM"/>
        </w:rPr>
        <w:t xml:space="preserve">: </w:t>
      </w:r>
    </w:p>
    <w:tbl>
      <w:tblPr>
        <w:tblStyle w:val="TableGrid12"/>
        <w:tblW w:w="0" w:type="auto"/>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5069"/>
        <w:gridCol w:w="4949"/>
      </w:tblGrid>
      <w:tr w:rsidR="00B7540A" w:rsidRPr="00586097" w14:paraId="5CA63B5B" w14:textId="77777777" w:rsidTr="00B7540A">
        <w:trPr>
          <w:trHeight w:val="4129"/>
        </w:trPr>
        <w:tc>
          <w:tcPr>
            <w:tcW w:w="5069" w:type="dxa"/>
            <w:shd w:val="clear" w:color="auto" w:fill="auto"/>
          </w:tcPr>
          <w:p w14:paraId="5215E38B" w14:textId="77777777" w:rsidR="00454E64" w:rsidRDefault="00B7540A" w:rsidP="00454E64">
            <w:pPr>
              <w:pStyle w:val="afe"/>
              <w:rPr>
                <w:lang w:val="hy-AM"/>
              </w:rPr>
            </w:pPr>
            <w:r w:rsidRPr="00A42F0D">
              <w:rPr>
                <w:lang w:val="hy-AM"/>
              </w:rPr>
              <w:t>Գծապատկեր 1.20. ՏԱՑ և տնտեսության ճյուղերի իրա</w:t>
            </w:r>
            <w:r w:rsidR="00454E64" w:rsidRPr="00454E64">
              <w:rPr>
                <w:lang w:val="hy-AM"/>
              </w:rPr>
              <w:t xml:space="preserve">- </w:t>
            </w:r>
            <w:r w:rsidRPr="00A42F0D">
              <w:rPr>
                <w:lang w:val="hy-AM"/>
              </w:rPr>
              <w:t>կան աճերը նախորդ տարվա նույն ժամանակահատ</w:t>
            </w:r>
            <w:r w:rsidR="00454E64" w:rsidRPr="00454E64">
              <w:rPr>
                <w:lang w:val="hy-AM"/>
              </w:rPr>
              <w:t xml:space="preserve">- </w:t>
            </w:r>
            <w:r w:rsidRPr="00A42F0D">
              <w:rPr>
                <w:lang w:val="hy-AM"/>
              </w:rPr>
              <w:t>վածի նկատմամբ (%)</w:t>
            </w:r>
          </w:p>
          <w:p w14:paraId="730FCB0A" w14:textId="3DD735AA" w:rsidR="00B7540A" w:rsidRPr="00586097" w:rsidRDefault="00B7540A" w:rsidP="00454E64">
            <w:pPr>
              <w:pStyle w:val="afe"/>
              <w:rPr>
                <w:sz w:val="22"/>
                <w:szCs w:val="22"/>
                <w:lang w:val="hy-AM"/>
              </w:rPr>
            </w:pPr>
            <w:r w:rsidRPr="00586097">
              <w:rPr>
                <w:sz w:val="22"/>
                <w:szCs w:val="22"/>
              </w:rPr>
              <w:drawing>
                <wp:inline distT="0" distB="0" distL="0" distR="0" wp14:anchorId="0B92CCC4" wp14:editId="18C163FB">
                  <wp:extent cx="3064510" cy="2176145"/>
                  <wp:effectExtent l="0" t="0" r="2540" b="14605"/>
                  <wp:docPr id="2075" name="Chart 2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FED2B81" w14:textId="151CBF04" w:rsidR="00B7540A" w:rsidRPr="00A42F0D" w:rsidRDefault="00B7540A" w:rsidP="00300DFD">
            <w:pPr>
              <w:pStyle w:val="afd"/>
              <w:spacing w:before="0" w:after="0"/>
              <w:rPr>
                <w:sz w:val="16"/>
              </w:rPr>
            </w:pPr>
            <w:r w:rsidRPr="0067228E">
              <w:t>Աղբյուրը՝ ՀՀ ՎԿ</w:t>
            </w:r>
          </w:p>
        </w:tc>
        <w:tc>
          <w:tcPr>
            <w:tcW w:w="4949" w:type="dxa"/>
          </w:tcPr>
          <w:p w14:paraId="08AACADC" w14:textId="3FF63274" w:rsidR="00B7540A" w:rsidRPr="00586097" w:rsidRDefault="00B7540A" w:rsidP="00454E64">
            <w:pPr>
              <w:pStyle w:val="afe"/>
              <w:rPr>
                <w:sz w:val="22"/>
                <w:szCs w:val="22"/>
                <w:lang w:val="hy-AM"/>
              </w:rPr>
            </w:pPr>
            <w:r w:rsidRPr="00A42F0D">
              <w:drawing>
                <wp:anchor distT="0" distB="0" distL="114300" distR="114300" simplePos="0" relativeHeight="251661824" behindDoc="1" locked="0" layoutInCell="1" allowOverlap="1" wp14:anchorId="62D71C6F" wp14:editId="37F8007E">
                  <wp:simplePos x="0" y="0"/>
                  <wp:positionH relativeFrom="column">
                    <wp:posOffset>-5715</wp:posOffset>
                  </wp:positionH>
                  <wp:positionV relativeFrom="paragraph">
                    <wp:posOffset>538480</wp:posOffset>
                  </wp:positionV>
                  <wp:extent cx="3028950" cy="2176145"/>
                  <wp:effectExtent l="0" t="0" r="0" b="14605"/>
                  <wp:wrapTight wrapText="bothSides">
                    <wp:wrapPolygon edited="0">
                      <wp:start x="0" y="0"/>
                      <wp:lineTo x="0" y="21556"/>
                      <wp:lineTo x="21464" y="21556"/>
                      <wp:lineTo x="21464" y="0"/>
                      <wp:lineTo x="0" y="0"/>
                    </wp:wrapPolygon>
                  </wp:wrapTight>
                  <wp:docPr id="2076" name="Chart 2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V relativeFrom="margin">
                    <wp14:pctHeight>0</wp14:pctHeight>
                  </wp14:sizeRelV>
                </wp:anchor>
              </w:drawing>
            </w:r>
            <w:r w:rsidRPr="00A42F0D">
              <w:rPr>
                <w:lang w:val="hy-AM"/>
              </w:rPr>
              <w:t>Գծապատկեր 1.21. ՏԱՑ և տնտեսության ճյուղերի իրական աճերը նախորդ տարվա նույն ամսվա նկատ</w:t>
            </w:r>
            <w:r w:rsidR="00454E64" w:rsidRPr="00454E64">
              <w:rPr>
                <w:lang w:val="hy-AM"/>
              </w:rPr>
              <w:t xml:space="preserve">- </w:t>
            </w:r>
            <w:r w:rsidRPr="00A42F0D">
              <w:rPr>
                <w:lang w:val="hy-AM"/>
              </w:rPr>
              <w:t>մամբ (%)</w:t>
            </w:r>
          </w:p>
          <w:p w14:paraId="1B3508FB" w14:textId="77777777" w:rsidR="00B7540A" w:rsidRPr="00A42F0D" w:rsidRDefault="00B7540A" w:rsidP="00300DFD">
            <w:pPr>
              <w:pStyle w:val="afd"/>
              <w:spacing w:before="0" w:after="60"/>
              <w:contextualSpacing w:val="0"/>
              <w:rPr>
                <w:sz w:val="16"/>
              </w:rPr>
            </w:pPr>
            <w:r w:rsidRPr="0067228E">
              <w:t>Աղբյուրը՝ ՀՀ ՎԿ</w:t>
            </w:r>
            <w:r w:rsidRPr="0067228E" w:rsidDel="00DA0563">
              <w:t xml:space="preserve"> </w:t>
            </w:r>
          </w:p>
        </w:tc>
      </w:tr>
      <w:tr w:rsidR="00B7540A" w:rsidRPr="00C024D9" w14:paraId="3D6057FC" w14:textId="77777777" w:rsidTr="00B7540A">
        <w:trPr>
          <w:trHeight w:val="411"/>
        </w:trPr>
        <w:tc>
          <w:tcPr>
            <w:tcW w:w="5069" w:type="dxa"/>
          </w:tcPr>
          <w:p w14:paraId="703FF868" w14:textId="30FC20A0" w:rsidR="00B7540A" w:rsidRPr="00586097" w:rsidRDefault="00B7540A" w:rsidP="00577017">
            <w:pPr>
              <w:pStyle w:val="afe"/>
              <w:jc w:val="left"/>
              <w:rPr>
                <w:sz w:val="22"/>
                <w:szCs w:val="22"/>
                <w:lang w:val="hy-AM"/>
              </w:rPr>
            </w:pPr>
            <w:r w:rsidRPr="008E2676">
              <w:rPr>
                <w:lang w:val="hy-AM"/>
              </w:rPr>
              <w:t>Գծապատկեր 1.22. Տնտեսության ճյուղերի նպաստում</w:t>
            </w:r>
            <w:r w:rsidR="00577017" w:rsidRPr="00577017">
              <w:rPr>
                <w:lang w:val="hy-AM"/>
              </w:rPr>
              <w:t xml:space="preserve">- </w:t>
            </w:r>
            <w:r w:rsidRPr="008E2676">
              <w:rPr>
                <w:lang w:val="hy-AM"/>
              </w:rPr>
              <w:t>ները ՏԱՑ-ին (տ.կ.)</w:t>
            </w:r>
            <w:r w:rsidRPr="00586097">
              <w:rPr>
                <w:sz w:val="22"/>
                <w:szCs w:val="22"/>
                <w:lang w:val="hy-AM"/>
              </w:rPr>
              <w:t xml:space="preserve"> </w:t>
            </w:r>
            <w:r w:rsidRPr="00586097">
              <w:rPr>
                <w:sz w:val="22"/>
                <w:szCs w:val="22"/>
              </w:rPr>
              <w:drawing>
                <wp:inline distT="0" distB="0" distL="0" distR="0" wp14:anchorId="255A5291" wp14:editId="7A81F052">
                  <wp:extent cx="3095625" cy="2134235"/>
                  <wp:effectExtent l="0" t="0" r="9525" b="18415"/>
                  <wp:docPr id="2077" name="Chart 20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129B2A1" w14:textId="36BC5A49" w:rsidR="00B7540A" w:rsidRPr="008E2676" w:rsidRDefault="00B7540A" w:rsidP="0067228E">
            <w:pPr>
              <w:pStyle w:val="afd"/>
              <w:spacing w:after="0"/>
              <w:rPr>
                <w:sz w:val="16"/>
              </w:rPr>
            </w:pPr>
            <w:r w:rsidRPr="0067228E">
              <w:t xml:space="preserve">Աղբյուրը՝ ՀՀ ՎԿ, ՀՀ ՖՆ հաշվարկներ </w:t>
            </w:r>
          </w:p>
        </w:tc>
        <w:tc>
          <w:tcPr>
            <w:tcW w:w="4949" w:type="dxa"/>
          </w:tcPr>
          <w:p w14:paraId="797FEB39" w14:textId="77777777" w:rsidR="00577017" w:rsidRDefault="00B7540A" w:rsidP="00577017">
            <w:pPr>
              <w:pStyle w:val="afe"/>
              <w:rPr>
                <w:lang w:val="hy-AM"/>
              </w:rPr>
            </w:pPr>
            <w:r w:rsidRPr="008E2676">
              <w:rPr>
                <w:lang w:val="hy-AM"/>
              </w:rPr>
              <w:t>Գծապատկեր 1.23. Տնտեսության ճյուղերի նպաստում</w:t>
            </w:r>
            <w:r w:rsidR="00577017" w:rsidRPr="00577017">
              <w:rPr>
                <w:lang w:val="hy-AM"/>
              </w:rPr>
              <w:t xml:space="preserve">- </w:t>
            </w:r>
            <w:r w:rsidRPr="008E2676">
              <w:rPr>
                <w:lang w:val="hy-AM"/>
              </w:rPr>
              <w:t>ները ՏԱՑ-ին նախորդ տարվա նույն ամսվա նկատ</w:t>
            </w:r>
            <w:r w:rsidR="00577017" w:rsidRPr="00577017">
              <w:rPr>
                <w:lang w:val="hy-AM"/>
              </w:rPr>
              <w:t xml:space="preserve">- </w:t>
            </w:r>
            <w:r w:rsidRPr="008E2676">
              <w:rPr>
                <w:lang w:val="hy-AM"/>
              </w:rPr>
              <w:t>մամբ (տ.կ.)</w:t>
            </w:r>
          </w:p>
          <w:p w14:paraId="17B6A647" w14:textId="601DFD01" w:rsidR="00B7540A" w:rsidRPr="00586097" w:rsidRDefault="00B7540A" w:rsidP="00577017">
            <w:pPr>
              <w:pStyle w:val="afe"/>
              <w:rPr>
                <w:sz w:val="22"/>
                <w:szCs w:val="22"/>
                <w:lang w:val="hy-AM"/>
              </w:rPr>
            </w:pPr>
            <w:r w:rsidRPr="00586097">
              <w:rPr>
                <w:sz w:val="22"/>
                <w:szCs w:val="22"/>
              </w:rPr>
              <w:drawing>
                <wp:inline distT="0" distB="0" distL="0" distR="0" wp14:anchorId="4795D137" wp14:editId="5987F562">
                  <wp:extent cx="3019425" cy="1959429"/>
                  <wp:effectExtent l="0" t="0" r="9525" b="3175"/>
                  <wp:docPr id="2078" name="Chart 20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515B8D3" w14:textId="77777777" w:rsidR="00B7540A" w:rsidRPr="008E2676" w:rsidRDefault="00B7540A" w:rsidP="0067228E">
            <w:pPr>
              <w:pStyle w:val="afd"/>
              <w:spacing w:after="0"/>
              <w:rPr>
                <w:sz w:val="16"/>
              </w:rPr>
            </w:pPr>
            <w:r w:rsidRPr="0067228E">
              <w:t>Աղբյուրը՝ ՀՀ ՎԿ, ՀՀ ՖՆ հաշվարկներ</w:t>
            </w:r>
          </w:p>
        </w:tc>
      </w:tr>
    </w:tbl>
    <w:p w14:paraId="396422DF" w14:textId="77777777" w:rsidR="00B7540A" w:rsidRPr="00B7540A" w:rsidRDefault="00B7540A" w:rsidP="00137AD1">
      <w:pPr>
        <w:spacing w:after="0" w:line="276" w:lineRule="auto"/>
        <w:ind w:firstLine="562"/>
        <w:rPr>
          <w:lang w:val="hy-AM"/>
        </w:rPr>
      </w:pPr>
      <w:r w:rsidRPr="00B7540A">
        <w:rPr>
          <w:rFonts w:eastAsiaTheme="majorEastAsia"/>
          <w:b/>
          <w:bCs/>
          <w:lang w:val="hy-AM"/>
        </w:rPr>
        <w:t>Համավարակի և Արցախյան պատերազմի բացասական ազդեցություններով պայմանավորված ներքին պահանջարկի նվազման տեմպերը շարունակվեցին նաև 2021թ. առաջին եռամսյակում:</w:t>
      </w:r>
      <w:r w:rsidRPr="00B7540A">
        <w:rPr>
          <w:rFonts w:eastAsiaTheme="majorEastAsia"/>
          <w:lang w:val="hy-AM"/>
        </w:rPr>
        <w:t xml:space="preserve"> 2021թ. հունվար-մարտին, շարունակելով կրել համավարակի և Արցախյան պատերազմի բացասական ազդեցությունները, տնտեսական անկումը պայմանավորվել է մասնավոր հատվածի ներքին պահանջարկի (սպառման և ներդրումների) նվազմամբ: Իսկ խթանող հարկաբյուջետային քաղաքականության արդյունքում պետական սպառման և պետական ներդրումների աճն էականորեն հակազդել է տնտեսական անկմանը։ Նույն ժամանակահատվածում արտահանումն ու ներմուծումը շարունակել են նվազել: </w:t>
      </w:r>
    </w:p>
    <w:p w14:paraId="2EC8504D" w14:textId="2DB25B84" w:rsidR="003D37BF" w:rsidRPr="00DC3BC0" w:rsidRDefault="00B7540A" w:rsidP="006102BB">
      <w:pPr>
        <w:spacing w:line="276" w:lineRule="auto"/>
        <w:ind w:firstLine="562"/>
        <w:rPr>
          <w:rFonts w:eastAsiaTheme="majorEastAsia"/>
          <w:lang w:val="hy-AM"/>
        </w:rPr>
      </w:pPr>
      <w:r w:rsidRPr="00B7540A">
        <w:rPr>
          <w:rFonts w:eastAsiaTheme="majorEastAsia"/>
          <w:b/>
          <w:bCs/>
          <w:lang w:val="hy-AM"/>
        </w:rPr>
        <w:t>Առաջին եռամսյակին հաջորդող ամիսներին նկատվեց ներքին պահանջարկի (մասնավորապես՝ սպառման) վերականգնում՝ պայմանավորված անցած տարի մասնավոր հատվածում կուտակված նախազգուշական խնայողությունների օգտագործմամբ, դրամական փոխանցումների աճով և բարձր գնաճային սպասումներով:</w:t>
      </w:r>
      <w:r w:rsidRPr="00B7540A">
        <w:rPr>
          <w:rFonts w:eastAsiaTheme="majorEastAsia"/>
          <w:lang w:val="hy-AM"/>
        </w:rPr>
        <w:t xml:space="preserve"> Սպառման վերականգնման մասին են վկայում նույն ժամանակաշրջանում առևտրի և ծառայությունների վերականգնումը:</w:t>
      </w:r>
    </w:p>
    <w:tbl>
      <w:tblPr>
        <w:tblStyle w:val="TableGrid1113112"/>
        <w:tblpPr w:leftFromText="180" w:rightFromText="180" w:vertAnchor="text" w:horzAnchor="margin" w:tblpX="-5" w:tblpY="126"/>
        <w:tblW w:w="9923" w:type="dxa"/>
        <w:shd w:val="clear" w:color="auto" w:fill="DBE5F1" w:themeFill="accent1" w:themeFillTint="33"/>
        <w:tblLayout w:type="fixed"/>
        <w:tblLook w:val="04A0" w:firstRow="1" w:lastRow="0" w:firstColumn="1" w:lastColumn="0" w:noHBand="0" w:noVBand="1"/>
      </w:tblPr>
      <w:tblGrid>
        <w:gridCol w:w="9923"/>
      </w:tblGrid>
      <w:tr w:rsidR="00B7540A" w:rsidRPr="00C024D9" w14:paraId="5EB7D3C0" w14:textId="77777777" w:rsidTr="00B7540A">
        <w:tc>
          <w:tcPr>
            <w:tcW w:w="9918" w:type="dxa"/>
            <w:shd w:val="clear" w:color="auto" w:fill="DBE5F1" w:themeFill="accent1" w:themeFillTint="33"/>
          </w:tcPr>
          <w:p w14:paraId="55BD6AD2" w14:textId="77777777" w:rsidR="00B7540A" w:rsidRPr="00586097" w:rsidRDefault="00B7540A" w:rsidP="00B7540A">
            <w:pPr>
              <w:pStyle w:val="afc"/>
              <w:spacing w:line="276" w:lineRule="auto"/>
            </w:pPr>
            <w:r w:rsidRPr="00586097">
              <w:t xml:space="preserve">Ներդիր 1. Կորոնավիրուսային համավարակի </w:t>
            </w:r>
            <w:r w:rsidRPr="00586097">
              <w:rPr>
                <w:lang w:val="sk-SK"/>
              </w:rPr>
              <w:t>(COVID-19)</w:t>
            </w:r>
            <w:r w:rsidRPr="00586097">
              <w:t xml:space="preserve"> զարգացման դինամիկան ՀՀ-ում</w:t>
            </w:r>
          </w:p>
        </w:tc>
      </w:tr>
      <w:tr w:rsidR="00B7540A" w:rsidRPr="00586097" w14:paraId="60ADBB27" w14:textId="77777777" w:rsidTr="00B7540A">
        <w:tc>
          <w:tcPr>
            <w:tcW w:w="9923" w:type="dxa"/>
            <w:shd w:val="clear" w:color="auto" w:fill="DBE5F1" w:themeFill="accent1" w:themeFillTint="33"/>
          </w:tcPr>
          <w:p w14:paraId="4D43684E" w14:textId="77777777" w:rsidR="00B7540A" w:rsidRPr="00B7540A" w:rsidRDefault="00B7540A" w:rsidP="00B7540A">
            <w:pPr>
              <w:spacing w:line="276" w:lineRule="auto"/>
              <w:rPr>
                <w:lang w:val="hy-AM"/>
              </w:rPr>
            </w:pPr>
            <w:r w:rsidRPr="00B7540A">
              <w:rPr>
                <w:rFonts w:eastAsiaTheme="majorEastAsia"/>
                <w:lang w:val="hy-AM"/>
              </w:rPr>
              <w:t>ՀՀ-ում կորոնավիրուսի համավարակի տարածումը շարունակվեց նաև 2021թ.:</w:t>
            </w:r>
          </w:p>
          <w:tbl>
            <w:tblPr>
              <w:tblStyle w:val="LightShading-Accent2"/>
              <w:tblW w:w="9779" w:type="dxa"/>
              <w:tblLayout w:type="fixed"/>
              <w:tblLook w:val="04A0" w:firstRow="1" w:lastRow="0" w:firstColumn="1" w:lastColumn="0" w:noHBand="0" w:noVBand="1"/>
            </w:tblPr>
            <w:tblGrid>
              <w:gridCol w:w="9779"/>
            </w:tblGrid>
            <w:tr w:rsidR="00B7540A" w:rsidRPr="00C024D9" w14:paraId="763D8FCB" w14:textId="77777777" w:rsidTr="00B7540A">
              <w:trPr>
                <w:cnfStyle w:val="100000000000" w:firstRow="1" w:lastRow="0" w:firstColumn="0" w:lastColumn="0" w:oddVBand="0" w:evenVBand="0" w:oddHBand="0" w:evenHBand="0" w:firstRowFirstColumn="0" w:firstRowLastColumn="0" w:lastRowFirstColumn="0" w:lastRowLastColumn="0"/>
                <w:trHeight w:val="3199"/>
              </w:trPr>
              <w:tc>
                <w:tcPr>
                  <w:cnfStyle w:val="001000000000" w:firstRow="0" w:lastRow="0" w:firstColumn="1" w:lastColumn="0" w:oddVBand="0" w:evenVBand="0" w:oddHBand="0" w:evenHBand="0" w:firstRowFirstColumn="0" w:firstRowLastColumn="0" w:lastRowFirstColumn="0" w:lastRowLastColumn="0"/>
                  <w:tcW w:w="9779" w:type="dxa"/>
                  <w:tcBorders>
                    <w:top w:val="none" w:sz="0" w:space="0" w:color="auto"/>
                    <w:left w:val="none" w:sz="0" w:space="0" w:color="auto"/>
                    <w:bottom w:val="none" w:sz="0" w:space="0" w:color="auto"/>
                    <w:right w:val="none" w:sz="0" w:space="0" w:color="auto"/>
                  </w:tcBorders>
                </w:tcPr>
                <w:p w14:paraId="2E056655" w14:textId="77777777" w:rsidR="00B7540A" w:rsidRPr="00B7540A" w:rsidRDefault="00B7540A" w:rsidP="00C024D9">
                  <w:pPr>
                    <w:framePr w:hSpace="180" w:wrap="around" w:vAnchor="text" w:hAnchor="margin" w:x="-5" w:y="126"/>
                    <w:spacing w:line="276" w:lineRule="auto"/>
                    <w:ind w:firstLine="0"/>
                    <w:rPr>
                      <w:lang w:val="hy-AM"/>
                    </w:rPr>
                  </w:pPr>
                  <w:r w:rsidRPr="00586097">
                    <w:rPr>
                      <w:rFonts w:eastAsiaTheme="majorEastAsia" w:cstheme="majorBidi"/>
                      <w:noProof/>
                      <w:color w:val="244061" w:themeColor="accent1" w:themeShade="80"/>
                    </w:rPr>
                    <w:drawing>
                      <wp:inline distT="0" distB="0" distL="0" distR="0" wp14:anchorId="4FDD989A" wp14:editId="1A88DDB1">
                        <wp:extent cx="3587750" cy="1879600"/>
                        <wp:effectExtent l="0" t="0" r="12700" b="6350"/>
                        <wp:docPr id="2079" name="Chart 20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B7540A">
                    <w:rPr>
                      <w:rFonts w:eastAsiaTheme="majorEastAsia" w:cstheme="majorBidi"/>
                      <w:color w:val="244061" w:themeColor="accent1" w:themeShade="80"/>
                      <w:lang w:val="hy-AM"/>
                    </w:rPr>
                    <w:t xml:space="preserve"> </w:t>
                  </w:r>
                  <w:r w:rsidRPr="00586097">
                    <w:rPr>
                      <w:rFonts w:eastAsiaTheme="majorEastAsia" w:cstheme="majorBidi"/>
                      <w:noProof/>
                      <w:color w:val="244061" w:themeColor="accent1" w:themeShade="80"/>
                    </w:rPr>
                    <w:drawing>
                      <wp:inline distT="0" distB="0" distL="0" distR="0" wp14:anchorId="0346D9F0" wp14:editId="50236E22">
                        <wp:extent cx="2336800" cy="1879600"/>
                        <wp:effectExtent l="0" t="0" r="25400" b="25400"/>
                        <wp:docPr id="34" name="Chart 34">
                          <a:extLst xmlns:a="http://schemas.openxmlformats.org/drawingml/2006/main">
                            <a:ext uri="{FF2B5EF4-FFF2-40B4-BE49-F238E27FC236}">
                              <a16:creationId xmlns:a16="http://schemas.microsoft.com/office/drawing/2014/main" id="{C774C9BD-AFA9-4100-BDD1-877A41595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033973C" w14:textId="77777777" w:rsidR="00B7540A" w:rsidRPr="00B7540A" w:rsidRDefault="00B7540A" w:rsidP="00C024D9">
                  <w:pPr>
                    <w:framePr w:hSpace="180" w:wrap="around" w:vAnchor="text" w:hAnchor="margin" w:x="-5" w:y="126"/>
                    <w:spacing w:line="276" w:lineRule="auto"/>
                    <w:rPr>
                      <w:lang w:val="hy-AM"/>
                    </w:rPr>
                  </w:pPr>
                  <w:r w:rsidRPr="00B7540A">
                    <w:rPr>
                      <w:rFonts w:eastAsiaTheme="majorEastAsia"/>
                      <w:lang w:val="hy-AM"/>
                    </w:rPr>
                    <w:t>Աղբյուրը՝ ՀՀ առողջապահության նախարարություն</w:t>
                  </w:r>
                </w:p>
              </w:tc>
            </w:tr>
          </w:tbl>
          <w:p w14:paraId="27A28A75" w14:textId="77777777" w:rsidR="003858CC" w:rsidRDefault="003858CC" w:rsidP="00B7540A">
            <w:pPr>
              <w:spacing w:line="276" w:lineRule="auto"/>
              <w:rPr>
                <w:rFonts w:eastAsiaTheme="majorEastAsia"/>
                <w:lang w:val="hy-AM"/>
              </w:rPr>
            </w:pPr>
          </w:p>
          <w:p w14:paraId="61DECEC5" w14:textId="09C6B88C" w:rsidR="00B7540A" w:rsidRPr="00B7540A" w:rsidRDefault="00B7540A" w:rsidP="00B7540A">
            <w:pPr>
              <w:spacing w:line="276" w:lineRule="auto"/>
              <w:rPr>
                <w:lang w:val="hy-AM"/>
              </w:rPr>
            </w:pPr>
            <w:r w:rsidRPr="00B7540A">
              <w:rPr>
                <w:rFonts w:eastAsiaTheme="majorEastAsia"/>
                <w:lang w:val="hy-AM"/>
              </w:rPr>
              <w:t>Իմունականխարգելման 2021-2025թթ. ազգային ծրագրով նախատեսվում է կորոնավիրուսային հիվանդության բնակչության ռիսկային խմբերի շրջանում զանգվածային պատվաստումների իրականացում, 2021թ</w:t>
            </w:r>
            <w:r w:rsidRPr="00B7540A">
              <w:rPr>
                <w:rFonts w:ascii="Cambria Math" w:eastAsiaTheme="majorEastAsia" w:hAnsi="Cambria Math" w:cs="Cambria Math"/>
                <w:lang w:val="hy-AM"/>
              </w:rPr>
              <w:t>․</w:t>
            </w:r>
            <w:r w:rsidRPr="00B7540A">
              <w:rPr>
                <w:rFonts w:eastAsiaTheme="majorEastAsia"/>
                <w:lang w:val="hy-AM"/>
              </w:rPr>
              <w:t xml:space="preserve"> համավարակի աստիճանական չեզոքացում իսկ միջնաժամկետում՝ կայուն համաճարակային իրավիճակ (լաբորատոր հաստատված եզակի դեպքեր)։ Ընդ որում՝ զանգվածային պատվաստումների իրականացումն արդեն իսկ մեկնարկել է, ինչի շրջանակներում՝ </w:t>
            </w:r>
          </w:p>
          <w:p w14:paraId="3BAF425E" w14:textId="77777777" w:rsidR="00B7540A" w:rsidRPr="00B7540A" w:rsidRDefault="00B7540A" w:rsidP="00B7540A">
            <w:pPr>
              <w:spacing w:line="276" w:lineRule="auto"/>
              <w:rPr>
                <w:lang w:val="hy-AM"/>
              </w:rPr>
            </w:pPr>
            <w:r w:rsidRPr="00B7540A">
              <w:rPr>
                <w:rFonts w:eastAsiaTheme="majorEastAsia"/>
                <w:lang w:val="hy-AM"/>
              </w:rPr>
              <w:t>Մարտի 28-ին Հայաստան է ներկրվել «AstraZeneca» պատվաստանյութի առաջին խմբաքանակը` 24000 դեղաչափ: Նախատեսված է եղել 65 և բարձր տարիքի մարդկանց, բուժաշխատողների, 16-54 տարեկան քրոնիկ հիվանդների և  սոցիալական խնամքի կենտրոնի աշխատողների պատվաստման համար։</w:t>
            </w:r>
          </w:p>
          <w:p w14:paraId="4D91F214" w14:textId="77777777" w:rsidR="00B7540A" w:rsidRPr="00B7540A" w:rsidRDefault="00B7540A" w:rsidP="00B7540A">
            <w:pPr>
              <w:spacing w:line="276" w:lineRule="auto"/>
              <w:rPr>
                <w:lang w:val="hy-AM"/>
              </w:rPr>
            </w:pPr>
            <w:r w:rsidRPr="00B7540A">
              <w:rPr>
                <w:rFonts w:eastAsiaTheme="majorEastAsia"/>
                <w:lang w:val="hy-AM"/>
              </w:rPr>
              <w:t>Ապրիլի 8-ին ներկրվել է «Sputnik-V» պատվաստանյութի առաջին խմբաքանակը՝ 15000 դեղաչափ` 7500 անձի համար։</w:t>
            </w:r>
            <w:r w:rsidRPr="00B7540A">
              <w:rPr>
                <w:rFonts w:ascii="Calibri" w:eastAsiaTheme="majorEastAsia" w:hAnsi="Calibri" w:cs="Calibri"/>
                <w:lang w:val="hy-AM"/>
              </w:rPr>
              <w:t> </w:t>
            </w:r>
          </w:p>
          <w:p w14:paraId="7300D29D" w14:textId="77777777" w:rsidR="00B7540A" w:rsidRPr="00B7540A" w:rsidRDefault="00B7540A" w:rsidP="00B7540A">
            <w:pPr>
              <w:spacing w:line="276" w:lineRule="auto"/>
              <w:rPr>
                <w:lang w:val="hy-AM"/>
              </w:rPr>
            </w:pPr>
            <w:r w:rsidRPr="00B7540A">
              <w:rPr>
                <w:rFonts w:eastAsiaTheme="majorEastAsia"/>
                <w:lang w:val="hy-AM"/>
              </w:rPr>
              <w:t>Ապրիլի 26-ին ներկրվել է «Sputnik-V» պատվաստանյութի նոր խմբաքանակ` 14000 անձի համար, իսկ 1000 մարդու պատվաստման համար Ռուսաստանը նվիրել է լրացուցիչ 2000 միավոր դեղաչափ։</w:t>
            </w:r>
          </w:p>
          <w:p w14:paraId="019CB9B7" w14:textId="77777777" w:rsidR="00B7540A" w:rsidRPr="00B7540A" w:rsidRDefault="00B7540A" w:rsidP="00B7540A">
            <w:pPr>
              <w:spacing w:line="276" w:lineRule="auto"/>
              <w:rPr>
                <w:lang w:val="hy-AM"/>
              </w:rPr>
            </w:pPr>
            <w:r w:rsidRPr="00B7540A">
              <w:rPr>
                <w:rFonts w:eastAsiaTheme="majorEastAsia"/>
                <w:lang w:val="hy-AM"/>
              </w:rPr>
              <w:t xml:space="preserve">Մայիսի 12-ին 14000 երկրորդ դեղաչափ «Sputnik-V» պատվաստանյութ է ներկրվել: Դրանք նախատեսված են եղել 18-54 տարեկան` բուժաշխատողների, քրոնիկ հիվանդների, սոցիալական խնամքի կենտրոնների բնակիչների և աշխատակիցների համար: </w:t>
            </w:r>
          </w:p>
          <w:p w14:paraId="748D4B83" w14:textId="77777777" w:rsidR="00B7540A" w:rsidRPr="00B7540A" w:rsidRDefault="00B7540A" w:rsidP="00B7540A">
            <w:pPr>
              <w:spacing w:line="276" w:lineRule="auto"/>
              <w:rPr>
                <w:lang w:val="hy-AM"/>
              </w:rPr>
            </w:pPr>
            <w:r w:rsidRPr="00B7540A">
              <w:rPr>
                <w:rFonts w:eastAsiaTheme="majorEastAsia"/>
                <w:lang w:val="hy-AM"/>
              </w:rPr>
              <w:t>Մայիսի 1-ին ներկրվել է ՉԺՀ կառավարության կողմից ՀՀ-ին որպես նվիրատվություն տրամադրված «Կորոնավակ» պատվաստանյութը` 100 հազար դեղաչափ` 50 հազար անձի համար: Պատվաստանյութով կարող են պատվաստվել 18-ից բարձր բոլոր քաղաքացիները` ըստ դիմելիության և կամավորության սկզբունքի։</w:t>
            </w:r>
          </w:p>
          <w:p w14:paraId="6B96DCF8" w14:textId="77777777" w:rsidR="00B7540A" w:rsidRPr="00B7540A" w:rsidRDefault="00B7540A" w:rsidP="00B7540A">
            <w:pPr>
              <w:spacing w:line="276" w:lineRule="auto"/>
              <w:rPr>
                <w:lang w:val="hy-AM"/>
              </w:rPr>
            </w:pPr>
            <w:r w:rsidRPr="00B7540A">
              <w:rPr>
                <w:rFonts w:eastAsiaTheme="majorEastAsia"/>
                <w:lang w:val="hy-AM"/>
              </w:rPr>
              <w:t>Մայիսի 17-ին ներկրվել է «AstraZeneca» պատվաստանյութի երկրորդ խմբաքանակը` 50 հազար դեղաչափ:</w:t>
            </w:r>
          </w:p>
          <w:p w14:paraId="15A80F8E" w14:textId="77777777" w:rsidR="00B7540A" w:rsidRPr="00B7540A" w:rsidRDefault="00B7540A" w:rsidP="00B7540A">
            <w:pPr>
              <w:spacing w:line="276" w:lineRule="auto"/>
              <w:rPr>
                <w:lang w:val="hy-AM"/>
              </w:rPr>
            </w:pPr>
            <w:r w:rsidRPr="00B7540A">
              <w:rPr>
                <w:rFonts w:eastAsiaTheme="majorEastAsia"/>
                <w:lang w:val="hy-AM"/>
              </w:rPr>
              <w:t xml:space="preserve">«AstraZeneca»-ով կարող են պատվաստվել ՀՀ 18 տարեկանից բարձր բոլոր քաղաքացիները, ինչպես նաև օտարերկրացիները: </w:t>
            </w:r>
          </w:p>
          <w:p w14:paraId="6B697EFE" w14:textId="77777777" w:rsidR="00B7540A" w:rsidRPr="00B7540A" w:rsidRDefault="00B7540A" w:rsidP="00B7540A">
            <w:pPr>
              <w:spacing w:line="276" w:lineRule="auto"/>
              <w:rPr>
                <w:lang w:val="hy-AM"/>
              </w:rPr>
            </w:pPr>
            <w:r w:rsidRPr="00B7540A">
              <w:rPr>
                <w:rFonts w:eastAsiaTheme="majorEastAsia"/>
                <w:lang w:val="hy-AM"/>
              </w:rPr>
              <w:t xml:space="preserve">Մայիսի 22-ին «Sputnik-V» պատվաստանյութից օգտվելու հնարավորություններն ընդլայնվել են և քրոնիկ հիվանդների համար հանվել է պատվաստումների մինչև 54 տարիքային շեմը։ </w:t>
            </w:r>
          </w:p>
          <w:p w14:paraId="4939D042" w14:textId="77777777" w:rsidR="00B7540A" w:rsidRPr="00B7540A" w:rsidRDefault="00B7540A" w:rsidP="00B7540A">
            <w:pPr>
              <w:spacing w:line="276" w:lineRule="auto"/>
              <w:rPr>
                <w:lang w:val="hy-AM"/>
              </w:rPr>
            </w:pPr>
            <w:r w:rsidRPr="00B7540A">
              <w:rPr>
                <w:rFonts w:eastAsiaTheme="majorEastAsia"/>
                <w:lang w:val="hy-AM"/>
              </w:rPr>
              <w:t xml:space="preserve">Հունիսի 28-ից սկսած ՀՀ-ում 18 տարեկանից բարձր անձիք կարող են պատվաստվել առկա պատվաստանյութերից յուրաքանչյուրով՝ ըստ նախընտրության: </w:t>
            </w:r>
          </w:p>
          <w:p w14:paraId="49F742BA" w14:textId="77777777" w:rsidR="00B7540A" w:rsidRPr="00B7540A" w:rsidRDefault="00B7540A" w:rsidP="00B7540A">
            <w:pPr>
              <w:spacing w:line="276" w:lineRule="auto"/>
              <w:rPr>
                <w:lang w:val="hy-AM"/>
              </w:rPr>
            </w:pPr>
            <w:r w:rsidRPr="00B7540A">
              <w:rPr>
                <w:rFonts w:eastAsiaTheme="majorEastAsia"/>
                <w:lang w:val="hy-AM"/>
              </w:rPr>
              <w:t>2021թ. հուլիսի 7-ի դրությամբ ընդհանուր առմամբ ՀՀ ներմուծվել է 294,460 դեղաչափ պատվաստանյութ, որից 120,060  դեղաչափ «Sputnik-V», 100,000 դեղաչափ CoronaVac և 74,400 դեղաչափ «AstraZeneca»:</w:t>
            </w:r>
            <w:r w:rsidRPr="00B7540A" w:rsidDel="007C751A">
              <w:rPr>
                <w:rFonts w:eastAsiaTheme="majorEastAsia"/>
                <w:lang w:val="hy-AM"/>
              </w:rPr>
              <w:t xml:space="preserve"> </w:t>
            </w:r>
            <w:r w:rsidRPr="00B7540A">
              <w:rPr>
                <w:rFonts w:eastAsiaTheme="majorEastAsia"/>
                <w:lang w:val="hy-AM"/>
              </w:rPr>
              <w:t xml:space="preserve">Պատվաստումներն իրականացվում են առողջության առաջնային պահպանման կազմակերպություններում ինչպես նաև շարժական պատվաստումային խմբերի կողմից հանրային վայրերում: Կարող են պատվաստվել նաև Հայաստանում բնակվող օտարերկրյա քաղաքացիները: Պատվաստումներն անվճար են բոլորի համար և իրականացվում են միայն կամավորության սկզբունքով: </w:t>
            </w:r>
          </w:p>
          <w:p w14:paraId="2DC7AFBD" w14:textId="77777777" w:rsidR="00B7540A" w:rsidRPr="00586097" w:rsidRDefault="00B7540A" w:rsidP="00B7540A">
            <w:pPr>
              <w:spacing w:line="276" w:lineRule="auto"/>
            </w:pPr>
            <w:r w:rsidRPr="00B7540A">
              <w:rPr>
                <w:rFonts w:eastAsiaTheme="majorEastAsia"/>
                <w:lang w:val="hy-AM"/>
              </w:rPr>
              <w:t xml:space="preserve">COVID-19-ի դեմ պատվաստումների մեկնարկից ի վեր  հուլիսի 8-ի դրությամբ` հանրապետությունում կատարվել է 103,317 պատվաստում, որից 74,479` առաջին դեղաչափ (33,850 «AstraZeneca», 17,657 «CoronaVac», 22,972 «Sputnik-V») և 28,838` երկրորդ դեղաչափ (6,025 «AstraZeneca», 5,218 «Coronavac», 17,595 «Sputnik-V»): 2021թ. նախատեսվում է պատվաստել բնակչության 10%-ին։ </w:t>
            </w:r>
            <w:r w:rsidRPr="00586097">
              <w:rPr>
                <w:rFonts w:eastAsiaTheme="majorEastAsia"/>
              </w:rPr>
              <w:t xml:space="preserve">Ներկայացված ցուցանիշը կարող է փոխվել՝ համաճարակային իրավիճակով պայմանավորված։ </w:t>
            </w:r>
          </w:p>
        </w:tc>
      </w:tr>
    </w:tbl>
    <w:p w14:paraId="692D6AB7" w14:textId="77777777" w:rsidR="00B7540A" w:rsidRPr="00B7540A" w:rsidRDefault="00B7540A" w:rsidP="000E2105">
      <w:pPr>
        <w:spacing w:before="200" w:line="276" w:lineRule="auto"/>
        <w:ind w:firstLine="562"/>
        <w:rPr>
          <w:lang w:val="hy-AM"/>
        </w:rPr>
      </w:pPr>
      <w:r w:rsidRPr="00B7540A">
        <w:rPr>
          <w:rFonts w:eastAsiaTheme="majorEastAsia"/>
          <w:b/>
          <w:u w:val="single"/>
          <w:lang w:val="hy-AM"/>
        </w:rPr>
        <w:t>Կանխատեսում։</w:t>
      </w:r>
      <w:r w:rsidRPr="00B7540A">
        <w:rPr>
          <w:rFonts w:eastAsiaTheme="majorEastAsia"/>
          <w:b/>
          <w:lang w:val="hy-AM"/>
        </w:rPr>
        <w:t xml:space="preserve"> 2020թ. ընթացքում և 2021թ. տարեսկզբին Համավարակի և Արցախյան պատերազմի բացասական ազդեցությունների մեղմմանն ու տնտեսության վերականգնմանն ուղղված կառավարության կողմից իրականացված և իրականացվող հարկաբյուջետային միջոցառումների, ինչպես նաև Համավարակի համաշխարհային ճգնաժամի աստիճանական հաղթահարման պայմաններում, 2021թ. կանխատեսվում է 6.0%, իսկ միջնաժամկետում՝ միջինում 4.3% աճ:</w:t>
      </w:r>
      <w:r w:rsidRPr="00B7540A">
        <w:rPr>
          <w:rFonts w:eastAsiaTheme="majorEastAsia"/>
          <w:lang w:val="hy-AM"/>
        </w:rPr>
        <w:t xml:space="preserve"> Բացասական ազդեցությունների աստիճանական չեզոքացման հետ մեկտեղ տնտեսական աճը 2021թ. կվերականգնվի, իսկ միջնաժամկետ հատվածում կմոտենա իր ներուժային մակարդակին։ Միջնաժամկետում տնտեսական աճը պայմանավորված կլինի հիմնականում ծառայությունների և արդյունաբերության ճյուղերի աճերով: Ամբողջական պահանջարկը նույնպես կաճի՝ պայմանավորված հիմնականում ներքին սպառողական և ներդրումային պահանջարկի աճերով: </w:t>
      </w:r>
    </w:p>
    <w:p w14:paraId="0E63CD58" w14:textId="77777777" w:rsidR="00B7540A" w:rsidRPr="00B7540A" w:rsidRDefault="00B7540A" w:rsidP="00B7540A">
      <w:pPr>
        <w:spacing w:line="276" w:lineRule="auto"/>
        <w:rPr>
          <w:lang w:val="hy-AM"/>
        </w:rPr>
      </w:pPr>
      <w:r w:rsidRPr="00586097">
        <w:rPr>
          <w:rFonts w:eastAsiaTheme="majorEastAsia"/>
          <w:lang w:val="it-IT"/>
        </w:rPr>
        <w:t>2021</w:t>
      </w:r>
      <w:r w:rsidRPr="00B7540A">
        <w:rPr>
          <w:rFonts w:eastAsiaTheme="majorEastAsia"/>
          <w:lang w:val="hy-AM"/>
        </w:rPr>
        <w:t>թ.</w:t>
      </w:r>
      <w:r w:rsidRPr="00586097">
        <w:rPr>
          <w:rFonts w:eastAsiaTheme="majorEastAsia"/>
          <w:lang w:val="it-IT"/>
        </w:rPr>
        <w:t xml:space="preserve"> </w:t>
      </w:r>
      <w:r w:rsidRPr="00B7540A">
        <w:rPr>
          <w:rFonts w:eastAsiaTheme="majorEastAsia"/>
          <w:lang w:val="hy-AM"/>
        </w:rPr>
        <w:t>և</w:t>
      </w:r>
      <w:r w:rsidRPr="00586097">
        <w:rPr>
          <w:rFonts w:eastAsiaTheme="majorEastAsia"/>
          <w:lang w:val="it-IT"/>
        </w:rPr>
        <w:t xml:space="preserve"> </w:t>
      </w:r>
      <w:r w:rsidRPr="00B7540A">
        <w:rPr>
          <w:rFonts w:eastAsiaTheme="majorEastAsia"/>
          <w:lang w:val="hy-AM"/>
        </w:rPr>
        <w:t>մ</w:t>
      </w:r>
      <w:r w:rsidRPr="00586097">
        <w:rPr>
          <w:rFonts w:eastAsiaTheme="majorEastAsia"/>
          <w:lang w:val="it-IT"/>
        </w:rPr>
        <w:t>իջնաժամկետում դեֆլյատորը կաճի</w:t>
      </w:r>
      <w:r w:rsidRPr="00B7540A">
        <w:rPr>
          <w:rFonts w:eastAsiaTheme="majorEastAsia"/>
          <w:lang w:val="hy-AM"/>
        </w:rPr>
        <w:t>՝</w:t>
      </w:r>
      <w:r w:rsidRPr="00586097">
        <w:rPr>
          <w:rFonts w:eastAsiaTheme="majorEastAsia"/>
          <w:lang w:val="it-IT"/>
        </w:rPr>
        <w:t xml:space="preserve"> </w:t>
      </w:r>
      <w:r w:rsidRPr="00B7540A">
        <w:rPr>
          <w:rFonts w:eastAsiaTheme="majorEastAsia"/>
          <w:lang w:val="hy-AM"/>
        </w:rPr>
        <w:t>պայմանավորված ՍԳԻ-ի և</w:t>
      </w:r>
      <w:r w:rsidRPr="00586097">
        <w:rPr>
          <w:rFonts w:eastAsiaTheme="majorEastAsia"/>
          <w:lang w:val="it-IT"/>
        </w:rPr>
        <w:t xml:space="preserve"> </w:t>
      </w:r>
      <w:r w:rsidRPr="00B7540A">
        <w:rPr>
          <w:rFonts w:eastAsiaTheme="majorEastAsia"/>
          <w:lang w:val="hy-AM"/>
        </w:rPr>
        <w:t>ապրանքների միջազգային գների զարգացումներով:</w:t>
      </w:r>
    </w:p>
    <w:p w14:paraId="25C95ACC" w14:textId="77777777" w:rsidR="00B7540A" w:rsidRPr="00B7540A" w:rsidRDefault="00B7540A" w:rsidP="00AB119C">
      <w:pPr>
        <w:spacing w:after="120" w:line="276" w:lineRule="auto"/>
        <w:ind w:firstLine="562"/>
        <w:rPr>
          <w:b/>
          <w:bCs/>
          <w:lang w:val="hy-AM"/>
        </w:rPr>
      </w:pPr>
      <w:r w:rsidRPr="00B7540A">
        <w:rPr>
          <w:rFonts w:eastAsiaTheme="majorEastAsia"/>
          <w:b/>
          <w:bCs/>
          <w:lang w:val="hy-AM"/>
        </w:rPr>
        <w:t>Վերոնշյալ զարգացումների պայմաններում անվանական ՀՆԱ-ն 2021թ. կկազմի 6,880.2 մլրդ դրամ՝ 484.9 մլրդ դրամով ավել լինելով 2021թ. պետական բյուջեով ծրագրված ցուցանիշից: Իսկ միջնաժակետում անվանական ՀՆԱ-ն կաճի՝ 2024թ. կազմելով 8,835.4 մլրդ դրամ։</w:t>
      </w:r>
    </w:p>
    <w:tbl>
      <w:tblPr>
        <w:tblStyle w:val="TableGrid710"/>
        <w:tblW w:w="0" w:type="auto"/>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4980"/>
        <w:gridCol w:w="5038"/>
      </w:tblGrid>
      <w:tr w:rsidR="00B7540A" w:rsidRPr="00C024D9" w14:paraId="71545891" w14:textId="77777777" w:rsidTr="00B7540A">
        <w:trPr>
          <w:trHeight w:val="3489"/>
        </w:trPr>
        <w:tc>
          <w:tcPr>
            <w:tcW w:w="5140" w:type="dxa"/>
          </w:tcPr>
          <w:p w14:paraId="38AD15EF" w14:textId="1A45DD7A" w:rsidR="00B7540A" w:rsidRPr="00A84819" w:rsidRDefault="00A84819" w:rsidP="00B7540A">
            <w:pPr>
              <w:pStyle w:val="afe"/>
              <w:rPr>
                <w:lang w:val="hy-AM"/>
              </w:rPr>
            </w:pPr>
            <w:r w:rsidRPr="00586097">
              <w:rPr>
                <w:sz w:val="22"/>
                <w:szCs w:val="22"/>
              </w:rPr>
              <w:drawing>
                <wp:anchor distT="0" distB="0" distL="114300" distR="114300" simplePos="0" relativeHeight="251689472" behindDoc="0" locked="0" layoutInCell="1" allowOverlap="1" wp14:anchorId="7A44E3B0" wp14:editId="58729CCE">
                  <wp:simplePos x="0" y="0"/>
                  <wp:positionH relativeFrom="column">
                    <wp:posOffset>-38735</wp:posOffset>
                  </wp:positionH>
                  <wp:positionV relativeFrom="paragraph">
                    <wp:posOffset>375285</wp:posOffset>
                  </wp:positionV>
                  <wp:extent cx="3076575" cy="1842770"/>
                  <wp:effectExtent l="0" t="0" r="9525" b="508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B7540A" w:rsidRPr="00A84819">
              <w:rPr>
                <w:lang w:val="hy-AM"/>
              </w:rPr>
              <w:t>Գծապատկեր 1.24. Անվանական ՀՆԱ և տնտեսական աճ</w:t>
            </w:r>
          </w:p>
          <w:p w14:paraId="24BC355E" w14:textId="503C8469" w:rsidR="00B7540A" w:rsidRPr="00A84819" w:rsidRDefault="00B7540A" w:rsidP="00B7540A">
            <w:pPr>
              <w:pStyle w:val="afd"/>
              <w:rPr>
                <w:b/>
                <w:sz w:val="16"/>
                <w:highlight w:val="yellow"/>
              </w:rPr>
            </w:pPr>
            <w:r w:rsidRPr="00AB119C">
              <w:rPr>
                <w:sz w:val="16"/>
              </w:rPr>
              <w:t>Աղբյուրը՝ ՀՀ ՎԿ, ՀՀ ՖՆ հաշվարկներ և կանխատեսումներ</w:t>
            </w:r>
          </w:p>
        </w:tc>
        <w:tc>
          <w:tcPr>
            <w:tcW w:w="5110" w:type="dxa"/>
          </w:tcPr>
          <w:p w14:paraId="635823A6" w14:textId="66B9287D" w:rsidR="00B7540A" w:rsidRPr="00A84819" w:rsidRDefault="00B7540A" w:rsidP="00B7540A">
            <w:pPr>
              <w:pStyle w:val="afe"/>
              <w:rPr>
                <w:lang w:val="hy-AM"/>
              </w:rPr>
            </w:pPr>
            <w:r w:rsidRPr="00A84819">
              <w:rPr>
                <w:lang w:val="hy-AM"/>
              </w:rPr>
              <w:t>Գծապատկեր 1.25.</w:t>
            </w:r>
            <w:r w:rsidRPr="00A84819">
              <w:rPr>
                <w:color w:val="FF0000"/>
                <w:lang w:val="hy-AM"/>
              </w:rPr>
              <w:t xml:space="preserve"> </w:t>
            </w:r>
            <w:r w:rsidRPr="00A84819">
              <w:rPr>
                <w:lang w:val="hy-AM"/>
              </w:rPr>
              <w:t>Իրական ՀՆԱ անկումը/աճը տնտե</w:t>
            </w:r>
            <w:r w:rsidR="00AB119C" w:rsidRPr="00AB119C">
              <w:rPr>
                <w:lang w:val="hy-AM"/>
              </w:rPr>
              <w:t xml:space="preserve">- </w:t>
            </w:r>
            <w:r w:rsidRPr="00A84819">
              <w:rPr>
                <w:lang w:val="hy-AM"/>
              </w:rPr>
              <w:t xml:space="preserve">սական ճգնաժամերի և հաջորդող տարիներին </w:t>
            </w:r>
          </w:p>
          <w:p w14:paraId="1EA31474" w14:textId="4ECBC6DE" w:rsidR="00B7540A" w:rsidRPr="00AB119C" w:rsidRDefault="00A84819" w:rsidP="00AB119C">
            <w:pPr>
              <w:pStyle w:val="afd"/>
              <w:rPr>
                <w:sz w:val="22"/>
              </w:rPr>
            </w:pPr>
            <w:r w:rsidRPr="00586097">
              <w:rPr>
                <w:noProof/>
                <w:lang w:val="en-US"/>
              </w:rPr>
              <w:drawing>
                <wp:inline distT="0" distB="0" distL="0" distR="0" wp14:anchorId="691E2971" wp14:editId="01019F3F">
                  <wp:extent cx="3092450" cy="1834515"/>
                  <wp:effectExtent l="0" t="0" r="12700" b="133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B7540A" w:rsidRPr="00AB119C">
              <w:t>Աղբյուրը՝ ՀՀ ՎԿ, ՀՀ ՖՆ կանխատեսում</w:t>
            </w:r>
          </w:p>
        </w:tc>
      </w:tr>
      <w:tr w:rsidR="00B7540A" w:rsidRPr="00586097" w14:paraId="019FB0C5" w14:textId="77777777" w:rsidTr="003D37BF">
        <w:trPr>
          <w:trHeight w:val="628"/>
        </w:trPr>
        <w:tc>
          <w:tcPr>
            <w:tcW w:w="5140" w:type="dxa"/>
          </w:tcPr>
          <w:p w14:paraId="4BD695E1" w14:textId="77777777" w:rsidR="00B7540A" w:rsidRPr="00A84819" w:rsidRDefault="00B7540A" w:rsidP="00B7540A">
            <w:pPr>
              <w:pStyle w:val="afe"/>
              <w:rPr>
                <w:lang w:val="hy-AM"/>
              </w:rPr>
            </w:pPr>
            <w:r w:rsidRPr="00A84819">
              <w:rPr>
                <w:lang w:val="hy-AM"/>
              </w:rPr>
              <w:t xml:space="preserve">Գծապատկեր 1.26. Տնտեսության առանձին ճյուղերի նպաստումները տնտեսական աճին </w:t>
            </w:r>
          </w:p>
          <w:p w14:paraId="0240C577" w14:textId="77777777" w:rsidR="00B7540A" w:rsidRPr="00920983" w:rsidRDefault="00B7540A" w:rsidP="00B7540A">
            <w:pPr>
              <w:spacing w:line="276" w:lineRule="auto"/>
              <w:ind w:firstLine="29"/>
              <w:rPr>
                <w:b/>
                <w:sz w:val="18"/>
                <w:szCs w:val="18"/>
                <w:lang w:val="hy-AM"/>
              </w:rPr>
            </w:pPr>
          </w:p>
          <w:p w14:paraId="09E408DA" w14:textId="77777777" w:rsidR="00B7540A" w:rsidRPr="00586097" w:rsidRDefault="00B7540A" w:rsidP="00B7540A">
            <w:pPr>
              <w:spacing w:line="276" w:lineRule="auto"/>
              <w:ind w:firstLine="29"/>
              <w:rPr>
                <w:b/>
              </w:rPr>
            </w:pPr>
            <w:r w:rsidRPr="00586097">
              <w:rPr>
                <w:noProof/>
                <w:shd w:val="clear" w:color="auto" w:fill="B4C6E7"/>
              </w:rPr>
              <w:drawing>
                <wp:inline distT="0" distB="0" distL="0" distR="0" wp14:anchorId="6BE6BF10" wp14:editId="2187CC43">
                  <wp:extent cx="3021330" cy="1892410"/>
                  <wp:effectExtent l="0" t="0" r="7620" b="127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C344388" w14:textId="77777777" w:rsidR="00B7540A" w:rsidRPr="00A84819" w:rsidRDefault="00B7540A" w:rsidP="00B12F93">
            <w:pPr>
              <w:pStyle w:val="afd"/>
              <w:spacing w:after="0"/>
              <w:rPr>
                <w:sz w:val="16"/>
                <w:highlight w:val="yellow"/>
              </w:rPr>
            </w:pPr>
            <w:r w:rsidRPr="00146A53">
              <w:rPr>
                <w:sz w:val="16"/>
              </w:rPr>
              <w:t>Աղբյուրը՝ ՀՀ ՎԿ, ՀՀ ՖՆ հաշվարկներ և կանխատեսումներ</w:t>
            </w:r>
          </w:p>
        </w:tc>
        <w:tc>
          <w:tcPr>
            <w:tcW w:w="5110" w:type="dxa"/>
          </w:tcPr>
          <w:p w14:paraId="4C0F6295" w14:textId="77777777" w:rsidR="00B7540A" w:rsidRPr="00A84819" w:rsidRDefault="00B7540A" w:rsidP="00B7540A">
            <w:pPr>
              <w:pStyle w:val="afe"/>
              <w:rPr>
                <w:lang w:val="hy-AM"/>
              </w:rPr>
            </w:pPr>
            <w:r w:rsidRPr="00A84819">
              <w:rPr>
                <w:lang w:val="hy-AM"/>
              </w:rPr>
              <w:t>Գծապատկեր 1.27. Տնտեսական աճին պահանջարկի բաղադրիչների նպաստումները</w:t>
            </w:r>
          </w:p>
          <w:p w14:paraId="0545C2D4" w14:textId="77777777" w:rsidR="00B7540A" w:rsidRPr="00586097" w:rsidRDefault="003D37BF" w:rsidP="00B7540A">
            <w:pPr>
              <w:spacing w:line="276" w:lineRule="auto"/>
              <w:ind w:firstLine="0"/>
            </w:pPr>
            <w:r w:rsidRPr="00586097">
              <w:rPr>
                <w:rFonts w:cs="Sylfaen"/>
                <w:b/>
                <w:noProof/>
              </w:rPr>
              <w:drawing>
                <wp:inline distT="0" distB="0" distL="0" distR="0" wp14:anchorId="488BE327" wp14:editId="1DF45B78">
                  <wp:extent cx="3123565" cy="1868446"/>
                  <wp:effectExtent l="0" t="0" r="635" b="1778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8A8DFD4" w14:textId="3750E48C" w:rsidR="00B7540A" w:rsidRPr="00586097" w:rsidRDefault="00B7540A" w:rsidP="00B12F93">
            <w:pPr>
              <w:pStyle w:val="afd"/>
              <w:spacing w:after="0"/>
              <w:rPr>
                <w:sz w:val="22"/>
                <w:szCs w:val="22"/>
                <w:highlight w:val="yellow"/>
              </w:rPr>
            </w:pPr>
            <w:r w:rsidRPr="00146A53">
              <w:rPr>
                <w:sz w:val="16"/>
              </w:rPr>
              <w:t xml:space="preserve">Աղբյուրը՝ ՀՀ ՎԿ, ՀՀ </w:t>
            </w:r>
            <w:r w:rsidRPr="00146A53">
              <w:t>ՖՆ</w:t>
            </w:r>
            <w:r w:rsidRPr="00146A53">
              <w:rPr>
                <w:sz w:val="16"/>
              </w:rPr>
              <w:t xml:space="preserve"> հաշվարկներ և կանխատեսումներ</w:t>
            </w:r>
          </w:p>
        </w:tc>
      </w:tr>
    </w:tbl>
    <w:p w14:paraId="664D26A4" w14:textId="77777777" w:rsidR="00B7540A" w:rsidRPr="00B7540A" w:rsidRDefault="00B7540A" w:rsidP="00B12F93">
      <w:pPr>
        <w:spacing w:before="120" w:line="276" w:lineRule="auto"/>
        <w:ind w:firstLine="562"/>
        <w:rPr>
          <w:lang w:val="hy-AM"/>
        </w:rPr>
      </w:pPr>
      <w:r w:rsidRPr="00B7540A">
        <w:rPr>
          <w:rFonts w:eastAsiaTheme="majorEastAsia"/>
          <w:b/>
          <w:bCs/>
          <w:u w:val="single"/>
          <w:lang w:val="hy-AM"/>
        </w:rPr>
        <w:t>ՀՀ կառավարության տնտեսական աճի թիրախը:</w:t>
      </w:r>
      <w:r w:rsidRPr="00B7540A">
        <w:rPr>
          <w:rFonts w:eastAsiaTheme="majorEastAsia"/>
          <w:b/>
          <w:bCs/>
          <w:lang w:val="hy-AM"/>
        </w:rPr>
        <w:t xml:space="preserve"> Չնայած միջնաժամկետ ծախսերի ծրագիրը օբյեկտիվորեն հենվում է մակրոտնտեսական կայունության համար ռիսկեր չառաջացնող ՀՀ տնտեսության հնարավորություններից և ներուժից բխող տնտեսական աճի միջնաժամկետ կանխատեսումների և դրան համապատասխանող մակրոտնտեսական շրջանակի վրա ՝ ՀՀ կառավարությունը թիրախավորում է հասնել ավելի բարձր տնտեսական աճի:</w:t>
      </w:r>
      <w:r w:rsidRPr="00B7540A">
        <w:rPr>
          <w:rFonts w:eastAsiaTheme="majorEastAsia"/>
          <w:lang w:val="hy-AM"/>
        </w:rPr>
        <w:t xml:space="preserve"> Միջնաժամկետ հատվածում ՀՀ կառավարությունը նպատակադրում է ապահովել միջինում 7.0% տնտեսական աճ, սակայն վերջինիս իրականացումը պահանջում է բարձր արտադրողական մեծածավալ պետական և մասնավոր ներդրումներ, ինչպես նաև ընդհանուր գործոնային (կապիտալի և աշխատուժի) արտադրողականության կայուն աճ: Այդ նպատակով անհրաժեշտ է մշակել և իրականացնել համապատասխան ներդրումային քաղաքականություն, տնտեսության արտահանելի հատվածի և արտահանման խթանմանը միտված քաղաքականություն, արտադրական գործոնների արտադրողականության բարձրացման քաղաքականություն, ինչպես նաև անհրաժեշտ ռեսուրսներ և միջավայր ձևավորող հարկաբյուջետային, դրամավարկային և ֆինանսական քաղաքականություններ, որոնք թույլ կտան առաջիկա հինգ տարիների ընթացքում էապես բարձրացնել ներուժային տնտեսական աճը</w:t>
      </w:r>
      <w:r w:rsidRPr="00586097">
        <w:rPr>
          <w:rStyle w:val="FootnoteReference"/>
          <w:rFonts w:eastAsiaTheme="majorEastAsia"/>
        </w:rPr>
        <w:footnoteReference w:id="12"/>
      </w:r>
      <w:r w:rsidRPr="00B7540A">
        <w:rPr>
          <w:rFonts w:eastAsiaTheme="majorEastAsia"/>
          <w:lang w:val="hy-AM"/>
        </w:rPr>
        <w:t xml:space="preserve">։ Ըստ էության, նշված նպատակադրումը և դրա իրականացման համար անհրաժեշտ միջոցառումների շուրջ քննարկումները արդեն իսկ մեկնարկել են, իսկ հետագայում կդառնան առավել մանրամասն քննարկման առարկա՝ նպատակադրելով ձևավորել բարձր տնտեսական աճի հասնելու իրատեսական ճանապարհային քարտեզ՝ համապատասխան միջոցառումներով և գործողություններով: Վերջիններս իրենց արտացոլումը պետք է գտնեն նոր ձևավորվելիք կառավարության ծրագրում, ոլորտային ռազմավարություններում և քաղաքականություններում: Հետագայում դրանց արդյունքները պարբերաբար վերլուծելով հնարավոր կլինի բարձր աճի թիրախավորումը դնել պետական բյուջեների և միջնաժամկետ ծախսերի ծրագրերի մշակման հիմքում։ </w:t>
      </w:r>
    </w:p>
    <w:p w14:paraId="38D060CF" w14:textId="36F3EBA2" w:rsidR="00B7540A" w:rsidRPr="003314EB" w:rsidRDefault="00B7540A" w:rsidP="00B7540A">
      <w:pPr>
        <w:pStyle w:val="afc"/>
        <w:spacing w:line="276" w:lineRule="auto"/>
        <w:rPr>
          <w:szCs w:val="20"/>
        </w:rPr>
      </w:pPr>
      <w:r w:rsidRPr="003314EB">
        <w:rPr>
          <w:szCs w:val="20"/>
        </w:rPr>
        <w:t>Գծապատկեր 1.28. 2022-2024թթ. թիրախային տնտեսական աճի և ՄԺԾԾ (բյուջետային՝ ներառյալ 2022թ. պետական բյուջեի) սցենարներ</w:t>
      </w:r>
    </w:p>
    <w:p w14:paraId="2D1EB47A" w14:textId="77777777" w:rsidR="00B7540A" w:rsidRPr="00586097" w:rsidRDefault="00B7540A" w:rsidP="00FD27F1">
      <w:pPr>
        <w:spacing w:line="276" w:lineRule="auto"/>
        <w:ind w:firstLine="0"/>
        <w:jc w:val="center"/>
      </w:pPr>
      <w:r w:rsidRPr="00586097">
        <w:rPr>
          <w:rFonts w:eastAsiaTheme="majorEastAsia"/>
          <w:noProof/>
        </w:rPr>
        <w:drawing>
          <wp:inline distT="0" distB="0" distL="0" distR="0" wp14:anchorId="538742AE" wp14:editId="489583B9">
            <wp:extent cx="5231765" cy="2321781"/>
            <wp:effectExtent l="0" t="0" r="6985" b="254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DFE668B" w14:textId="77777777" w:rsidR="00B7540A" w:rsidRPr="00586097" w:rsidRDefault="00B7540A" w:rsidP="00B7540A">
      <w:pPr>
        <w:pStyle w:val="afd"/>
        <w:rPr>
          <w:sz w:val="22"/>
          <w:szCs w:val="22"/>
        </w:rPr>
      </w:pPr>
      <w:r w:rsidRPr="00203400">
        <w:rPr>
          <w:szCs w:val="22"/>
        </w:rPr>
        <w:t>Աղբյուրը՝ ՀՀ ՎԿ, ՀՀ ՖՆ  կանխատեսումներ</w:t>
      </w:r>
    </w:p>
    <w:p w14:paraId="593C9A34" w14:textId="77777777" w:rsidR="00B7540A" w:rsidRPr="00F30397" w:rsidRDefault="00B7540A" w:rsidP="00831C7C">
      <w:pPr>
        <w:spacing w:before="120" w:line="276" w:lineRule="auto"/>
        <w:ind w:firstLine="562"/>
        <w:rPr>
          <w:lang w:val="hy-AM"/>
        </w:rPr>
      </w:pPr>
      <w:r w:rsidRPr="00F30397">
        <w:rPr>
          <w:rFonts w:eastAsiaTheme="majorEastAsia"/>
          <w:b/>
          <w:bCs/>
          <w:u w:val="single"/>
          <w:lang w:val="hy-AM"/>
        </w:rPr>
        <w:t>Համախառն առաջարկի կանխատեսում.</w:t>
      </w:r>
      <w:r w:rsidRPr="00F30397">
        <w:rPr>
          <w:rFonts w:eastAsiaTheme="majorEastAsia"/>
          <w:lang w:val="hy-AM"/>
        </w:rPr>
        <w:t xml:space="preserve"> 2021թ. համավարակի և Արցախյան պատերազմի բացասական ազդեցությունների աստիճանական չեզոքացման արդյունքում՝ ներքին և արտաքին պահանջարկի վերականգնմամբ պայմանավորված սպասվում է տնտեսության աճի տեմպերի վերականգնում։ Տնտեսական աճը պայմանավորված կլինի հիմնականում ծառայությունների (ներառյալ առևտուրը) և արդյունաբերության աճերով (համապատասխանաբար՝ 7.0%-ով և 4.9%-ով): Շինարարության և գյուղատնտեսության ճյուղերը նույնպես կաճեն (համապատասխանաբար՝ 5.5% և 3.1%)` դրական նպաստելով տնտեսական աճին: </w:t>
      </w:r>
    </w:p>
    <w:p w14:paraId="04F4ACEA" w14:textId="65977AB0" w:rsidR="00B7540A" w:rsidRPr="009121FA" w:rsidRDefault="00B7540A" w:rsidP="006A2905">
      <w:pPr>
        <w:spacing w:after="0" w:line="276" w:lineRule="auto"/>
        <w:ind w:firstLine="562"/>
        <w:rPr>
          <w:lang w:val="hy-AM"/>
        </w:rPr>
      </w:pPr>
      <w:r w:rsidRPr="009121FA">
        <w:rPr>
          <w:rFonts w:eastAsiaTheme="majorEastAsia"/>
          <w:lang w:val="hy-AM"/>
        </w:rPr>
        <w:t>Միջնաժամկետում՝ համավարակի և Արցախյան պատերազմի բացասական ազդեցությունների չեզոքացման հետ մեկտեղ, պայմանավորված ներքին և արտաքին պահանջարկի վերականգնմամբ, պղնձի գների բարձր մակարդակով, տնտեսությունում իրականացվող ներդրումներով, ինչպես նաև ՀՀ կառավարության կողմից համավարակի ու Արցախյան պատերազմի բացասական ազդեցությունների մեղմմանն ուղղված հարկաբյուջետային, ինչպես նաև արտահանման ու ներդրումների խթանմանն ուղղված քաղաքականություններով` ծառայությունները կաճեն միջինում 4.4%-ով, արդյունաբերությունը՝ 4.9%-ով, շինարարության ճյուղը՝ 4.9%-ով, իսկ գյուղատնտեսությունը՝ 2.4%-ով:</w:t>
      </w:r>
    </w:p>
    <w:tbl>
      <w:tblPr>
        <w:tblStyle w:val="TableGrid810"/>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4997"/>
        <w:gridCol w:w="5027"/>
      </w:tblGrid>
      <w:tr w:rsidR="00B7540A" w:rsidRPr="00C024D9" w14:paraId="0552DE61" w14:textId="77777777" w:rsidTr="006A2905">
        <w:trPr>
          <w:trHeight w:val="3783"/>
        </w:trPr>
        <w:tc>
          <w:tcPr>
            <w:tcW w:w="5215" w:type="dxa"/>
          </w:tcPr>
          <w:p w14:paraId="399A2F53" w14:textId="4174CE2B" w:rsidR="00B7540A" w:rsidRPr="00850279" w:rsidRDefault="00850279" w:rsidP="00B7540A">
            <w:pPr>
              <w:pStyle w:val="afe"/>
              <w:rPr>
                <w:lang w:val="hy-AM"/>
              </w:rPr>
            </w:pPr>
            <w:r w:rsidRPr="00850279">
              <w:drawing>
                <wp:anchor distT="0" distB="0" distL="114300" distR="114300" simplePos="0" relativeHeight="251664896" behindDoc="0" locked="0" layoutInCell="1" allowOverlap="1" wp14:anchorId="6D36DBF0" wp14:editId="6C4A4DD7">
                  <wp:simplePos x="0" y="0"/>
                  <wp:positionH relativeFrom="column">
                    <wp:posOffset>-64770</wp:posOffset>
                  </wp:positionH>
                  <wp:positionV relativeFrom="paragraph">
                    <wp:posOffset>426085</wp:posOffset>
                  </wp:positionV>
                  <wp:extent cx="3102610" cy="1807845"/>
                  <wp:effectExtent l="0" t="0" r="2540" b="635"/>
                  <wp:wrapSquare wrapText="bothSides"/>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V relativeFrom="margin">
                    <wp14:pctHeight>0</wp14:pctHeight>
                  </wp14:sizeRelV>
                </wp:anchor>
              </w:drawing>
            </w:r>
            <w:r w:rsidR="00B7540A" w:rsidRPr="00850279">
              <w:rPr>
                <w:lang w:val="hy-AM"/>
              </w:rPr>
              <w:t>Գծապատկեր 1.29. Ծախսային բաղադրիչների տեսա</w:t>
            </w:r>
            <w:r w:rsidR="006A2905" w:rsidRPr="006A2905">
              <w:rPr>
                <w:lang w:val="hy-AM"/>
              </w:rPr>
              <w:t xml:space="preserve">- </w:t>
            </w:r>
            <w:r w:rsidR="00B7540A" w:rsidRPr="00850279">
              <w:rPr>
                <w:lang w:val="hy-AM"/>
              </w:rPr>
              <w:t>կարար կշիռները ՀՆԱ-ի կազմում</w:t>
            </w:r>
          </w:p>
          <w:p w14:paraId="6B166455" w14:textId="4D63F52D" w:rsidR="00B7540A" w:rsidRPr="00850279" w:rsidRDefault="00850279" w:rsidP="006A2905">
            <w:pPr>
              <w:pStyle w:val="afd"/>
              <w:spacing w:after="0"/>
              <w:contextualSpacing w:val="0"/>
              <w:rPr>
                <w:sz w:val="16"/>
              </w:rPr>
            </w:pPr>
            <w:r w:rsidRPr="00850279">
              <w:rPr>
                <w:sz w:val="16"/>
              </w:rPr>
              <w:t>Աղբյուրը՝ ՀՀ ՎԿ, ՀՀ ՖՆ հաշվարկներ և կանխատեսումներ</w:t>
            </w:r>
          </w:p>
        </w:tc>
        <w:tc>
          <w:tcPr>
            <w:tcW w:w="5030" w:type="dxa"/>
          </w:tcPr>
          <w:p w14:paraId="55140145" w14:textId="4774CFC5" w:rsidR="00B7540A" w:rsidRPr="00850279" w:rsidRDefault="00850279" w:rsidP="00B7540A">
            <w:pPr>
              <w:pStyle w:val="afe"/>
              <w:rPr>
                <w:lang w:val="hy-AM"/>
              </w:rPr>
            </w:pPr>
            <w:r w:rsidRPr="00586097">
              <w:rPr>
                <w:sz w:val="22"/>
                <w:szCs w:val="22"/>
              </w:rPr>
              <w:drawing>
                <wp:anchor distT="0" distB="0" distL="114300" distR="114300" simplePos="0" relativeHeight="251667968" behindDoc="0" locked="0" layoutInCell="1" allowOverlap="1" wp14:anchorId="61E9832F" wp14:editId="3EB54616">
                  <wp:simplePos x="0" y="0"/>
                  <wp:positionH relativeFrom="column">
                    <wp:posOffset>-45085</wp:posOffset>
                  </wp:positionH>
                  <wp:positionV relativeFrom="paragraph">
                    <wp:posOffset>426085</wp:posOffset>
                  </wp:positionV>
                  <wp:extent cx="3112135" cy="1807845"/>
                  <wp:effectExtent l="0" t="0" r="12065" b="1905"/>
                  <wp:wrapSquare wrapText="bothSides"/>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V relativeFrom="margin">
                    <wp14:pctHeight>0</wp14:pctHeight>
                  </wp14:sizeRelV>
                </wp:anchor>
              </w:drawing>
            </w:r>
            <w:r w:rsidR="00B7540A" w:rsidRPr="00850279">
              <w:rPr>
                <w:lang w:val="hy-AM"/>
              </w:rPr>
              <w:t>Գծապատկեր 1.30. Ճյուղերի տեսակարար կշիռները ՀՆԱ-ի կազմում</w:t>
            </w:r>
          </w:p>
          <w:p w14:paraId="36D4306F" w14:textId="5143C709" w:rsidR="00B7540A" w:rsidRPr="00850279" w:rsidRDefault="00B7540A" w:rsidP="006A2905">
            <w:pPr>
              <w:pStyle w:val="afd"/>
              <w:spacing w:after="0"/>
              <w:contextualSpacing w:val="0"/>
              <w:rPr>
                <w:sz w:val="16"/>
              </w:rPr>
            </w:pPr>
            <w:r w:rsidRPr="00850279">
              <w:rPr>
                <w:sz w:val="16"/>
              </w:rPr>
              <w:t>Աղբյուրը՝ ՀՀ ՎԿ, ՀՀ ՖՆ հաշվարկներ և կանխատեսումներ</w:t>
            </w:r>
          </w:p>
        </w:tc>
      </w:tr>
    </w:tbl>
    <w:p w14:paraId="5729F0B9" w14:textId="77777777" w:rsidR="00B7540A" w:rsidRPr="00B7540A" w:rsidRDefault="00B7540A" w:rsidP="006A2905">
      <w:pPr>
        <w:spacing w:before="120" w:line="276" w:lineRule="auto"/>
        <w:ind w:firstLine="562"/>
        <w:rPr>
          <w:lang w:val="hy-AM"/>
        </w:rPr>
      </w:pPr>
      <w:r w:rsidRPr="00B7540A">
        <w:rPr>
          <w:rFonts w:eastAsiaTheme="majorEastAsia"/>
          <w:b/>
          <w:u w:val="single"/>
          <w:lang w:val="hy-AM"/>
        </w:rPr>
        <w:t>Համախառն պահանջարկի կանխատեսում</w:t>
      </w:r>
      <w:r w:rsidRPr="00B7540A">
        <w:rPr>
          <w:rFonts w:eastAsiaTheme="majorEastAsia"/>
          <w:u w:val="single"/>
          <w:lang w:val="hy-AM"/>
        </w:rPr>
        <w:t>.</w:t>
      </w:r>
      <w:r w:rsidRPr="00B7540A">
        <w:rPr>
          <w:rFonts w:eastAsiaTheme="majorEastAsia"/>
          <w:lang w:val="hy-AM"/>
        </w:rPr>
        <w:t xml:space="preserve"> Համավարակի և Արցախյան պատերազմի բացասական ազդեցությունների աստիճանաբար թուլացման պայմաններում 2021թ. վերջնական սպառումը կաճի 7.7%-ով, իսկ ներդրումները՝ 5.8%-ով։ Սպառման և ներդրումների աճին կնպաստեն տնօրինվող եկամտի աճը, նախորդ տարի մասնավոր հատվածում կուտակված խնայողությունների օգտագործումը, ինչպես նաև 2020թ. իրականացված և 2021թ. շարունակվող  ՀՀ կառավարության կողմից վարվող համավարակի և Արցախյան պատերազմի հետևանքների մեղմանն ու ներդրումային միջավայրի բարելավմանն ուղղված քաղաքա</w:t>
      </w:r>
      <w:r w:rsidRPr="00B7540A">
        <w:rPr>
          <w:rFonts w:eastAsiaTheme="majorEastAsia"/>
          <w:lang w:val="hy-AM"/>
        </w:rPr>
        <w:softHyphen/>
        <w:t>կանությունները։ Միջնաժամկետում՝ սպառումը միջինում կաճի 4.5%-ով, իսկ ներդրումները՝ 6.0%-ով: Միջնաժամկետում ներդրումների վրա դրական ազդեցություն կունենա ՀՀ կառավարության կողմից ենթակառուցվածքներում ներդրումների նախատեսվող շարունակական աճը:</w:t>
      </w:r>
    </w:p>
    <w:p w14:paraId="7F04DFF7" w14:textId="77777777" w:rsidR="00B7540A" w:rsidRPr="00B7540A" w:rsidRDefault="00B7540A" w:rsidP="00075109">
      <w:pPr>
        <w:spacing w:line="276" w:lineRule="auto"/>
        <w:ind w:firstLine="562"/>
        <w:rPr>
          <w:lang w:val="hy-AM"/>
        </w:rPr>
      </w:pPr>
      <w:r w:rsidRPr="00B7540A">
        <w:rPr>
          <w:rFonts w:eastAsiaTheme="majorEastAsia"/>
          <w:lang w:val="hy-AM"/>
        </w:rPr>
        <w:t>2021թ. արտահանումը և ներմուծումը կաճեն 7.0%-ով և 8.7%-ով՝ պայմանավորված ներքին և արտաքին պահանջարկի, ինչպես նաև տնտեսական ակտիվության վերականգմամբ։ ՀՀ և համաշխարհային տնտեսական աճերի, ՀՀ տնտեսության արտահանելի հատվածի զարգացումների, տնօրինվող եկամտի աճի, զբոսաշրջության վերականգման, ինչպես նաև արտահանմանը և ներդրումների խրախուսմանն ուղղված ՀՀ կառավարության քաղաքականության պայմաններում միջնաժամկետում արտահանումն ու ներմուծումը կաճեն միջինում 9.6% և 9.0%։</w:t>
      </w:r>
    </w:p>
    <w:p w14:paraId="7911031C" w14:textId="77777777" w:rsidR="00B7540A" w:rsidRPr="00B7540A" w:rsidRDefault="00B7540A" w:rsidP="00B7540A">
      <w:pPr>
        <w:pStyle w:val="Heading6"/>
        <w:spacing w:line="276" w:lineRule="auto"/>
        <w:rPr>
          <w:rFonts w:ascii="GHEA Grapalat" w:hAnsi="GHEA Grapalat"/>
          <w:lang w:val="hy-AM"/>
        </w:rPr>
      </w:pPr>
      <w:r w:rsidRPr="00B7540A">
        <w:rPr>
          <w:rFonts w:ascii="GHEA Grapalat" w:hAnsi="GHEA Grapalat"/>
          <w:lang w:val="hy-AM"/>
        </w:rPr>
        <w:t>Աշխատանքի շուկա</w:t>
      </w:r>
    </w:p>
    <w:p w14:paraId="1CB13718" w14:textId="77777777" w:rsidR="00B7540A" w:rsidRPr="00B7540A" w:rsidRDefault="00B7540A" w:rsidP="00B7540A">
      <w:pPr>
        <w:spacing w:line="276" w:lineRule="auto"/>
        <w:rPr>
          <w:lang w:val="hy-AM"/>
        </w:rPr>
      </w:pPr>
      <w:r w:rsidRPr="00B7540A">
        <w:rPr>
          <w:rFonts w:eastAsiaTheme="majorEastAsia"/>
          <w:b/>
          <w:bCs/>
          <w:lang w:val="hy-AM"/>
        </w:rPr>
        <w:t>2018-2019թթ. տնտեսական աճին զուգահեռ գործազրկության մակարդակը  նվազել է, իսկ աշխատուժի մասնակցության մակարդակն աճել է: 2020թ. տնտեսական անկման պայմաններում գործազրկության մակարդակն</w:t>
      </w:r>
      <w:r w:rsidRPr="00586097">
        <w:rPr>
          <w:rStyle w:val="FootnoteReference"/>
          <w:rFonts w:eastAsiaTheme="majorEastAsia"/>
          <w:b/>
          <w:bCs/>
        </w:rPr>
        <w:footnoteReference w:id="13"/>
      </w:r>
      <w:r w:rsidRPr="00B7540A">
        <w:rPr>
          <w:rFonts w:eastAsiaTheme="majorEastAsia"/>
          <w:b/>
          <w:bCs/>
          <w:lang w:val="hy-AM"/>
        </w:rPr>
        <w:t xml:space="preserve"> աճել է 0.2 տոկոսային կետով՝</w:t>
      </w:r>
      <w:r w:rsidRPr="00B7540A">
        <w:rPr>
          <w:rFonts w:eastAsiaTheme="majorEastAsia"/>
          <w:lang w:val="hy-AM"/>
        </w:rPr>
        <w:t xml:space="preserve"> 17.9%-ից հասնելով 18.1%-ի, իսկ աշխատուժի մասնակցության մակարդակը նվազել է՝ 58.9%-ից հասնելով 57.7%-ի: Նույն ժամանակաշրջանում կրճատվել է ինչպես զբաղվածների, այնպես էլ գործազուրկների թիվը: Նշենք, որ 3.1%-ով աճել է աշխատուժից դուրս բնակչության թիվը</w:t>
      </w:r>
      <w:r w:rsidRPr="00586097">
        <w:rPr>
          <w:rStyle w:val="FootnoteReference"/>
          <w:rFonts w:eastAsiaTheme="majorEastAsia"/>
        </w:rPr>
        <w:footnoteReference w:id="14"/>
      </w:r>
      <w:r w:rsidRPr="00B7540A">
        <w:rPr>
          <w:rFonts w:eastAsiaTheme="majorEastAsia"/>
          <w:lang w:val="hy-AM"/>
        </w:rPr>
        <w:t xml:space="preserve">, ինչը հիմնականում պայմանավորված է ոչ տնտեսական գործոններով (հատկապես պատերազմի ազդեցությամբ)։ </w:t>
      </w:r>
    </w:p>
    <w:p w14:paraId="559B592D" w14:textId="77777777" w:rsidR="00B7540A" w:rsidRPr="00B7540A" w:rsidRDefault="00B7540A" w:rsidP="00C37645">
      <w:pPr>
        <w:spacing w:line="276" w:lineRule="auto"/>
        <w:ind w:firstLine="562"/>
        <w:rPr>
          <w:lang w:val="hy-AM"/>
        </w:rPr>
      </w:pPr>
      <w:r w:rsidRPr="00B7540A">
        <w:rPr>
          <w:rFonts w:eastAsiaTheme="majorEastAsia"/>
          <w:b/>
          <w:bCs/>
          <w:lang w:val="hy-AM"/>
        </w:rPr>
        <w:t>2021թ. I եռամսյակում գործազրկության մակարդակը նախորդ տարվա նույն եռամսյակի նկատմամբ նվազել է 2.7 տոկոսային կետով՝ կազմելով 17.0%:</w:t>
      </w:r>
      <w:r w:rsidRPr="00B7540A">
        <w:rPr>
          <w:rFonts w:eastAsiaTheme="majorEastAsia"/>
          <w:lang w:val="hy-AM"/>
        </w:rPr>
        <w:t xml:space="preserve"> Գործազուրկների թիվը նվազել է 17.1%-ով՝ կազմելով 193.0 հազար մարդ: Նշենք, որ միաժամանակ 0.2%-ով նվազել է նաև զբաղվածների թիվը՝ կազմելով 943.8 հազ. մարդ: Աշխատուժի առաջարկը (տնտեսապես ակտիվ բնակչություն) ևս նվազել է 3.6%-ով՝ կազմելով 1136.8 հազար մարդ: Աշխատանքի շուկայի ցուցանիշների շարժընթացը հիմնականում բացատրվում է 2020թ. տեղի ունեցած ժողովրդագրական տեղաշարժով:</w:t>
      </w:r>
    </w:p>
    <w:p w14:paraId="43B8FBCC" w14:textId="77777777" w:rsidR="00B7540A" w:rsidRDefault="00B7540A" w:rsidP="00C37645">
      <w:pPr>
        <w:spacing w:after="120" w:line="276" w:lineRule="auto"/>
        <w:ind w:firstLine="562"/>
        <w:rPr>
          <w:rFonts w:eastAsiaTheme="majorEastAsia"/>
        </w:rPr>
      </w:pPr>
      <w:r w:rsidRPr="00B7540A">
        <w:rPr>
          <w:rFonts w:eastAsiaTheme="majorEastAsia"/>
          <w:b/>
          <w:bCs/>
          <w:lang w:val="hy-AM"/>
        </w:rPr>
        <w:t>2021թ. տնտեսական վերականգնման պայմաններում աշխատանքի շուկայում կդրսևորվեն դրական զարգացումներ։</w:t>
      </w:r>
      <w:r w:rsidRPr="00B7540A">
        <w:rPr>
          <w:rFonts w:eastAsiaTheme="majorEastAsia"/>
          <w:lang w:val="hy-AM"/>
        </w:rPr>
        <w:t xml:space="preserve"> </w:t>
      </w:r>
      <w:r w:rsidRPr="00586097">
        <w:rPr>
          <w:rFonts w:eastAsiaTheme="majorEastAsia"/>
        </w:rPr>
        <w:t xml:space="preserve">Այս պայմաններում ակնկալվում է զբաղվածության աճ և գործազրկության նվազում։  </w:t>
      </w:r>
    </w:p>
    <w:tbl>
      <w:tblPr>
        <w:tblStyle w:val="TableGrid1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004"/>
        <w:gridCol w:w="5020"/>
      </w:tblGrid>
      <w:tr w:rsidR="00B7540A" w:rsidRPr="00586097" w14:paraId="688C518E" w14:textId="77777777" w:rsidTr="00C37645">
        <w:trPr>
          <w:trHeight w:val="3063"/>
        </w:trPr>
        <w:tc>
          <w:tcPr>
            <w:tcW w:w="5004" w:type="dxa"/>
          </w:tcPr>
          <w:p w14:paraId="63C87513" w14:textId="4A5F3023" w:rsidR="00B7540A" w:rsidRPr="00850279" w:rsidRDefault="00B7540A" w:rsidP="00B7540A">
            <w:pPr>
              <w:pStyle w:val="afe"/>
              <w:rPr>
                <w:lang w:val="hy-AM"/>
              </w:rPr>
            </w:pPr>
            <w:r w:rsidRPr="00850279">
              <w:t>Գծապատկեր 1.31. Գործազրկություն և զբաղվածութ</w:t>
            </w:r>
            <w:r w:rsidR="00C37645">
              <w:t xml:space="preserve">- </w:t>
            </w:r>
            <w:r w:rsidRPr="00850279">
              <w:t>յուն</w:t>
            </w:r>
          </w:p>
          <w:p w14:paraId="1C404FEB" w14:textId="77777777" w:rsidR="00B7540A" w:rsidRPr="00586097" w:rsidRDefault="00B7540A" w:rsidP="00B7540A">
            <w:pPr>
              <w:spacing w:line="276" w:lineRule="auto"/>
              <w:ind w:firstLine="0"/>
            </w:pPr>
            <w:r w:rsidRPr="00586097">
              <w:rPr>
                <w:rFonts w:eastAsiaTheme="majorEastAsia" w:cstheme="majorBidi"/>
                <w:color w:val="244061" w:themeColor="accent1" w:themeShade="80"/>
              </w:rPr>
              <w:t xml:space="preserve"> </w:t>
            </w:r>
            <w:r w:rsidRPr="00586097">
              <w:rPr>
                <w:rFonts w:eastAsiaTheme="majorEastAsia" w:cstheme="majorBidi"/>
                <w:noProof/>
                <w:color w:val="244061" w:themeColor="accent1" w:themeShade="80"/>
              </w:rPr>
              <w:drawing>
                <wp:inline distT="0" distB="0" distL="0" distR="0" wp14:anchorId="6B69EDFC" wp14:editId="3100B280">
                  <wp:extent cx="2955290" cy="1796719"/>
                  <wp:effectExtent l="0" t="0" r="16510" b="13335"/>
                  <wp:docPr id="42"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A46A111" w14:textId="23888BC7" w:rsidR="00B7540A" w:rsidRPr="00850279" w:rsidRDefault="00B7540A" w:rsidP="001B0E4D">
            <w:pPr>
              <w:pStyle w:val="afd"/>
              <w:spacing w:after="0"/>
              <w:contextualSpacing w:val="0"/>
              <w:rPr>
                <w:sz w:val="16"/>
              </w:rPr>
            </w:pPr>
            <w:r w:rsidRPr="00AE4CEC">
              <w:t>Աղբյուրը՝ ՀՀ ՎԿ</w:t>
            </w:r>
          </w:p>
        </w:tc>
        <w:tc>
          <w:tcPr>
            <w:tcW w:w="5020" w:type="dxa"/>
          </w:tcPr>
          <w:p w14:paraId="329DF9F2" w14:textId="2A802642" w:rsidR="00B7540A" w:rsidRPr="00850279" w:rsidRDefault="00850279" w:rsidP="00B7540A">
            <w:pPr>
              <w:pStyle w:val="afe"/>
              <w:rPr>
                <w:lang w:val="hy-AM"/>
              </w:rPr>
            </w:pPr>
            <w:r w:rsidRPr="00850279">
              <w:drawing>
                <wp:anchor distT="0" distB="0" distL="114300" distR="114300" simplePos="0" relativeHeight="251686400" behindDoc="1" locked="0" layoutInCell="1" allowOverlap="1" wp14:anchorId="5EE4EF35" wp14:editId="3734BEA7">
                  <wp:simplePos x="0" y="0"/>
                  <wp:positionH relativeFrom="column">
                    <wp:posOffset>-1905</wp:posOffset>
                  </wp:positionH>
                  <wp:positionV relativeFrom="paragraph">
                    <wp:posOffset>372745</wp:posOffset>
                  </wp:positionV>
                  <wp:extent cx="2987040" cy="1804670"/>
                  <wp:effectExtent l="0" t="0" r="3810" b="5080"/>
                  <wp:wrapTight wrapText="bothSides">
                    <wp:wrapPolygon edited="0">
                      <wp:start x="0" y="0"/>
                      <wp:lineTo x="0" y="21433"/>
                      <wp:lineTo x="21490" y="21433"/>
                      <wp:lineTo x="21490" y="0"/>
                      <wp:lineTo x="0" y="0"/>
                    </wp:wrapPolygon>
                  </wp:wrapTight>
                  <wp:docPr id="98"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V relativeFrom="margin">
                    <wp14:pctHeight>0</wp14:pctHeight>
                  </wp14:sizeRelV>
                </wp:anchor>
              </w:drawing>
            </w:r>
            <w:r w:rsidR="00B7540A" w:rsidRPr="00850279">
              <w:rPr>
                <w:lang w:val="hy-AM"/>
              </w:rPr>
              <w:t>Գծապատկեր 1.32. Աշխատուժի մասնակցության մա</w:t>
            </w:r>
            <w:r w:rsidR="00C37645" w:rsidRPr="00AE4CEC">
              <w:rPr>
                <w:lang w:val="hy-AM"/>
              </w:rPr>
              <w:t xml:space="preserve">- </w:t>
            </w:r>
            <w:r w:rsidR="00B7540A" w:rsidRPr="00850279">
              <w:rPr>
                <w:lang w:val="hy-AM"/>
              </w:rPr>
              <w:t xml:space="preserve">կարդակ և աշխատավարձ </w:t>
            </w:r>
          </w:p>
          <w:p w14:paraId="718A7A8C" w14:textId="465C9D38" w:rsidR="00B7540A" w:rsidRPr="00850279" w:rsidRDefault="00B7540A" w:rsidP="001B0E4D">
            <w:pPr>
              <w:pStyle w:val="afd"/>
              <w:spacing w:before="0" w:after="0" w:line="240" w:lineRule="auto"/>
              <w:contextualSpacing w:val="0"/>
              <w:rPr>
                <w:sz w:val="16"/>
              </w:rPr>
            </w:pPr>
            <w:r w:rsidRPr="00AE4CEC">
              <w:t>Աղբյուրը՝ ՀՀ ՎԿ</w:t>
            </w:r>
          </w:p>
        </w:tc>
      </w:tr>
    </w:tbl>
    <w:p w14:paraId="28558FC0" w14:textId="77777777" w:rsidR="00B7540A" w:rsidRPr="00B7540A" w:rsidRDefault="00B7540A" w:rsidP="00C37645">
      <w:pPr>
        <w:spacing w:before="120" w:line="276" w:lineRule="auto"/>
        <w:ind w:firstLine="562"/>
        <w:rPr>
          <w:lang w:val="hy-AM"/>
        </w:rPr>
      </w:pPr>
      <w:r w:rsidRPr="00B7540A">
        <w:rPr>
          <w:rFonts w:eastAsiaTheme="majorEastAsia"/>
          <w:lang w:val="hy-AM"/>
        </w:rPr>
        <w:t>2018-2019թթ. անվանական աշխատավարձը միջինում աճել է 4.9%-ով՝ պայմանավորված իրական արտադրողականության աճով, սակայն 2020թ. տնտեսական անկման պայմաններում անվանական աշխատավարձի աճի տեմպը նախորդ տարիների համեմատ դանդաղել է և կազմել է 3.9%: 2021թ.՝ հունվար-մայիսին միջին ամսական անվանական աշխատավարձն աճել է 4.4%-ով՝ կազմելով 195,452 դրամ: Ընդ որում՝ սպառողական գների ինդեքսի 5.5% աճի պարագայում իրական աշխատավարձը նվազել է 1.04%-ով: Պետական հատվածում միջին ամսական անվանական աշխատավարձն աճել է 3.7%-ով՝ կազմելով 167,568 դրամ, իսկ մասնավոր հատվածում՝ 4.6%-ով, կազմելով 208,958 դրամ:</w:t>
      </w:r>
    </w:p>
    <w:p w14:paraId="757872F7" w14:textId="77777777" w:rsidR="00B7540A" w:rsidRPr="00B7540A" w:rsidRDefault="00B7540A" w:rsidP="00B7540A">
      <w:pPr>
        <w:pStyle w:val="Heading6"/>
        <w:spacing w:line="276" w:lineRule="auto"/>
        <w:rPr>
          <w:rFonts w:ascii="GHEA Grapalat" w:hAnsi="GHEA Grapalat"/>
          <w:lang w:val="hy-AM"/>
        </w:rPr>
      </w:pPr>
      <w:r w:rsidRPr="00B7540A">
        <w:rPr>
          <w:rFonts w:ascii="GHEA Grapalat" w:hAnsi="GHEA Grapalat"/>
          <w:lang w:val="hy-AM"/>
        </w:rPr>
        <w:t xml:space="preserve">ՀՀ վճարային հաշվեկշիռ, արտահանում և ներմուծում </w:t>
      </w:r>
    </w:p>
    <w:p w14:paraId="28DF731B" w14:textId="77777777" w:rsidR="00B7540A" w:rsidRPr="00B7540A" w:rsidRDefault="00B7540A" w:rsidP="00B7540A">
      <w:pPr>
        <w:spacing w:line="276" w:lineRule="auto"/>
        <w:rPr>
          <w:lang w:val="hy-AM"/>
        </w:rPr>
      </w:pPr>
      <w:r w:rsidRPr="00B7540A">
        <w:rPr>
          <w:rFonts w:eastAsiaTheme="majorEastAsia"/>
          <w:b/>
          <w:bCs/>
          <w:lang w:val="hy-AM"/>
        </w:rPr>
        <w:t>2018-2019թթ.</w:t>
      </w:r>
      <w:r w:rsidRPr="00B7540A" w:rsidDel="00301E27">
        <w:rPr>
          <w:rFonts w:eastAsiaTheme="majorEastAsia"/>
          <w:b/>
          <w:bCs/>
          <w:lang w:val="hy-AM"/>
        </w:rPr>
        <w:t xml:space="preserve"> </w:t>
      </w:r>
      <w:r w:rsidRPr="00B7540A">
        <w:rPr>
          <w:rFonts w:eastAsiaTheme="majorEastAsia"/>
          <w:b/>
          <w:bCs/>
          <w:lang w:val="hy-AM"/>
        </w:rPr>
        <w:t>վճարային հաշվեկշռի ընթացիկ հաշվի պակասուրդը վատթարացել է` միջինում կազմելով ՀՆԱ-ի 7.2%-ը:</w:t>
      </w:r>
      <w:r w:rsidRPr="00B7540A">
        <w:rPr>
          <w:rFonts w:eastAsiaTheme="majorEastAsia"/>
          <w:lang w:val="hy-AM"/>
        </w:rPr>
        <w:t xml:space="preserve"> Նշված տարիներին ընթացիկ հաշիվը բնութագրվել է ապրանքների (հիմնականում՝ ավտոմեքենաների) և ծառայությունների (հիմնականում՝ ճանապարհորդության և մարդատար տրանսպորտի մեջ զբոսաշրջության հետ կապված ծառայությունների) ներմուծման աճի հաշվին հաշվեկշռի որոշակի վատթարացմամբ, ինչպես նաև սկզբնական և երկրորդային եկամուտների ծավալների կրճատմամբ։ </w:t>
      </w:r>
    </w:p>
    <w:p w14:paraId="1F4F9293" w14:textId="77777777" w:rsidR="00B7540A" w:rsidRPr="00586097" w:rsidRDefault="00B7540A" w:rsidP="00B7540A">
      <w:pPr>
        <w:spacing w:line="276" w:lineRule="auto"/>
        <w:rPr>
          <w:lang w:val="it-IT"/>
        </w:rPr>
      </w:pPr>
      <w:r w:rsidRPr="00B7540A">
        <w:rPr>
          <w:rFonts w:eastAsiaTheme="majorEastAsia"/>
          <w:b/>
          <w:bCs/>
          <w:lang w:val="hy-AM"/>
        </w:rPr>
        <w:t>2020թ-ին համավարակի և Արցախյան պատերազմի բացասական ազդեցությունների պայմաններում ընթացիկ հաշվի պակասուրդը նախորդ</w:t>
      </w:r>
      <w:r w:rsidRPr="00586097">
        <w:rPr>
          <w:rFonts w:eastAsiaTheme="majorEastAsia"/>
          <w:b/>
          <w:bCs/>
          <w:lang w:val="it-IT"/>
        </w:rPr>
        <w:t xml:space="preserve"> </w:t>
      </w:r>
      <w:r w:rsidRPr="00B7540A">
        <w:rPr>
          <w:rFonts w:eastAsiaTheme="majorEastAsia"/>
          <w:b/>
          <w:bCs/>
          <w:lang w:val="hy-AM"/>
        </w:rPr>
        <w:t>տարվա</w:t>
      </w:r>
      <w:r w:rsidRPr="00586097">
        <w:rPr>
          <w:rFonts w:eastAsiaTheme="majorEastAsia"/>
          <w:b/>
          <w:bCs/>
          <w:lang w:val="it-IT"/>
        </w:rPr>
        <w:t xml:space="preserve"> </w:t>
      </w:r>
      <w:r w:rsidRPr="00B7540A">
        <w:rPr>
          <w:rFonts w:eastAsiaTheme="majorEastAsia"/>
          <w:b/>
          <w:bCs/>
          <w:lang w:val="hy-AM"/>
        </w:rPr>
        <w:t>համեմատ բարելավվել է՝ կազմելով ՀՆԱ-ի 3.8%-ը:</w:t>
      </w:r>
      <w:r w:rsidRPr="00B7540A">
        <w:rPr>
          <w:rFonts w:eastAsiaTheme="majorEastAsia"/>
          <w:lang w:val="hy-AM"/>
        </w:rPr>
        <w:t xml:space="preserve"> </w:t>
      </w:r>
      <w:r w:rsidRPr="00586097">
        <w:rPr>
          <w:rFonts w:eastAsiaTheme="majorEastAsia"/>
          <w:lang w:val="it-IT"/>
        </w:rPr>
        <w:t xml:space="preserve">Ընթացիկ հաշվի բարելավումը պայմանավորված է եղել </w:t>
      </w:r>
      <w:r w:rsidRPr="00B7540A">
        <w:rPr>
          <w:rFonts w:eastAsiaTheme="majorEastAsia"/>
          <w:lang w:val="hy-AM"/>
        </w:rPr>
        <w:t>ա</w:t>
      </w:r>
      <w:r w:rsidRPr="00586097">
        <w:rPr>
          <w:rFonts w:eastAsiaTheme="majorEastAsia"/>
          <w:lang w:val="it-IT"/>
        </w:rPr>
        <w:t>պրանքների և ծառայությունների բացասական հաշվեկշ</w:t>
      </w:r>
      <w:r w:rsidRPr="00B7540A">
        <w:rPr>
          <w:rFonts w:eastAsiaTheme="majorEastAsia"/>
          <w:lang w:val="hy-AM"/>
        </w:rPr>
        <w:t>ի</w:t>
      </w:r>
      <w:r w:rsidRPr="00586097">
        <w:rPr>
          <w:rFonts w:eastAsiaTheme="majorEastAsia"/>
          <w:lang w:val="it-IT"/>
        </w:rPr>
        <w:t>ռ</w:t>
      </w:r>
      <w:r w:rsidRPr="00B7540A">
        <w:rPr>
          <w:rFonts w:eastAsiaTheme="majorEastAsia"/>
          <w:lang w:val="hy-AM"/>
        </w:rPr>
        <w:t>ի</w:t>
      </w:r>
      <w:r w:rsidRPr="00586097">
        <w:rPr>
          <w:rFonts w:eastAsiaTheme="majorEastAsia"/>
          <w:lang w:val="it-IT"/>
        </w:rPr>
        <w:t xml:space="preserve"> </w:t>
      </w:r>
      <w:r w:rsidRPr="00B7540A">
        <w:rPr>
          <w:rFonts w:eastAsiaTheme="majorEastAsia"/>
          <w:lang w:val="hy-AM"/>
        </w:rPr>
        <w:t>կրճատմամբ՝ հիմնականում համավարակի պատճառով գլոբալ զբոսաշրջության կրճատման և ներքին թույլ պահանջարկի հետևանքով ապրանքների և ծառայությունների ներմուծման ավելի խորը անկման, ինչպես նաև անհատույց տրամադրվող դրամական փոխանցումների (</w:t>
      </w:r>
      <w:r w:rsidRPr="00586097">
        <w:rPr>
          <w:rFonts w:eastAsiaTheme="majorEastAsia"/>
          <w:lang w:val="it-IT"/>
        </w:rPr>
        <w:t>երկրորդային եկամուտների) աճ</w:t>
      </w:r>
      <w:r w:rsidRPr="00B7540A">
        <w:rPr>
          <w:rFonts w:eastAsiaTheme="majorEastAsia"/>
          <w:lang w:val="hy-AM"/>
        </w:rPr>
        <w:t>ի արդյունքում</w:t>
      </w:r>
      <w:r w:rsidRPr="00586097">
        <w:rPr>
          <w:rFonts w:eastAsiaTheme="majorEastAsia"/>
          <w:lang w:val="it-IT"/>
        </w:rPr>
        <w:t xml:space="preserve">: </w:t>
      </w:r>
    </w:p>
    <w:p w14:paraId="4AB6DAFB" w14:textId="77777777" w:rsidR="00B7540A" w:rsidRPr="00B7540A" w:rsidRDefault="00B7540A" w:rsidP="00B7540A">
      <w:pPr>
        <w:spacing w:line="276" w:lineRule="auto"/>
        <w:rPr>
          <w:lang w:val="it-IT"/>
        </w:rPr>
      </w:pPr>
      <w:r w:rsidRPr="00B7540A">
        <w:rPr>
          <w:rFonts w:eastAsiaTheme="majorEastAsia"/>
          <w:b/>
          <w:bCs/>
          <w:lang w:val="it-IT"/>
        </w:rPr>
        <w:t>2021</w:t>
      </w:r>
      <w:r w:rsidRPr="00586097">
        <w:rPr>
          <w:rFonts w:eastAsiaTheme="majorEastAsia"/>
          <w:b/>
          <w:bCs/>
        </w:rPr>
        <w:t>թ</w:t>
      </w:r>
      <w:r w:rsidRPr="00B7540A">
        <w:rPr>
          <w:rFonts w:ascii="Cambria Math" w:eastAsiaTheme="majorEastAsia" w:hAnsi="Cambria Math" w:cs="Cambria Math"/>
          <w:b/>
          <w:bCs/>
          <w:lang w:val="it-IT"/>
        </w:rPr>
        <w:t>․</w:t>
      </w:r>
      <w:r w:rsidRPr="00B7540A">
        <w:rPr>
          <w:rFonts w:eastAsiaTheme="majorEastAsia"/>
          <w:b/>
          <w:bCs/>
          <w:lang w:val="it-IT"/>
        </w:rPr>
        <w:t xml:space="preserve"> </w:t>
      </w:r>
      <w:r w:rsidRPr="00586097">
        <w:rPr>
          <w:rFonts w:eastAsiaTheme="majorEastAsia"/>
          <w:b/>
          <w:bCs/>
        </w:rPr>
        <w:t>առաջին</w:t>
      </w:r>
      <w:r w:rsidRPr="00B7540A">
        <w:rPr>
          <w:rFonts w:eastAsiaTheme="majorEastAsia"/>
          <w:b/>
          <w:bCs/>
          <w:lang w:val="it-IT"/>
        </w:rPr>
        <w:t xml:space="preserve"> </w:t>
      </w:r>
      <w:r w:rsidRPr="00586097">
        <w:rPr>
          <w:rFonts w:eastAsiaTheme="majorEastAsia"/>
          <w:b/>
          <w:bCs/>
        </w:rPr>
        <w:t>եռամսյակում</w:t>
      </w:r>
      <w:r w:rsidRPr="00B7540A">
        <w:rPr>
          <w:rFonts w:eastAsiaTheme="majorEastAsia"/>
          <w:b/>
          <w:bCs/>
          <w:lang w:val="it-IT"/>
        </w:rPr>
        <w:t xml:space="preserve"> </w:t>
      </w:r>
      <w:r w:rsidRPr="00586097">
        <w:rPr>
          <w:rFonts w:eastAsiaTheme="majorEastAsia"/>
          <w:b/>
          <w:bCs/>
        </w:rPr>
        <w:t>ընթացիկ</w:t>
      </w:r>
      <w:r w:rsidRPr="00B7540A">
        <w:rPr>
          <w:rFonts w:eastAsiaTheme="majorEastAsia"/>
          <w:b/>
          <w:bCs/>
          <w:lang w:val="it-IT"/>
        </w:rPr>
        <w:t xml:space="preserve"> </w:t>
      </w:r>
      <w:r w:rsidRPr="00586097">
        <w:rPr>
          <w:rFonts w:eastAsiaTheme="majorEastAsia"/>
          <w:b/>
          <w:bCs/>
        </w:rPr>
        <w:t>հաշվի</w:t>
      </w:r>
      <w:r w:rsidRPr="00B7540A">
        <w:rPr>
          <w:rFonts w:eastAsiaTheme="majorEastAsia"/>
          <w:b/>
          <w:bCs/>
          <w:lang w:val="it-IT"/>
        </w:rPr>
        <w:t xml:space="preserve"> </w:t>
      </w:r>
      <w:r w:rsidRPr="00586097">
        <w:rPr>
          <w:rFonts w:eastAsiaTheme="majorEastAsia"/>
          <w:b/>
          <w:bCs/>
        </w:rPr>
        <w:t>պակասուրդը</w:t>
      </w:r>
      <w:r w:rsidRPr="00B7540A">
        <w:rPr>
          <w:rFonts w:eastAsiaTheme="majorEastAsia"/>
          <w:b/>
          <w:bCs/>
          <w:lang w:val="it-IT"/>
        </w:rPr>
        <w:t xml:space="preserve"> </w:t>
      </w:r>
      <w:r w:rsidRPr="00586097">
        <w:rPr>
          <w:rFonts w:eastAsiaTheme="majorEastAsia"/>
          <w:b/>
          <w:bCs/>
        </w:rPr>
        <w:t>նախորդ</w:t>
      </w:r>
      <w:r w:rsidRPr="00586097">
        <w:rPr>
          <w:rFonts w:eastAsiaTheme="majorEastAsia"/>
          <w:b/>
          <w:bCs/>
          <w:lang w:val="it-IT"/>
        </w:rPr>
        <w:t xml:space="preserve"> </w:t>
      </w:r>
      <w:r w:rsidRPr="00586097">
        <w:rPr>
          <w:rFonts w:eastAsiaTheme="majorEastAsia"/>
          <w:b/>
          <w:bCs/>
        </w:rPr>
        <w:t>տարվա</w:t>
      </w:r>
      <w:r w:rsidRPr="00586097">
        <w:rPr>
          <w:rFonts w:eastAsiaTheme="majorEastAsia"/>
          <w:b/>
          <w:bCs/>
          <w:lang w:val="it-IT"/>
        </w:rPr>
        <w:t xml:space="preserve"> </w:t>
      </w:r>
      <w:r w:rsidRPr="00586097">
        <w:rPr>
          <w:rFonts w:eastAsiaTheme="majorEastAsia"/>
          <w:b/>
          <w:bCs/>
        </w:rPr>
        <w:t>առաջին</w:t>
      </w:r>
      <w:r w:rsidRPr="00B7540A">
        <w:rPr>
          <w:rFonts w:eastAsiaTheme="majorEastAsia"/>
          <w:b/>
          <w:bCs/>
          <w:lang w:val="it-IT"/>
        </w:rPr>
        <w:t xml:space="preserve"> </w:t>
      </w:r>
      <w:r w:rsidRPr="00586097">
        <w:rPr>
          <w:rFonts w:eastAsiaTheme="majorEastAsia"/>
          <w:b/>
          <w:bCs/>
        </w:rPr>
        <w:t>եռամսյակի</w:t>
      </w:r>
      <w:r w:rsidRPr="00B7540A">
        <w:rPr>
          <w:rFonts w:eastAsiaTheme="majorEastAsia"/>
          <w:b/>
          <w:bCs/>
          <w:lang w:val="it-IT"/>
        </w:rPr>
        <w:t xml:space="preserve"> </w:t>
      </w:r>
      <w:r w:rsidRPr="00586097">
        <w:rPr>
          <w:rFonts w:eastAsiaTheme="majorEastAsia"/>
          <w:b/>
          <w:bCs/>
        </w:rPr>
        <w:t>համեմատ</w:t>
      </w:r>
      <w:r w:rsidRPr="00B7540A">
        <w:rPr>
          <w:rFonts w:eastAsiaTheme="majorEastAsia"/>
          <w:b/>
          <w:bCs/>
          <w:lang w:val="it-IT"/>
        </w:rPr>
        <w:t xml:space="preserve"> </w:t>
      </w:r>
      <w:r w:rsidRPr="00586097">
        <w:rPr>
          <w:rFonts w:eastAsiaTheme="majorEastAsia"/>
          <w:b/>
          <w:bCs/>
        </w:rPr>
        <w:t>բարելավվել</w:t>
      </w:r>
      <w:r w:rsidRPr="00B7540A">
        <w:rPr>
          <w:rFonts w:eastAsiaTheme="majorEastAsia"/>
          <w:b/>
          <w:bCs/>
          <w:lang w:val="it-IT"/>
        </w:rPr>
        <w:t xml:space="preserve"> </w:t>
      </w:r>
      <w:r w:rsidRPr="00586097">
        <w:rPr>
          <w:rFonts w:eastAsiaTheme="majorEastAsia"/>
          <w:b/>
          <w:bCs/>
        </w:rPr>
        <w:t>է</w:t>
      </w:r>
      <w:r w:rsidRPr="00B7540A">
        <w:rPr>
          <w:rFonts w:eastAsiaTheme="majorEastAsia"/>
          <w:b/>
          <w:bCs/>
          <w:lang w:val="it-IT"/>
        </w:rPr>
        <w:t xml:space="preserve">  5</w:t>
      </w:r>
      <w:r w:rsidRPr="00586097">
        <w:rPr>
          <w:rFonts w:eastAsiaTheme="majorEastAsia"/>
          <w:b/>
          <w:bCs/>
          <w:lang w:val="it-IT"/>
        </w:rPr>
        <w:t>.</w:t>
      </w:r>
      <w:r w:rsidRPr="00B7540A">
        <w:rPr>
          <w:rFonts w:eastAsiaTheme="majorEastAsia"/>
          <w:b/>
          <w:bCs/>
          <w:lang w:val="it-IT"/>
        </w:rPr>
        <w:t xml:space="preserve">5 </w:t>
      </w:r>
      <w:r w:rsidRPr="00586097">
        <w:rPr>
          <w:rFonts w:eastAsiaTheme="majorEastAsia"/>
          <w:b/>
          <w:bCs/>
        </w:rPr>
        <w:t>տոկոսային</w:t>
      </w:r>
      <w:r w:rsidRPr="00B7540A">
        <w:rPr>
          <w:rFonts w:eastAsiaTheme="majorEastAsia"/>
          <w:b/>
          <w:bCs/>
          <w:lang w:val="it-IT"/>
        </w:rPr>
        <w:t xml:space="preserve"> </w:t>
      </w:r>
      <w:r w:rsidRPr="00586097">
        <w:rPr>
          <w:rFonts w:eastAsiaTheme="majorEastAsia"/>
          <w:b/>
          <w:bCs/>
        </w:rPr>
        <w:t>կետով՝</w:t>
      </w:r>
      <w:r w:rsidRPr="00B7540A">
        <w:rPr>
          <w:rFonts w:eastAsiaTheme="majorEastAsia"/>
          <w:b/>
          <w:bCs/>
          <w:lang w:val="it-IT"/>
        </w:rPr>
        <w:t xml:space="preserve"> </w:t>
      </w:r>
      <w:r w:rsidRPr="00586097">
        <w:rPr>
          <w:rFonts w:eastAsiaTheme="majorEastAsia"/>
          <w:b/>
          <w:bCs/>
        </w:rPr>
        <w:t>կազմելով</w:t>
      </w:r>
      <w:r w:rsidRPr="00B7540A">
        <w:rPr>
          <w:rFonts w:eastAsiaTheme="majorEastAsia"/>
          <w:b/>
          <w:bCs/>
          <w:lang w:val="it-IT"/>
        </w:rPr>
        <w:t xml:space="preserve"> </w:t>
      </w:r>
      <w:r w:rsidRPr="00586097">
        <w:rPr>
          <w:rFonts w:eastAsiaTheme="majorEastAsia"/>
          <w:b/>
          <w:bCs/>
        </w:rPr>
        <w:t>ՀՆԱ</w:t>
      </w:r>
      <w:r w:rsidRPr="00B7540A">
        <w:rPr>
          <w:rFonts w:eastAsiaTheme="majorEastAsia"/>
          <w:b/>
          <w:bCs/>
          <w:lang w:val="it-IT"/>
        </w:rPr>
        <w:t>-</w:t>
      </w:r>
      <w:r w:rsidRPr="00586097">
        <w:rPr>
          <w:rFonts w:eastAsiaTheme="majorEastAsia"/>
          <w:b/>
          <w:bCs/>
        </w:rPr>
        <w:t>ի</w:t>
      </w:r>
      <w:r w:rsidRPr="00B7540A">
        <w:rPr>
          <w:rFonts w:eastAsiaTheme="majorEastAsia"/>
          <w:b/>
          <w:bCs/>
          <w:lang w:val="it-IT"/>
        </w:rPr>
        <w:t xml:space="preserve"> 3.4</w:t>
      </w:r>
      <w:r w:rsidRPr="00586097">
        <w:rPr>
          <w:rFonts w:eastAsiaTheme="majorEastAsia"/>
          <w:b/>
          <w:bCs/>
          <w:lang w:val="it-IT"/>
        </w:rPr>
        <w:t>%</w:t>
      </w:r>
      <w:r w:rsidRPr="00B7540A">
        <w:rPr>
          <w:rFonts w:eastAsiaTheme="majorEastAsia"/>
          <w:lang w:val="it-IT"/>
        </w:rPr>
        <w:t xml:space="preserve">, </w:t>
      </w:r>
      <w:r w:rsidRPr="00586097">
        <w:rPr>
          <w:rFonts w:eastAsiaTheme="majorEastAsia"/>
        </w:rPr>
        <w:t>որը</w:t>
      </w:r>
      <w:r w:rsidRPr="00B7540A">
        <w:rPr>
          <w:rFonts w:eastAsiaTheme="majorEastAsia"/>
          <w:lang w:val="it-IT"/>
        </w:rPr>
        <w:t xml:space="preserve"> </w:t>
      </w:r>
      <w:r w:rsidRPr="00586097">
        <w:rPr>
          <w:rFonts w:eastAsiaTheme="majorEastAsia"/>
        </w:rPr>
        <w:t>հիմնականում</w:t>
      </w:r>
      <w:r w:rsidRPr="00B7540A">
        <w:rPr>
          <w:rFonts w:eastAsiaTheme="majorEastAsia"/>
          <w:lang w:val="it-IT"/>
        </w:rPr>
        <w:t xml:space="preserve"> </w:t>
      </w:r>
      <w:r w:rsidRPr="00586097">
        <w:rPr>
          <w:rFonts w:eastAsiaTheme="majorEastAsia"/>
        </w:rPr>
        <w:t>պայմանավորված</w:t>
      </w:r>
      <w:r w:rsidRPr="00B7540A">
        <w:rPr>
          <w:rFonts w:eastAsiaTheme="majorEastAsia"/>
          <w:lang w:val="it-IT"/>
        </w:rPr>
        <w:t xml:space="preserve"> </w:t>
      </w:r>
      <w:r w:rsidRPr="00586097">
        <w:rPr>
          <w:rFonts w:eastAsiaTheme="majorEastAsia"/>
        </w:rPr>
        <w:t>էր</w:t>
      </w:r>
      <w:r w:rsidRPr="00B7540A">
        <w:rPr>
          <w:rFonts w:eastAsiaTheme="majorEastAsia"/>
          <w:lang w:val="it-IT"/>
        </w:rPr>
        <w:t xml:space="preserve"> </w:t>
      </w:r>
      <w:r w:rsidRPr="00586097">
        <w:rPr>
          <w:rFonts w:eastAsiaTheme="majorEastAsia"/>
        </w:rPr>
        <w:t>ապրանքների</w:t>
      </w:r>
      <w:r w:rsidRPr="00B7540A">
        <w:rPr>
          <w:rFonts w:eastAsiaTheme="majorEastAsia"/>
          <w:lang w:val="it-IT"/>
        </w:rPr>
        <w:t xml:space="preserve"> </w:t>
      </w:r>
      <w:r w:rsidRPr="00586097">
        <w:rPr>
          <w:rFonts w:eastAsiaTheme="majorEastAsia"/>
        </w:rPr>
        <w:t>և</w:t>
      </w:r>
      <w:r w:rsidRPr="00B7540A">
        <w:rPr>
          <w:rFonts w:eastAsiaTheme="majorEastAsia"/>
          <w:lang w:val="it-IT"/>
        </w:rPr>
        <w:t xml:space="preserve"> </w:t>
      </w:r>
      <w:r w:rsidRPr="00586097">
        <w:rPr>
          <w:rFonts w:eastAsiaTheme="majorEastAsia"/>
        </w:rPr>
        <w:t>ծառայությունների</w:t>
      </w:r>
      <w:r w:rsidRPr="00B7540A">
        <w:rPr>
          <w:rFonts w:eastAsiaTheme="majorEastAsia"/>
          <w:lang w:val="it-IT"/>
        </w:rPr>
        <w:t xml:space="preserve"> </w:t>
      </w:r>
      <w:r w:rsidRPr="00586097">
        <w:rPr>
          <w:rFonts w:eastAsiaTheme="majorEastAsia"/>
        </w:rPr>
        <w:t>բացասական</w:t>
      </w:r>
      <w:r w:rsidRPr="00B7540A">
        <w:rPr>
          <w:rFonts w:eastAsiaTheme="majorEastAsia"/>
          <w:lang w:val="it-IT"/>
        </w:rPr>
        <w:t xml:space="preserve"> </w:t>
      </w:r>
      <w:r w:rsidRPr="00586097">
        <w:rPr>
          <w:rFonts w:eastAsiaTheme="majorEastAsia"/>
        </w:rPr>
        <w:t>հաշվեկշիռի</w:t>
      </w:r>
      <w:r w:rsidRPr="00B7540A">
        <w:rPr>
          <w:rFonts w:eastAsiaTheme="majorEastAsia"/>
          <w:lang w:val="it-IT"/>
        </w:rPr>
        <w:t xml:space="preserve"> </w:t>
      </w:r>
      <w:r w:rsidRPr="00586097">
        <w:rPr>
          <w:rFonts w:eastAsiaTheme="majorEastAsia"/>
        </w:rPr>
        <w:t>կրճատմամբ</w:t>
      </w:r>
      <w:r w:rsidRPr="00B7540A">
        <w:rPr>
          <w:rFonts w:eastAsiaTheme="majorEastAsia"/>
          <w:lang w:val="it-IT"/>
        </w:rPr>
        <w:t xml:space="preserve"> </w:t>
      </w:r>
      <w:r w:rsidRPr="00586097">
        <w:rPr>
          <w:rFonts w:eastAsiaTheme="majorEastAsia"/>
        </w:rPr>
        <w:t>և</w:t>
      </w:r>
      <w:r w:rsidRPr="00B7540A">
        <w:rPr>
          <w:rFonts w:eastAsiaTheme="majorEastAsia"/>
          <w:lang w:val="it-IT"/>
        </w:rPr>
        <w:t xml:space="preserve"> </w:t>
      </w:r>
      <w:r w:rsidRPr="00586097">
        <w:rPr>
          <w:rFonts w:eastAsiaTheme="majorEastAsia"/>
        </w:rPr>
        <w:t>տնային</w:t>
      </w:r>
      <w:r w:rsidRPr="00B7540A">
        <w:rPr>
          <w:rFonts w:eastAsiaTheme="majorEastAsia"/>
          <w:lang w:val="it-IT"/>
        </w:rPr>
        <w:t xml:space="preserve"> </w:t>
      </w:r>
      <w:r w:rsidRPr="00586097">
        <w:rPr>
          <w:rFonts w:eastAsiaTheme="majorEastAsia"/>
        </w:rPr>
        <w:t>տնտեսություններին</w:t>
      </w:r>
      <w:r w:rsidRPr="00B7540A">
        <w:rPr>
          <w:rFonts w:eastAsiaTheme="majorEastAsia"/>
          <w:lang w:val="it-IT"/>
        </w:rPr>
        <w:t xml:space="preserve"> </w:t>
      </w:r>
      <w:r w:rsidRPr="00586097">
        <w:rPr>
          <w:rFonts w:eastAsiaTheme="majorEastAsia"/>
        </w:rPr>
        <w:t>անհատույց</w:t>
      </w:r>
      <w:r w:rsidRPr="00B7540A">
        <w:rPr>
          <w:rFonts w:eastAsiaTheme="majorEastAsia"/>
          <w:lang w:val="it-IT"/>
        </w:rPr>
        <w:t xml:space="preserve"> </w:t>
      </w:r>
      <w:r w:rsidRPr="00586097">
        <w:rPr>
          <w:rFonts w:eastAsiaTheme="majorEastAsia"/>
        </w:rPr>
        <w:t>տրամադրվող</w:t>
      </w:r>
      <w:r w:rsidRPr="00B7540A">
        <w:rPr>
          <w:rFonts w:eastAsiaTheme="majorEastAsia"/>
          <w:lang w:val="it-IT"/>
        </w:rPr>
        <w:t xml:space="preserve"> </w:t>
      </w:r>
      <w:r w:rsidRPr="00586097">
        <w:rPr>
          <w:rFonts w:eastAsiaTheme="majorEastAsia"/>
        </w:rPr>
        <w:t>դրամական</w:t>
      </w:r>
      <w:r w:rsidRPr="00B7540A">
        <w:rPr>
          <w:rFonts w:eastAsiaTheme="majorEastAsia"/>
          <w:lang w:val="it-IT"/>
        </w:rPr>
        <w:t xml:space="preserve"> </w:t>
      </w:r>
      <w:r w:rsidRPr="00586097">
        <w:rPr>
          <w:rFonts w:eastAsiaTheme="majorEastAsia"/>
        </w:rPr>
        <w:t>փոխանցումների</w:t>
      </w:r>
      <w:r w:rsidRPr="00B7540A">
        <w:rPr>
          <w:rFonts w:eastAsiaTheme="majorEastAsia"/>
          <w:lang w:val="it-IT"/>
        </w:rPr>
        <w:t xml:space="preserve"> </w:t>
      </w:r>
      <w:r w:rsidRPr="00586097">
        <w:rPr>
          <w:rFonts w:eastAsiaTheme="majorEastAsia"/>
        </w:rPr>
        <w:t>աճով</w:t>
      </w:r>
      <w:r w:rsidRPr="00B7540A">
        <w:rPr>
          <w:rFonts w:eastAsiaTheme="majorEastAsia"/>
          <w:lang w:val="it-IT"/>
        </w:rPr>
        <w:t xml:space="preserve">:  </w:t>
      </w:r>
      <w:r w:rsidRPr="00586097">
        <w:rPr>
          <w:rFonts w:eastAsiaTheme="majorEastAsia"/>
        </w:rPr>
        <w:t>Ընթացիկ</w:t>
      </w:r>
      <w:r w:rsidRPr="00B7540A">
        <w:rPr>
          <w:rFonts w:eastAsiaTheme="majorEastAsia"/>
          <w:lang w:val="it-IT"/>
        </w:rPr>
        <w:t xml:space="preserve"> </w:t>
      </w:r>
      <w:r w:rsidRPr="00586097">
        <w:rPr>
          <w:rFonts w:eastAsiaTheme="majorEastAsia"/>
        </w:rPr>
        <w:t>տարվա</w:t>
      </w:r>
      <w:r w:rsidRPr="00B7540A">
        <w:rPr>
          <w:rFonts w:eastAsiaTheme="majorEastAsia"/>
          <w:lang w:val="it-IT"/>
        </w:rPr>
        <w:t xml:space="preserve"> </w:t>
      </w:r>
      <w:r w:rsidRPr="00586097">
        <w:rPr>
          <w:rFonts w:eastAsiaTheme="majorEastAsia"/>
        </w:rPr>
        <w:t>հունվար</w:t>
      </w:r>
      <w:r w:rsidRPr="00B7540A">
        <w:rPr>
          <w:rFonts w:eastAsiaTheme="majorEastAsia"/>
          <w:lang w:val="it-IT"/>
        </w:rPr>
        <w:t>-</w:t>
      </w:r>
      <w:r w:rsidRPr="00586097">
        <w:rPr>
          <w:rFonts w:eastAsiaTheme="majorEastAsia"/>
        </w:rPr>
        <w:t>մայիս</w:t>
      </w:r>
      <w:r w:rsidRPr="00B7540A">
        <w:rPr>
          <w:rFonts w:eastAsiaTheme="majorEastAsia"/>
          <w:lang w:val="it-IT"/>
        </w:rPr>
        <w:t xml:space="preserve"> </w:t>
      </w:r>
      <w:r w:rsidRPr="00586097">
        <w:rPr>
          <w:rFonts w:eastAsiaTheme="majorEastAsia"/>
        </w:rPr>
        <w:t>ամիսներին</w:t>
      </w:r>
      <w:r w:rsidRPr="00B7540A">
        <w:rPr>
          <w:rFonts w:eastAsiaTheme="majorEastAsia"/>
          <w:lang w:val="it-IT"/>
        </w:rPr>
        <w:t xml:space="preserve"> </w:t>
      </w:r>
      <w:r w:rsidRPr="00586097">
        <w:rPr>
          <w:rFonts w:eastAsiaTheme="majorEastAsia"/>
        </w:rPr>
        <w:t>տեղի</w:t>
      </w:r>
      <w:r w:rsidRPr="00B7540A">
        <w:rPr>
          <w:rFonts w:eastAsiaTheme="majorEastAsia"/>
          <w:lang w:val="it-IT"/>
        </w:rPr>
        <w:t xml:space="preserve"> </w:t>
      </w:r>
      <w:r w:rsidRPr="00586097">
        <w:rPr>
          <w:rFonts w:eastAsiaTheme="majorEastAsia"/>
        </w:rPr>
        <w:t>է</w:t>
      </w:r>
      <w:r w:rsidRPr="00B7540A">
        <w:rPr>
          <w:rFonts w:eastAsiaTheme="majorEastAsia"/>
          <w:lang w:val="it-IT"/>
        </w:rPr>
        <w:t xml:space="preserve"> </w:t>
      </w:r>
      <w:r w:rsidRPr="00586097">
        <w:rPr>
          <w:rFonts w:eastAsiaTheme="majorEastAsia"/>
        </w:rPr>
        <w:t>ունեցել</w:t>
      </w:r>
      <w:r w:rsidRPr="00B7540A">
        <w:rPr>
          <w:rFonts w:eastAsiaTheme="majorEastAsia"/>
          <w:lang w:val="it-IT"/>
        </w:rPr>
        <w:t xml:space="preserve"> </w:t>
      </w:r>
      <w:r w:rsidRPr="00586097">
        <w:rPr>
          <w:rFonts w:eastAsiaTheme="majorEastAsia"/>
        </w:rPr>
        <w:t>ՀՀ</w:t>
      </w:r>
      <w:r w:rsidRPr="00B7540A">
        <w:rPr>
          <w:rFonts w:eastAsiaTheme="majorEastAsia"/>
          <w:lang w:val="it-IT"/>
        </w:rPr>
        <w:t xml:space="preserve"> </w:t>
      </w:r>
      <w:r w:rsidRPr="00586097">
        <w:rPr>
          <w:rFonts w:eastAsiaTheme="majorEastAsia"/>
        </w:rPr>
        <w:t>բանկերի</w:t>
      </w:r>
      <w:r w:rsidRPr="00B7540A">
        <w:rPr>
          <w:rFonts w:eastAsiaTheme="majorEastAsia"/>
          <w:lang w:val="it-IT"/>
        </w:rPr>
        <w:t xml:space="preserve"> </w:t>
      </w:r>
      <w:r w:rsidRPr="00586097">
        <w:rPr>
          <w:rFonts w:eastAsiaTheme="majorEastAsia"/>
        </w:rPr>
        <w:t>միջոցով</w:t>
      </w:r>
      <w:r w:rsidRPr="00B7540A">
        <w:rPr>
          <w:rFonts w:eastAsiaTheme="majorEastAsia"/>
          <w:lang w:val="it-IT"/>
        </w:rPr>
        <w:t xml:space="preserve"> </w:t>
      </w:r>
      <w:r w:rsidRPr="00586097">
        <w:rPr>
          <w:rFonts w:eastAsiaTheme="majorEastAsia"/>
        </w:rPr>
        <w:t>ֆիզիկական</w:t>
      </w:r>
      <w:r w:rsidRPr="00B7540A">
        <w:rPr>
          <w:rFonts w:eastAsiaTheme="majorEastAsia"/>
          <w:lang w:val="it-IT"/>
        </w:rPr>
        <w:t xml:space="preserve"> </w:t>
      </w:r>
      <w:r w:rsidRPr="00586097">
        <w:rPr>
          <w:rFonts w:eastAsiaTheme="majorEastAsia"/>
        </w:rPr>
        <w:t>անձանց</w:t>
      </w:r>
      <w:r w:rsidRPr="00B7540A">
        <w:rPr>
          <w:rFonts w:eastAsiaTheme="majorEastAsia"/>
          <w:lang w:val="it-IT"/>
        </w:rPr>
        <w:t xml:space="preserve"> </w:t>
      </w:r>
      <w:r w:rsidRPr="00586097">
        <w:rPr>
          <w:rFonts w:eastAsiaTheme="majorEastAsia"/>
        </w:rPr>
        <w:t>անունով</w:t>
      </w:r>
      <w:r w:rsidRPr="00B7540A">
        <w:rPr>
          <w:rFonts w:eastAsiaTheme="majorEastAsia"/>
          <w:lang w:val="it-IT"/>
        </w:rPr>
        <w:t xml:space="preserve"> </w:t>
      </w:r>
      <w:r w:rsidRPr="00586097">
        <w:rPr>
          <w:rFonts w:eastAsiaTheme="majorEastAsia"/>
        </w:rPr>
        <w:t>արտերկրից</w:t>
      </w:r>
      <w:r w:rsidRPr="00B7540A">
        <w:rPr>
          <w:rFonts w:eastAsiaTheme="majorEastAsia"/>
          <w:lang w:val="it-IT"/>
        </w:rPr>
        <w:t xml:space="preserve"> </w:t>
      </w:r>
      <w:r w:rsidRPr="00586097">
        <w:rPr>
          <w:rFonts w:eastAsiaTheme="majorEastAsia"/>
        </w:rPr>
        <w:t>ստացված</w:t>
      </w:r>
      <w:r w:rsidRPr="00B7540A">
        <w:rPr>
          <w:rFonts w:eastAsiaTheme="majorEastAsia"/>
          <w:lang w:val="it-IT"/>
        </w:rPr>
        <w:t xml:space="preserve"> </w:t>
      </w:r>
      <w:r w:rsidRPr="00586097">
        <w:rPr>
          <w:rFonts w:eastAsiaTheme="majorEastAsia"/>
        </w:rPr>
        <w:t>դրամական</w:t>
      </w:r>
      <w:r w:rsidRPr="00B7540A">
        <w:rPr>
          <w:rFonts w:eastAsiaTheme="majorEastAsia"/>
          <w:lang w:val="it-IT"/>
        </w:rPr>
        <w:t xml:space="preserve"> </w:t>
      </w:r>
      <w:r w:rsidRPr="00586097">
        <w:rPr>
          <w:rFonts w:eastAsiaTheme="majorEastAsia"/>
        </w:rPr>
        <w:t>փոխանցումների</w:t>
      </w:r>
      <w:r w:rsidRPr="00B7540A">
        <w:rPr>
          <w:rFonts w:eastAsiaTheme="majorEastAsia"/>
          <w:lang w:val="it-IT"/>
        </w:rPr>
        <w:t xml:space="preserve"> </w:t>
      </w:r>
      <w:r w:rsidRPr="00586097">
        <w:rPr>
          <w:rFonts w:eastAsiaTheme="majorEastAsia"/>
        </w:rPr>
        <w:t>զգալի</w:t>
      </w:r>
      <w:r w:rsidRPr="00B7540A">
        <w:rPr>
          <w:rFonts w:eastAsiaTheme="majorEastAsia"/>
          <w:lang w:val="it-IT"/>
        </w:rPr>
        <w:t xml:space="preserve"> </w:t>
      </w:r>
      <w:r w:rsidRPr="00586097">
        <w:rPr>
          <w:rFonts w:eastAsiaTheme="majorEastAsia"/>
        </w:rPr>
        <w:t>աճ</w:t>
      </w:r>
      <w:r w:rsidRPr="00B7540A">
        <w:rPr>
          <w:rFonts w:eastAsiaTheme="majorEastAsia"/>
          <w:lang w:val="it-IT"/>
        </w:rPr>
        <w:t xml:space="preserve"> </w:t>
      </w:r>
      <w:r w:rsidRPr="00586097">
        <w:rPr>
          <w:rFonts w:eastAsiaTheme="majorEastAsia"/>
          <w:lang w:val="it-IT"/>
        </w:rPr>
        <w:t>(</w:t>
      </w:r>
      <w:r w:rsidRPr="00586097">
        <w:rPr>
          <w:rFonts w:eastAsiaTheme="majorEastAsia"/>
        </w:rPr>
        <w:t>մոտ</w:t>
      </w:r>
      <w:r w:rsidRPr="00B7540A">
        <w:rPr>
          <w:rFonts w:eastAsiaTheme="majorEastAsia"/>
          <w:lang w:val="it-IT"/>
        </w:rPr>
        <w:t xml:space="preserve"> 89</w:t>
      </w:r>
      <w:r w:rsidRPr="00586097">
        <w:rPr>
          <w:rFonts w:eastAsiaTheme="majorEastAsia"/>
          <w:lang w:val="it-IT"/>
        </w:rPr>
        <w:t>%</w:t>
      </w:r>
      <w:r w:rsidRPr="00B7540A">
        <w:rPr>
          <w:rFonts w:eastAsiaTheme="majorEastAsia"/>
          <w:lang w:val="it-IT"/>
        </w:rPr>
        <w:t>-</w:t>
      </w:r>
      <w:r w:rsidRPr="00586097">
        <w:rPr>
          <w:rFonts w:eastAsiaTheme="majorEastAsia"/>
        </w:rPr>
        <w:t>ով</w:t>
      </w:r>
      <w:r w:rsidRPr="00586097">
        <w:rPr>
          <w:rFonts w:eastAsiaTheme="majorEastAsia"/>
          <w:lang w:val="it-IT"/>
        </w:rPr>
        <w:t>)</w:t>
      </w:r>
      <w:r w:rsidRPr="00586097">
        <w:rPr>
          <w:rFonts w:eastAsiaTheme="majorEastAsia"/>
        </w:rPr>
        <w:t>։</w:t>
      </w:r>
      <w:r w:rsidRPr="00B7540A">
        <w:rPr>
          <w:rFonts w:eastAsiaTheme="majorEastAsia"/>
          <w:lang w:val="it-IT"/>
        </w:rPr>
        <w:t xml:space="preserve"> </w:t>
      </w:r>
    </w:p>
    <w:p w14:paraId="63FBB742" w14:textId="77777777" w:rsidR="00B7540A" w:rsidRPr="00B7540A" w:rsidRDefault="00B7540A" w:rsidP="00B7540A">
      <w:pPr>
        <w:spacing w:line="276" w:lineRule="auto"/>
        <w:rPr>
          <w:lang w:val="it-IT"/>
        </w:rPr>
      </w:pPr>
      <w:r w:rsidRPr="00586097">
        <w:rPr>
          <w:rFonts w:eastAsiaTheme="majorEastAsia"/>
          <w:b/>
          <w:iCs/>
          <w:u w:val="single"/>
        </w:rPr>
        <w:t>Կանխատեսում</w:t>
      </w:r>
      <w:r w:rsidRPr="00586097">
        <w:rPr>
          <w:rFonts w:eastAsiaTheme="majorEastAsia"/>
          <w:b/>
          <w:i/>
          <w:u w:val="single"/>
        </w:rPr>
        <w:t>։</w:t>
      </w:r>
      <w:r w:rsidRPr="00B7540A">
        <w:rPr>
          <w:rFonts w:eastAsiaTheme="majorEastAsia"/>
          <w:lang w:val="it-IT"/>
        </w:rPr>
        <w:t xml:space="preserve"> </w:t>
      </w:r>
      <w:r w:rsidRPr="00586097">
        <w:rPr>
          <w:rFonts w:eastAsiaTheme="majorEastAsia"/>
        </w:rPr>
        <w:t>Հիմնականում</w:t>
      </w:r>
      <w:r w:rsidRPr="00B7540A">
        <w:rPr>
          <w:rFonts w:eastAsiaTheme="majorEastAsia"/>
          <w:lang w:val="it-IT"/>
        </w:rPr>
        <w:t xml:space="preserve"> </w:t>
      </w:r>
      <w:r w:rsidRPr="00586097">
        <w:rPr>
          <w:rFonts w:eastAsiaTheme="majorEastAsia"/>
        </w:rPr>
        <w:t>դրամական</w:t>
      </w:r>
      <w:r w:rsidRPr="00B7540A">
        <w:rPr>
          <w:rFonts w:eastAsiaTheme="majorEastAsia"/>
          <w:lang w:val="it-IT"/>
        </w:rPr>
        <w:t xml:space="preserve"> </w:t>
      </w:r>
      <w:r w:rsidRPr="00586097">
        <w:rPr>
          <w:rFonts w:eastAsiaTheme="majorEastAsia"/>
        </w:rPr>
        <w:t>փոխանցումների</w:t>
      </w:r>
      <w:r w:rsidRPr="00B7540A">
        <w:rPr>
          <w:rFonts w:eastAsiaTheme="majorEastAsia"/>
          <w:lang w:val="it-IT"/>
        </w:rPr>
        <w:t xml:space="preserve"> </w:t>
      </w:r>
      <w:r w:rsidRPr="00586097">
        <w:rPr>
          <w:rFonts w:eastAsiaTheme="majorEastAsia"/>
        </w:rPr>
        <w:t>արագ</w:t>
      </w:r>
      <w:r w:rsidRPr="00B7540A">
        <w:rPr>
          <w:rFonts w:eastAsiaTheme="majorEastAsia"/>
          <w:lang w:val="it-IT"/>
        </w:rPr>
        <w:t xml:space="preserve"> </w:t>
      </w:r>
      <w:r w:rsidRPr="00586097">
        <w:rPr>
          <w:rFonts w:eastAsiaTheme="majorEastAsia"/>
        </w:rPr>
        <w:t>վերականգմամբ</w:t>
      </w:r>
      <w:r w:rsidRPr="00B7540A">
        <w:rPr>
          <w:rFonts w:eastAsiaTheme="majorEastAsia"/>
          <w:lang w:val="it-IT"/>
        </w:rPr>
        <w:t xml:space="preserve"> </w:t>
      </w:r>
      <w:r w:rsidRPr="00586097">
        <w:rPr>
          <w:rFonts w:eastAsiaTheme="majorEastAsia"/>
        </w:rPr>
        <w:t>պայմանավորված</w:t>
      </w:r>
      <w:r w:rsidRPr="00B7540A">
        <w:rPr>
          <w:rFonts w:eastAsiaTheme="majorEastAsia"/>
          <w:lang w:val="it-IT"/>
        </w:rPr>
        <w:t xml:space="preserve"> 2021</w:t>
      </w:r>
      <w:r w:rsidRPr="00586097">
        <w:rPr>
          <w:rFonts w:eastAsiaTheme="majorEastAsia"/>
        </w:rPr>
        <w:t>թ</w:t>
      </w:r>
      <w:r w:rsidRPr="00B7540A">
        <w:rPr>
          <w:rFonts w:eastAsiaTheme="majorEastAsia"/>
          <w:lang w:val="it-IT"/>
        </w:rPr>
        <w:t xml:space="preserve">. </w:t>
      </w:r>
      <w:r w:rsidRPr="00586097">
        <w:rPr>
          <w:rFonts w:eastAsiaTheme="majorEastAsia"/>
        </w:rPr>
        <w:t>ընթացիկ</w:t>
      </w:r>
      <w:r w:rsidRPr="00B7540A">
        <w:rPr>
          <w:rFonts w:eastAsiaTheme="majorEastAsia"/>
          <w:lang w:val="it-IT"/>
        </w:rPr>
        <w:t xml:space="preserve"> </w:t>
      </w:r>
      <w:r w:rsidRPr="00586097">
        <w:rPr>
          <w:rFonts w:eastAsiaTheme="majorEastAsia"/>
        </w:rPr>
        <w:t>հաշվի</w:t>
      </w:r>
      <w:r w:rsidRPr="00B7540A">
        <w:rPr>
          <w:rFonts w:eastAsiaTheme="majorEastAsia"/>
          <w:lang w:val="it-IT"/>
        </w:rPr>
        <w:t xml:space="preserve"> </w:t>
      </w:r>
      <w:r w:rsidRPr="00586097">
        <w:rPr>
          <w:rFonts w:eastAsiaTheme="majorEastAsia"/>
        </w:rPr>
        <w:t>պակասուրդը</w:t>
      </w:r>
      <w:r w:rsidRPr="00B7540A">
        <w:rPr>
          <w:rFonts w:eastAsiaTheme="majorEastAsia"/>
          <w:lang w:val="it-IT"/>
        </w:rPr>
        <w:t xml:space="preserve"> </w:t>
      </w:r>
      <w:r w:rsidRPr="00586097">
        <w:rPr>
          <w:rFonts w:eastAsiaTheme="majorEastAsia"/>
        </w:rPr>
        <w:t>կբարելավվի՝</w:t>
      </w:r>
      <w:r w:rsidRPr="00B7540A">
        <w:rPr>
          <w:rFonts w:eastAsiaTheme="majorEastAsia"/>
          <w:lang w:val="it-IT"/>
        </w:rPr>
        <w:t xml:space="preserve"> </w:t>
      </w:r>
      <w:r w:rsidRPr="00586097">
        <w:rPr>
          <w:rFonts w:eastAsiaTheme="majorEastAsia"/>
        </w:rPr>
        <w:t>մոտենալով</w:t>
      </w:r>
      <w:r w:rsidRPr="00B7540A">
        <w:rPr>
          <w:rFonts w:eastAsiaTheme="majorEastAsia"/>
          <w:lang w:val="it-IT"/>
        </w:rPr>
        <w:t xml:space="preserve"> </w:t>
      </w:r>
      <w:r w:rsidRPr="00586097">
        <w:rPr>
          <w:rFonts w:eastAsiaTheme="majorEastAsia"/>
        </w:rPr>
        <w:t>ՀՆԱ</w:t>
      </w:r>
      <w:r w:rsidRPr="00B7540A">
        <w:rPr>
          <w:rFonts w:eastAsiaTheme="majorEastAsia"/>
          <w:lang w:val="it-IT"/>
        </w:rPr>
        <w:t>-</w:t>
      </w:r>
      <w:r w:rsidRPr="00586097">
        <w:rPr>
          <w:rFonts w:eastAsiaTheme="majorEastAsia"/>
        </w:rPr>
        <w:t>ի</w:t>
      </w:r>
      <w:r w:rsidRPr="00B7540A">
        <w:rPr>
          <w:rFonts w:eastAsiaTheme="majorEastAsia"/>
          <w:lang w:val="it-IT"/>
        </w:rPr>
        <w:t xml:space="preserve"> 2</w:t>
      </w:r>
      <w:r w:rsidRPr="00586097">
        <w:rPr>
          <w:rFonts w:eastAsiaTheme="majorEastAsia"/>
          <w:lang w:val="it-IT"/>
        </w:rPr>
        <w:t>.</w:t>
      </w:r>
      <w:r w:rsidRPr="00B7540A">
        <w:rPr>
          <w:rFonts w:eastAsiaTheme="majorEastAsia"/>
          <w:lang w:val="it-IT"/>
        </w:rPr>
        <w:t xml:space="preserve">1% </w:t>
      </w:r>
      <w:r w:rsidRPr="00586097">
        <w:rPr>
          <w:rFonts w:eastAsiaTheme="majorEastAsia"/>
        </w:rPr>
        <w:t>մակարդակի</w:t>
      </w:r>
      <w:r w:rsidRPr="00B7540A">
        <w:rPr>
          <w:rFonts w:eastAsiaTheme="majorEastAsia"/>
          <w:lang w:val="it-IT"/>
        </w:rPr>
        <w:t xml:space="preserve">: </w:t>
      </w:r>
      <w:r w:rsidRPr="00586097">
        <w:rPr>
          <w:rFonts w:eastAsiaTheme="majorEastAsia"/>
        </w:rPr>
        <w:t>Միջնաժամկետ</w:t>
      </w:r>
      <w:r w:rsidRPr="00B7540A">
        <w:rPr>
          <w:rFonts w:eastAsiaTheme="majorEastAsia"/>
          <w:lang w:val="it-IT"/>
        </w:rPr>
        <w:t xml:space="preserve"> </w:t>
      </w:r>
      <w:r w:rsidRPr="00586097">
        <w:rPr>
          <w:rFonts w:eastAsiaTheme="majorEastAsia"/>
        </w:rPr>
        <w:t>հորիզոնում</w:t>
      </w:r>
      <w:r w:rsidRPr="00B7540A">
        <w:rPr>
          <w:rFonts w:eastAsiaTheme="majorEastAsia"/>
          <w:lang w:val="it-IT"/>
        </w:rPr>
        <w:t xml:space="preserve"> </w:t>
      </w:r>
      <w:r w:rsidRPr="00586097">
        <w:rPr>
          <w:rFonts w:eastAsiaTheme="majorEastAsia"/>
        </w:rPr>
        <w:t>ընթացիկ</w:t>
      </w:r>
      <w:r w:rsidRPr="00B7540A">
        <w:rPr>
          <w:rFonts w:eastAsiaTheme="majorEastAsia"/>
          <w:lang w:val="it-IT"/>
        </w:rPr>
        <w:t xml:space="preserve"> </w:t>
      </w:r>
      <w:r w:rsidRPr="00586097">
        <w:rPr>
          <w:rFonts w:eastAsiaTheme="majorEastAsia"/>
        </w:rPr>
        <w:t>հաշվի</w:t>
      </w:r>
      <w:r w:rsidRPr="00B7540A">
        <w:rPr>
          <w:rFonts w:eastAsiaTheme="majorEastAsia"/>
          <w:lang w:val="it-IT"/>
        </w:rPr>
        <w:t xml:space="preserve"> </w:t>
      </w:r>
      <w:r w:rsidRPr="00586097">
        <w:rPr>
          <w:rFonts w:eastAsiaTheme="majorEastAsia"/>
        </w:rPr>
        <w:t>պակասուրդը</w:t>
      </w:r>
      <w:r w:rsidRPr="00B7540A">
        <w:rPr>
          <w:rFonts w:eastAsiaTheme="majorEastAsia"/>
          <w:lang w:val="it-IT"/>
        </w:rPr>
        <w:t xml:space="preserve"> </w:t>
      </w:r>
      <w:r w:rsidRPr="00586097">
        <w:rPr>
          <w:rFonts w:eastAsiaTheme="majorEastAsia"/>
        </w:rPr>
        <w:t>կխորանա՝</w:t>
      </w:r>
      <w:r w:rsidRPr="00B7540A">
        <w:rPr>
          <w:rFonts w:eastAsiaTheme="majorEastAsia"/>
          <w:lang w:val="it-IT"/>
        </w:rPr>
        <w:t xml:space="preserve"> </w:t>
      </w:r>
      <w:r w:rsidRPr="00586097">
        <w:rPr>
          <w:rFonts w:eastAsiaTheme="majorEastAsia"/>
        </w:rPr>
        <w:t>ձգտելով</w:t>
      </w:r>
      <w:r w:rsidRPr="00B7540A">
        <w:rPr>
          <w:rFonts w:eastAsiaTheme="majorEastAsia"/>
          <w:lang w:val="it-IT"/>
        </w:rPr>
        <w:t xml:space="preserve"> </w:t>
      </w:r>
      <w:r w:rsidRPr="00586097">
        <w:rPr>
          <w:rFonts w:eastAsiaTheme="majorEastAsia"/>
        </w:rPr>
        <w:t>իր</w:t>
      </w:r>
      <w:r w:rsidRPr="00B7540A">
        <w:rPr>
          <w:rFonts w:eastAsiaTheme="majorEastAsia"/>
          <w:lang w:val="it-IT"/>
        </w:rPr>
        <w:t xml:space="preserve"> </w:t>
      </w:r>
      <w:r w:rsidRPr="00586097">
        <w:rPr>
          <w:rFonts w:eastAsiaTheme="majorEastAsia"/>
        </w:rPr>
        <w:t>հավասարակշիռ</w:t>
      </w:r>
      <w:r w:rsidRPr="00B7540A">
        <w:rPr>
          <w:rFonts w:eastAsiaTheme="majorEastAsia"/>
          <w:lang w:val="it-IT"/>
        </w:rPr>
        <w:t xml:space="preserve"> </w:t>
      </w:r>
      <w:r w:rsidRPr="00586097">
        <w:rPr>
          <w:rFonts w:eastAsiaTheme="majorEastAsia"/>
        </w:rPr>
        <w:t>մակարդակին</w:t>
      </w:r>
      <w:r w:rsidRPr="00B7540A">
        <w:rPr>
          <w:rFonts w:eastAsiaTheme="majorEastAsia"/>
          <w:lang w:val="it-IT"/>
        </w:rPr>
        <w:t xml:space="preserve">: </w:t>
      </w:r>
    </w:p>
    <w:p w14:paraId="4AB24447" w14:textId="77777777" w:rsidR="00B7540A" w:rsidRPr="00586097" w:rsidRDefault="00B7540A" w:rsidP="00B7540A">
      <w:pPr>
        <w:pStyle w:val="afc"/>
        <w:spacing w:line="276" w:lineRule="auto"/>
      </w:pPr>
      <w:r w:rsidRPr="00586097">
        <w:rPr>
          <w:noProof/>
          <w:lang w:val="en-US"/>
        </w:rPr>
        <w:drawing>
          <wp:anchor distT="0" distB="0" distL="114300" distR="114300" simplePos="0" relativeHeight="251649536" behindDoc="1" locked="0" layoutInCell="1" allowOverlap="1" wp14:anchorId="61B310B4" wp14:editId="2D94BCEE">
            <wp:simplePos x="0" y="0"/>
            <wp:positionH relativeFrom="column">
              <wp:posOffset>3071495</wp:posOffset>
            </wp:positionH>
            <wp:positionV relativeFrom="paragraph">
              <wp:posOffset>218440</wp:posOffset>
            </wp:positionV>
            <wp:extent cx="3218815" cy="2266950"/>
            <wp:effectExtent l="0" t="0" r="635" b="0"/>
            <wp:wrapTight wrapText="bothSides">
              <wp:wrapPolygon edited="0">
                <wp:start x="0" y="0"/>
                <wp:lineTo x="0" y="21418"/>
                <wp:lineTo x="21476" y="21418"/>
                <wp:lineTo x="21476" y="0"/>
                <wp:lineTo x="0" y="0"/>
              </wp:wrapPolygon>
            </wp:wrapTight>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Pr="00586097">
        <w:t>Գծապատկեր 1.33. Ընթացիկ հաշվի պակասուրդը և բաղադրատարրերը (ՀՆԱ-ում %)</w:t>
      </w:r>
      <w:r w:rsidRPr="00586097">
        <w:rPr>
          <w:noProof/>
          <w:lang w:val="en-US"/>
        </w:rPr>
        <w:drawing>
          <wp:anchor distT="0" distB="0" distL="114300" distR="114300" simplePos="0" relativeHeight="251646464" behindDoc="1" locked="0" layoutInCell="1" allowOverlap="1" wp14:anchorId="3E20D3BF" wp14:editId="0C6825B3">
            <wp:simplePos x="0" y="0"/>
            <wp:positionH relativeFrom="column">
              <wp:posOffset>-2540</wp:posOffset>
            </wp:positionH>
            <wp:positionV relativeFrom="paragraph">
              <wp:posOffset>217170</wp:posOffset>
            </wp:positionV>
            <wp:extent cx="3077210" cy="2266950"/>
            <wp:effectExtent l="0" t="0" r="8890" b="0"/>
            <wp:wrapTight wrapText="bothSides">
              <wp:wrapPolygon edited="0">
                <wp:start x="0" y="0"/>
                <wp:lineTo x="0" y="21418"/>
                <wp:lineTo x="21529" y="21418"/>
                <wp:lineTo x="21529" y="0"/>
                <wp:lineTo x="0" y="0"/>
              </wp:wrapPolygon>
            </wp:wrapTight>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14:paraId="33F247D0" w14:textId="77777777" w:rsidR="00B7540A" w:rsidRPr="00F30397" w:rsidRDefault="00B7540A" w:rsidP="00F30397">
      <w:pPr>
        <w:pStyle w:val="afd"/>
      </w:pPr>
      <w:r w:rsidRPr="00F30397">
        <w:t>Աղբյուրը՝ ՀՀ ՎԿ, ԿԲ և ՀՀ ՖՆ հաշվարկներ և  կանխատեսումներ</w:t>
      </w:r>
    </w:p>
    <w:p w14:paraId="70B9BF3E" w14:textId="77777777" w:rsidR="00B7540A" w:rsidRPr="00586097" w:rsidRDefault="00B7540A" w:rsidP="00B7540A">
      <w:pPr>
        <w:pStyle w:val="Heading3"/>
        <w:spacing w:line="276" w:lineRule="auto"/>
      </w:pPr>
    </w:p>
    <w:p w14:paraId="20EA8EB5" w14:textId="77777777" w:rsidR="00B7540A" w:rsidRPr="00B7540A" w:rsidRDefault="00B7540A" w:rsidP="00B7540A">
      <w:pPr>
        <w:spacing w:line="276" w:lineRule="auto"/>
        <w:rPr>
          <w:lang w:val="hy-AM"/>
        </w:rPr>
      </w:pPr>
      <w:r w:rsidRPr="00B7540A">
        <w:rPr>
          <w:rFonts w:eastAsiaTheme="majorEastAsia"/>
          <w:b/>
          <w:iCs/>
          <w:u w:val="single"/>
          <w:lang w:val="hy-AM"/>
        </w:rPr>
        <w:t>Արտահանում:</w:t>
      </w:r>
      <w:r w:rsidRPr="00B7540A">
        <w:rPr>
          <w:rFonts w:eastAsiaTheme="majorEastAsia"/>
          <w:lang w:val="hy-AM"/>
        </w:rPr>
        <w:t xml:space="preserve"> </w:t>
      </w:r>
      <w:r w:rsidRPr="00B7540A">
        <w:rPr>
          <w:rFonts w:eastAsiaTheme="majorEastAsia"/>
          <w:b/>
          <w:bCs/>
          <w:lang w:val="hy-AM"/>
        </w:rPr>
        <w:t>2018-2019թթ. միջինում արձանագրվել է ապրանքների և ծառայությունների դոլարային արտահանման 13.9% աճ:</w:t>
      </w:r>
      <w:r w:rsidRPr="00B7540A">
        <w:rPr>
          <w:rFonts w:eastAsiaTheme="majorEastAsia"/>
          <w:lang w:val="hy-AM"/>
        </w:rPr>
        <w:t xml:space="preserve"> Ապրանքների  արտահանումը դրսևորել է առաջանցիկ աճ և միջինում կազմել է 17.4%՝ ծառայությունների արտահանման միջինում 9.6% աճի (հիմնականում՝ ճանապարհորդություն) համեմատ։</w:t>
      </w:r>
    </w:p>
    <w:p w14:paraId="61717FDB" w14:textId="77777777" w:rsidR="00B7540A" w:rsidRPr="00B7540A" w:rsidRDefault="00B7540A" w:rsidP="00B7540A">
      <w:pPr>
        <w:spacing w:line="276" w:lineRule="auto"/>
        <w:rPr>
          <w:lang w:val="hy-AM"/>
        </w:rPr>
      </w:pPr>
      <w:r w:rsidRPr="00B7540A">
        <w:rPr>
          <w:rFonts w:eastAsiaTheme="majorEastAsia"/>
          <w:b/>
          <w:bCs/>
          <w:lang w:val="hy-AM"/>
        </w:rPr>
        <w:t>2020թ</w:t>
      </w:r>
      <w:r w:rsidRPr="00B7540A">
        <w:rPr>
          <w:rFonts w:ascii="Cambria Math" w:eastAsiaTheme="majorEastAsia" w:hAnsi="Cambria Math" w:cs="Cambria Math"/>
          <w:b/>
          <w:bCs/>
          <w:lang w:val="hy-AM"/>
        </w:rPr>
        <w:t>․</w:t>
      </w:r>
      <w:r w:rsidRPr="00B7540A">
        <w:rPr>
          <w:rFonts w:eastAsiaTheme="majorEastAsia"/>
          <w:b/>
          <w:bCs/>
          <w:lang w:val="hy-AM"/>
        </w:rPr>
        <w:t xml:space="preserve"> արձանագրվել է արտահանման նվազում` հիմնականում պայմանավորված համավարակի հետևանքով տնտեսությունում արտադրության կրճատմամբ և արտաքին պահանջարկի նվազմամբ:</w:t>
      </w:r>
      <w:r w:rsidRPr="00B7540A">
        <w:rPr>
          <w:rFonts w:eastAsiaTheme="majorEastAsia"/>
          <w:lang w:val="hy-AM"/>
        </w:rPr>
        <w:t xml:space="preserve"> Չնայած տարեսկզբի աճի բարձր տեմպերին՝ դոլարային արտահայտությամբ ՀՀ ապրանքների արտահանումը 2020թ</w:t>
      </w:r>
      <w:r w:rsidRPr="00B7540A">
        <w:rPr>
          <w:rFonts w:ascii="Cambria Math" w:eastAsiaTheme="majorEastAsia" w:hAnsi="Cambria Math" w:cs="Cambria Math"/>
          <w:lang w:val="hy-AM"/>
        </w:rPr>
        <w:t>․</w:t>
      </w:r>
      <w:r w:rsidRPr="00B7540A">
        <w:rPr>
          <w:rFonts w:eastAsiaTheme="majorEastAsia"/>
          <w:lang w:val="hy-AM"/>
        </w:rPr>
        <w:t xml:space="preserve"> կրճատվել է 19.2%</w:t>
      </w:r>
      <w:r w:rsidRPr="00B7540A">
        <w:rPr>
          <w:rFonts w:eastAsiaTheme="majorEastAsia"/>
          <w:lang w:val="hy-AM"/>
        </w:rPr>
        <w:noBreakHyphen/>
        <w:t>ով: 2020թ</w:t>
      </w:r>
      <w:r w:rsidRPr="00B7540A">
        <w:rPr>
          <w:rFonts w:ascii="Cambria Math" w:eastAsiaTheme="majorEastAsia" w:hAnsi="Cambria Math" w:cs="Cambria Math"/>
          <w:lang w:val="hy-AM"/>
        </w:rPr>
        <w:t>․</w:t>
      </w:r>
      <w:r w:rsidRPr="00B7540A">
        <w:rPr>
          <w:rFonts w:eastAsiaTheme="majorEastAsia"/>
          <w:lang w:val="hy-AM"/>
        </w:rPr>
        <w:t xml:space="preserve"> համավարակով պայմանավորված տուրիզմի կտրուկ անկման հետևանքով ծառայությունների արտահանումը կրճատվել է 54.5%-ով:</w:t>
      </w:r>
    </w:p>
    <w:p w14:paraId="5A42E70C" w14:textId="77777777" w:rsidR="00B7540A" w:rsidRPr="00B7540A" w:rsidRDefault="00B7540A" w:rsidP="00B7540A">
      <w:pPr>
        <w:spacing w:line="276" w:lineRule="auto"/>
        <w:rPr>
          <w:lang w:val="hy-AM"/>
        </w:rPr>
      </w:pPr>
      <w:r w:rsidRPr="00B7540A">
        <w:rPr>
          <w:rFonts w:eastAsiaTheme="majorEastAsia"/>
          <w:b/>
          <w:bCs/>
          <w:lang w:val="hy-AM"/>
        </w:rPr>
        <w:tab/>
        <w:t>2021թ. ՀՀ ապրանքների արտահանումը սկսել է վերականգնվել</w:t>
      </w:r>
      <w:r w:rsidRPr="00B7540A">
        <w:rPr>
          <w:rFonts w:ascii="Cambria Math" w:eastAsiaTheme="majorEastAsia" w:hAnsi="Cambria Math" w:cs="Cambria Math"/>
          <w:b/>
          <w:bCs/>
          <w:lang w:val="hy-AM"/>
        </w:rPr>
        <w:t>․</w:t>
      </w:r>
      <w:r w:rsidRPr="00B7540A">
        <w:rPr>
          <w:rFonts w:eastAsiaTheme="majorEastAsia"/>
          <w:b/>
          <w:bCs/>
          <w:lang w:val="hy-AM"/>
        </w:rPr>
        <w:t xml:space="preserve"> հունվար-մայիս ամիսներին աճը կազմել է 20.8%</w:t>
      </w:r>
      <w:r w:rsidRPr="00B7540A">
        <w:rPr>
          <w:rFonts w:eastAsiaTheme="majorEastAsia"/>
          <w:lang w:val="hy-AM"/>
        </w:rPr>
        <w:t>, ինչը տեղի է ունեցել տնտեսական ակտիվության վերականգման, պղնձի համաշխարհային գների աճի և արտաքին պահանջարկի վերականգնման հաշվին: Ծառայությունների արտահանման ոլորտը շարունակում է կրել մեծ վնասներ. ծառայությունների արտահանումը 2021թ. առաջին եռամսյակում նախորդ տարվա համապատասխան ժամանակահատվածի նկատմամաբ նվազել է մոտ 45%-ով, որը հիմնականում պայմանավորված է զբոսաշրջության  մոտ 84.5% անկմամբ։</w:t>
      </w:r>
    </w:p>
    <w:p w14:paraId="53A6A62D" w14:textId="77777777" w:rsidR="00B7540A" w:rsidRPr="00586097" w:rsidRDefault="00B7540A" w:rsidP="00B7540A">
      <w:pPr>
        <w:pStyle w:val="afc"/>
        <w:spacing w:line="276" w:lineRule="auto"/>
      </w:pPr>
      <w:r w:rsidRPr="00586097">
        <w:rPr>
          <w:noProof/>
          <w:lang w:val="en-US"/>
        </w:rPr>
        <w:drawing>
          <wp:anchor distT="0" distB="0" distL="114300" distR="114300" simplePos="0" relativeHeight="251674112" behindDoc="1" locked="0" layoutInCell="1" allowOverlap="1" wp14:anchorId="127AF94E" wp14:editId="12BADE6F">
            <wp:simplePos x="0" y="0"/>
            <wp:positionH relativeFrom="margin">
              <wp:posOffset>3475355</wp:posOffset>
            </wp:positionH>
            <wp:positionV relativeFrom="paragraph">
              <wp:posOffset>316865</wp:posOffset>
            </wp:positionV>
            <wp:extent cx="3114675" cy="1809750"/>
            <wp:effectExtent l="0" t="0" r="9525" b="0"/>
            <wp:wrapTight wrapText="bothSides">
              <wp:wrapPolygon edited="0">
                <wp:start x="0" y="0"/>
                <wp:lineTo x="0" y="21373"/>
                <wp:lineTo x="21534" y="21373"/>
                <wp:lineTo x="21534" y="0"/>
                <wp:lineTo x="0" y="0"/>
              </wp:wrapPolygon>
            </wp:wrapTight>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anchor>
        </w:drawing>
      </w:r>
      <w:r w:rsidRPr="00586097">
        <w:rPr>
          <w:noProof/>
          <w:lang w:val="en-US"/>
        </w:rPr>
        <w:drawing>
          <wp:anchor distT="0" distB="0" distL="114300" distR="114300" simplePos="0" relativeHeight="251658752" behindDoc="1" locked="0" layoutInCell="1" allowOverlap="1" wp14:anchorId="25F40B89" wp14:editId="1E6B5DFD">
            <wp:simplePos x="0" y="0"/>
            <wp:positionH relativeFrom="margin">
              <wp:align>left</wp:align>
            </wp:positionH>
            <wp:positionV relativeFrom="paragraph">
              <wp:posOffset>316865</wp:posOffset>
            </wp:positionV>
            <wp:extent cx="3524250" cy="1809750"/>
            <wp:effectExtent l="0" t="0" r="0" b="0"/>
            <wp:wrapTight wrapText="bothSides">
              <wp:wrapPolygon edited="0">
                <wp:start x="0" y="0"/>
                <wp:lineTo x="0" y="21373"/>
                <wp:lineTo x="21483" y="21373"/>
                <wp:lineTo x="21483" y="0"/>
                <wp:lineTo x="0" y="0"/>
              </wp:wrapPolygon>
            </wp:wrapTight>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anchor>
        </w:drawing>
      </w:r>
      <w:r w:rsidRPr="00586097">
        <w:t>Գծապատկեր 1.34</w:t>
      </w:r>
      <w:r w:rsidRPr="00586097">
        <w:rPr>
          <w:rFonts w:ascii="Cambria Math" w:hAnsi="Cambria Math" w:cs="Cambria Math"/>
        </w:rPr>
        <w:t>․</w:t>
      </w:r>
      <w:r w:rsidRPr="00586097">
        <w:t xml:space="preserve"> 2021թ. ապրանքների արտահանման միտումները, %</w:t>
      </w:r>
    </w:p>
    <w:p w14:paraId="3B41FEFD" w14:textId="77777777" w:rsidR="00B7540A" w:rsidRPr="00F30397" w:rsidRDefault="00B7540A" w:rsidP="00F30397">
      <w:pPr>
        <w:pStyle w:val="afd"/>
      </w:pPr>
      <w:r w:rsidRPr="00F30397">
        <w:t>Աղբյուրը՝ ՀՀ ՎԿ և ՀՀ ՖՆ հաշվարկներ:</w:t>
      </w:r>
    </w:p>
    <w:p w14:paraId="6DE0064D" w14:textId="77777777" w:rsidR="00B7540A" w:rsidRPr="00586097" w:rsidRDefault="00B7540A" w:rsidP="00B7540A">
      <w:pPr>
        <w:pStyle w:val="Heading3"/>
        <w:spacing w:line="276" w:lineRule="auto"/>
      </w:pPr>
    </w:p>
    <w:p w14:paraId="465EA25F" w14:textId="77777777" w:rsidR="00B7540A" w:rsidRPr="00B7540A" w:rsidRDefault="00B7540A" w:rsidP="00B7540A">
      <w:pPr>
        <w:spacing w:line="276" w:lineRule="auto"/>
        <w:rPr>
          <w:lang w:val="hy-AM"/>
        </w:rPr>
      </w:pPr>
      <w:r w:rsidRPr="00B7540A">
        <w:rPr>
          <w:rFonts w:eastAsiaTheme="majorEastAsia"/>
          <w:b/>
          <w:iCs/>
          <w:u w:val="single"/>
          <w:lang w:val="hy-AM"/>
        </w:rPr>
        <w:t>Կանխատեսում</w:t>
      </w:r>
      <w:r w:rsidRPr="00B7540A">
        <w:rPr>
          <w:rFonts w:eastAsiaTheme="majorEastAsia"/>
          <w:lang w:val="hy-AM"/>
        </w:rPr>
        <w:t xml:space="preserve">։ 2021թ. սպասվում է մոտ 18.2% արտահանման աճ, ինչը պայմանավորված է լինելու արտաքին պահանջարկի վերականգմամբ, մետաղների միջազգային գների աճով և դեպի Հայաստան ժամանման սահմանափակումների որոշակի թուլացմամբ։ Այդուհանդերձ՝ Սոթքի հանքավայրի շահագործման մասշտաբների կրճատումը և դեպի Արցախ արտահանման հետ կապված կորուստները ապրանքների արտահանման զսպող գործոններ կհանդիսանան, իսկ տուրիզմի հաշվին ծառայությունների արտահանման վերականգնումը կլինի համեմատաբար դանդաղ: Միջնաժամկետ հորիզոնում համաշխարհային և ՀՀ տնտեսական ակտիվության, պղնձի գների բարձր մակարդակով, զբոսաշրջության աստիճանական վերականգնմամբ և արտահանման ու ներդրումների խրախուսմանն ուղղված ՀՀ կառավարության քաղաքականությանը համահունչ ակնկալվում է ապրանքների և ծառայությունների արտահանման 12.5% միջին աճ: </w:t>
      </w:r>
    </w:p>
    <w:p w14:paraId="3787EDA7" w14:textId="77777777" w:rsidR="00B7540A" w:rsidRPr="00B7540A" w:rsidRDefault="00B7540A" w:rsidP="00B7540A">
      <w:pPr>
        <w:spacing w:line="276" w:lineRule="auto"/>
        <w:rPr>
          <w:lang w:val="hy-AM"/>
        </w:rPr>
      </w:pPr>
      <w:r w:rsidRPr="00B7540A">
        <w:rPr>
          <w:rFonts w:eastAsiaTheme="majorEastAsia"/>
          <w:b/>
          <w:iCs/>
          <w:u w:val="single"/>
          <w:lang w:val="hy-AM"/>
        </w:rPr>
        <w:t>Ներմուծում</w:t>
      </w:r>
      <w:r w:rsidRPr="00B7540A">
        <w:rPr>
          <w:rFonts w:eastAsiaTheme="majorEastAsia"/>
          <w:lang w:val="hy-AM"/>
        </w:rPr>
        <w:t xml:space="preserve">: </w:t>
      </w:r>
      <w:r w:rsidRPr="00B7540A">
        <w:rPr>
          <w:rFonts w:eastAsiaTheme="majorEastAsia"/>
          <w:b/>
          <w:bCs/>
          <w:lang w:val="hy-AM"/>
        </w:rPr>
        <w:t xml:space="preserve">2018-2019թթ. միջինում արձանագրվել է ապրանքների և ծառայությունների դոլարային ներմուծման 15.3% աճ, </w:t>
      </w:r>
      <w:r w:rsidRPr="00B7540A">
        <w:rPr>
          <w:rFonts w:eastAsiaTheme="majorEastAsia"/>
          <w:lang w:val="hy-AM"/>
        </w:rPr>
        <w:t xml:space="preserve">ընդ որում՝ և՛ ապրանքների, և՛ ծառայությունների ներմուծման աճը եղել է գրեթե համաչափ՝ միջինում շուրջ 15%: Նշված տարիների ընթացքում ներմուծման աճին հիմնականում նպաստել է մարդատար ավտոմեքենաների և միջանկյալ սպառման ապրանքների ներմուծումը, նշանակալի էր նաև կապիտալ բնույթի ապրանքների դերը, իսկ ծառայություններն աճել են հիմնականում ճանապարհորդության հաշվին։ </w:t>
      </w:r>
    </w:p>
    <w:p w14:paraId="74B50305" w14:textId="77777777" w:rsidR="00B7540A" w:rsidRPr="00B7540A" w:rsidRDefault="00B7540A" w:rsidP="00B7540A">
      <w:pPr>
        <w:spacing w:line="276" w:lineRule="auto"/>
        <w:rPr>
          <w:lang w:val="hy-AM"/>
        </w:rPr>
      </w:pPr>
      <w:r w:rsidRPr="00B7540A">
        <w:rPr>
          <w:rFonts w:eastAsiaTheme="majorEastAsia"/>
          <w:b/>
          <w:bCs/>
          <w:lang w:val="hy-AM"/>
        </w:rPr>
        <w:t>2020թ</w:t>
      </w:r>
      <w:r w:rsidRPr="00B7540A">
        <w:rPr>
          <w:rFonts w:ascii="Cambria Math" w:eastAsiaTheme="majorEastAsia" w:hAnsi="Cambria Math" w:cs="Cambria Math"/>
          <w:b/>
          <w:bCs/>
          <w:lang w:val="hy-AM"/>
        </w:rPr>
        <w:t>․</w:t>
      </w:r>
      <w:r w:rsidRPr="00B7540A">
        <w:rPr>
          <w:rFonts w:eastAsiaTheme="majorEastAsia"/>
          <w:b/>
          <w:bCs/>
          <w:lang w:val="hy-AM"/>
        </w:rPr>
        <w:t xml:space="preserve"> արձանագրվել է ապրանքների ներմուծման 20% անկում`</w:t>
      </w:r>
      <w:r w:rsidRPr="00B7540A">
        <w:rPr>
          <w:rFonts w:eastAsiaTheme="majorEastAsia"/>
          <w:lang w:val="hy-AM"/>
        </w:rPr>
        <w:t xml:space="preserve"> հիմնականում ավտոմեքենաների ներկրման մաքսատուրքերի բարձրացման սպասումներով պայմանավորված նախորդ տարի ավտոմեքենաների ներմուծման աննախադեպ բարձր աճի հետևանքով 2020թ</w:t>
      </w:r>
      <w:r w:rsidRPr="00B7540A">
        <w:rPr>
          <w:rFonts w:ascii="Cambria Math" w:eastAsiaTheme="majorEastAsia" w:hAnsi="Cambria Math" w:cs="Cambria Math"/>
          <w:lang w:val="hy-AM"/>
        </w:rPr>
        <w:t>․</w:t>
      </w:r>
      <w:r w:rsidRPr="00B7540A">
        <w:rPr>
          <w:rFonts w:eastAsiaTheme="majorEastAsia"/>
          <w:lang w:val="hy-AM"/>
        </w:rPr>
        <w:t>դրանց ներմուծման ծավալների նվազմամբ, ինչպես նաև համավարակի ու Արցախյան պատերազմի հետևանքներով տնտեսական ակտիվության անկման պայմաններում ներքին պահանջարկի նվազմամբ։ Ծառայությունների ներմուծման նվազումը 2020թ. կազմել է 59.8% և հիմնականում պայմանավորվել է համավարկի հետ կապված սահմանափակումների հետևանքով ճանապարհորդության կտրուկ անկմամբ (մոտ 80%):</w:t>
      </w:r>
    </w:p>
    <w:p w14:paraId="5F41D179" w14:textId="77777777" w:rsidR="00B7540A" w:rsidRPr="00B7540A" w:rsidRDefault="00B7540A" w:rsidP="00B7540A">
      <w:pPr>
        <w:spacing w:line="276" w:lineRule="auto"/>
        <w:rPr>
          <w:lang w:val="hy-AM"/>
        </w:rPr>
      </w:pPr>
      <w:r w:rsidRPr="00B7540A">
        <w:rPr>
          <w:rFonts w:eastAsiaTheme="majorEastAsia"/>
          <w:b/>
          <w:bCs/>
          <w:lang w:val="hy-AM"/>
        </w:rPr>
        <w:t>Չնայած տարեսկզբի նվազման տեմպերին 2021թ. հունվար-մայիսին արձանագրվել է ապրանքների ներմուծման 6.7% աճ</w:t>
      </w:r>
      <w:r w:rsidRPr="00B7540A">
        <w:rPr>
          <w:rFonts w:eastAsiaTheme="majorEastAsia"/>
          <w:lang w:val="hy-AM"/>
        </w:rPr>
        <w:t xml:space="preserve">՝ հիմնականում պայմանավորված տնտեսական ակտիվության աստիճանական վերականգնման պայմաններում ներքին պահանջարկի վերականգնմամբ: 2021թ. առաջին եռամսյակում ծառայությունների ներմուծումը շարունակել է անկում ապրել՝ հիմնականում ճանապարհորդության խորը անկման (շուրջ 90%) հաշվին: </w:t>
      </w:r>
    </w:p>
    <w:p w14:paraId="7B0DF621" w14:textId="77777777" w:rsidR="00B7540A" w:rsidRPr="00586097" w:rsidRDefault="00B7540A" w:rsidP="00B7540A">
      <w:pPr>
        <w:pStyle w:val="afc"/>
        <w:spacing w:line="276" w:lineRule="auto"/>
      </w:pPr>
      <w:r w:rsidRPr="00586097">
        <w:rPr>
          <w:noProof/>
          <w:lang w:val="en-US"/>
        </w:rPr>
        <w:drawing>
          <wp:anchor distT="0" distB="0" distL="114300" distR="114300" simplePos="0" relativeHeight="251652608" behindDoc="1" locked="0" layoutInCell="1" allowOverlap="1" wp14:anchorId="180176DF" wp14:editId="0B3A1930">
            <wp:simplePos x="0" y="0"/>
            <wp:positionH relativeFrom="margin">
              <wp:posOffset>-181610</wp:posOffset>
            </wp:positionH>
            <wp:positionV relativeFrom="paragraph">
              <wp:posOffset>354965</wp:posOffset>
            </wp:positionV>
            <wp:extent cx="3429000" cy="2066925"/>
            <wp:effectExtent l="0" t="0" r="0" b="9525"/>
            <wp:wrapTight wrapText="bothSides">
              <wp:wrapPolygon edited="0">
                <wp:start x="0" y="0"/>
                <wp:lineTo x="0" y="21500"/>
                <wp:lineTo x="21480" y="21500"/>
                <wp:lineTo x="21480" y="0"/>
                <wp:lineTo x="0" y="0"/>
              </wp:wrapPolygon>
            </wp:wrapTight>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anchor>
        </w:drawing>
      </w:r>
      <w:r w:rsidRPr="00586097">
        <w:rPr>
          <w:noProof/>
          <w:lang w:val="en-US"/>
        </w:rPr>
        <w:drawing>
          <wp:anchor distT="0" distB="0" distL="114300" distR="114300" simplePos="0" relativeHeight="251655680" behindDoc="1" locked="0" layoutInCell="1" allowOverlap="1" wp14:anchorId="4EE5078D" wp14:editId="435F8024">
            <wp:simplePos x="0" y="0"/>
            <wp:positionH relativeFrom="margin">
              <wp:posOffset>3314065</wp:posOffset>
            </wp:positionH>
            <wp:positionV relativeFrom="paragraph">
              <wp:posOffset>345440</wp:posOffset>
            </wp:positionV>
            <wp:extent cx="3257550" cy="2057400"/>
            <wp:effectExtent l="0" t="0" r="0" b="0"/>
            <wp:wrapTight wrapText="bothSides">
              <wp:wrapPolygon edited="0">
                <wp:start x="0" y="0"/>
                <wp:lineTo x="0" y="21400"/>
                <wp:lineTo x="21474" y="21400"/>
                <wp:lineTo x="21474" y="0"/>
                <wp:lineTo x="0" y="0"/>
              </wp:wrapPolygon>
            </wp:wrapTight>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anchor>
        </w:drawing>
      </w:r>
      <w:r w:rsidRPr="00586097">
        <w:t>Գծապատկեր 1.35</w:t>
      </w:r>
      <w:r w:rsidRPr="00586097">
        <w:rPr>
          <w:rFonts w:ascii="Cambria Math" w:hAnsi="Cambria Math" w:cs="Cambria Math"/>
        </w:rPr>
        <w:t>․</w:t>
      </w:r>
      <w:r w:rsidRPr="00586097">
        <w:t xml:space="preserve"> 2021թ. ապրանքների ներմուծման միտումները, %</w:t>
      </w:r>
    </w:p>
    <w:p w14:paraId="61A854C2" w14:textId="77777777" w:rsidR="00B7540A" w:rsidRPr="00F30397" w:rsidRDefault="00B7540A" w:rsidP="00F30397">
      <w:pPr>
        <w:pStyle w:val="afd"/>
      </w:pPr>
      <w:r w:rsidRPr="00F30397">
        <w:t xml:space="preserve">Աղբյուրը՝ ՀՀ ՎԿ և ՀՀ ՖՆ հաշվարկներ:  </w:t>
      </w:r>
    </w:p>
    <w:p w14:paraId="11C89196" w14:textId="77777777" w:rsidR="00B7540A" w:rsidRPr="00B7540A" w:rsidRDefault="00B7540A" w:rsidP="00B7540A">
      <w:pPr>
        <w:spacing w:line="276" w:lineRule="auto"/>
        <w:rPr>
          <w:lang w:val="hy-AM"/>
        </w:rPr>
      </w:pPr>
    </w:p>
    <w:p w14:paraId="5685EBAD" w14:textId="77777777" w:rsidR="00B7540A" w:rsidRPr="00B7540A" w:rsidRDefault="00B7540A" w:rsidP="00B7540A">
      <w:pPr>
        <w:spacing w:line="276" w:lineRule="auto"/>
        <w:rPr>
          <w:lang w:val="hy-AM"/>
        </w:rPr>
      </w:pPr>
      <w:r w:rsidRPr="00B7540A">
        <w:rPr>
          <w:rFonts w:eastAsiaTheme="majorEastAsia"/>
          <w:b/>
          <w:iCs/>
          <w:u w:val="single"/>
          <w:lang w:val="hy-AM"/>
        </w:rPr>
        <w:t>Կանխատեսում</w:t>
      </w:r>
      <w:r w:rsidRPr="00B7540A">
        <w:rPr>
          <w:rFonts w:eastAsiaTheme="majorEastAsia"/>
          <w:lang w:val="hy-AM"/>
        </w:rPr>
        <w:t>։ Ապրանքների և ծառայությունների նկատմամբ ներքին պահանջարկի աստիճանական վերականգմամբ պայմանավորված 2021թ. սպասվում է շուրջ 16% ներմուծման աճ: Միջնաժամկետում ՀՀ տնտեսության աճի և ներքին պահանջարկի ինչպես նաև զբոսաշրջության վերականգմանը զուգընթաց ներմուծման աճը միջինում կկազմի մոտ 12%:</w:t>
      </w:r>
    </w:p>
    <w:p w14:paraId="6AAF30EC" w14:textId="77777777" w:rsidR="00B7540A" w:rsidRPr="00586097" w:rsidRDefault="00B7540A" w:rsidP="00B7540A">
      <w:pPr>
        <w:pStyle w:val="afc"/>
        <w:spacing w:line="276" w:lineRule="auto"/>
      </w:pPr>
      <w:r w:rsidRPr="00586097">
        <w:rPr>
          <w:noProof/>
          <w:lang w:val="en-US"/>
        </w:rPr>
        <w:drawing>
          <wp:anchor distT="0" distB="0" distL="114300" distR="114300" simplePos="0" relativeHeight="251683328" behindDoc="1" locked="0" layoutInCell="1" allowOverlap="1" wp14:anchorId="41C3CFB4" wp14:editId="1003F214">
            <wp:simplePos x="0" y="0"/>
            <wp:positionH relativeFrom="column">
              <wp:posOffset>-1905</wp:posOffset>
            </wp:positionH>
            <wp:positionV relativeFrom="paragraph">
              <wp:posOffset>496432</wp:posOffset>
            </wp:positionV>
            <wp:extent cx="3048000" cy="2219325"/>
            <wp:effectExtent l="0" t="0" r="0" b="9525"/>
            <wp:wrapTight wrapText="bothSides">
              <wp:wrapPolygon edited="0">
                <wp:start x="0" y="0"/>
                <wp:lineTo x="0" y="21507"/>
                <wp:lineTo x="21465" y="21507"/>
                <wp:lineTo x="21465"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Pr="00586097">
        <w:rPr>
          <w:noProof/>
          <w:lang w:val="en-US"/>
        </w:rPr>
        <w:drawing>
          <wp:anchor distT="0" distB="0" distL="114300" distR="114300" simplePos="0" relativeHeight="251680256" behindDoc="1" locked="0" layoutInCell="1" allowOverlap="1" wp14:anchorId="026A99E6" wp14:editId="4E9EBB9C">
            <wp:simplePos x="0" y="0"/>
            <wp:positionH relativeFrom="column">
              <wp:posOffset>3162300</wp:posOffset>
            </wp:positionH>
            <wp:positionV relativeFrom="paragraph">
              <wp:posOffset>486631</wp:posOffset>
            </wp:positionV>
            <wp:extent cx="3237865" cy="2228850"/>
            <wp:effectExtent l="0" t="0" r="635" b="0"/>
            <wp:wrapTight wrapText="bothSides">
              <wp:wrapPolygon edited="0">
                <wp:start x="0" y="0"/>
                <wp:lineTo x="0" y="21415"/>
                <wp:lineTo x="21477" y="21415"/>
                <wp:lineTo x="21477" y="0"/>
                <wp:lineTo x="0" y="0"/>
              </wp:wrapPolygon>
            </wp:wrapTight>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Pr="00586097">
        <w:t>Գծապարկեր 1.36</w:t>
      </w:r>
      <w:r w:rsidRPr="00586097">
        <w:rPr>
          <w:rFonts w:ascii="Cambria Math" w:hAnsi="Cambria Math" w:cs="Cambria Math"/>
        </w:rPr>
        <w:t>․</w:t>
      </w:r>
      <w:r w:rsidRPr="00586097">
        <w:t xml:space="preserve">ՀՀ ապրանքների և ծառայությունների արտահանման և ներմուծման միտումները ՀՖՃ տարիներին և  2017-2023թթ., %  </w:t>
      </w:r>
    </w:p>
    <w:p w14:paraId="5DF4CF35" w14:textId="77777777" w:rsidR="00B7540A" w:rsidRPr="00F30397" w:rsidRDefault="00B7540A" w:rsidP="00F30397">
      <w:pPr>
        <w:pStyle w:val="afd"/>
      </w:pPr>
      <w:r w:rsidRPr="00F30397">
        <w:t>Աղբյուր՝ ՀՀ ՎԿ և  ՀՀ ՖՆ հաշվարկներ և կանխաեսումներ:</w:t>
      </w:r>
    </w:p>
    <w:p w14:paraId="13BE1FAA" w14:textId="77777777" w:rsidR="00B7540A" w:rsidRPr="00B7540A" w:rsidRDefault="00B7540A" w:rsidP="00B7540A">
      <w:pPr>
        <w:pStyle w:val="Heading6"/>
        <w:spacing w:line="276" w:lineRule="auto"/>
        <w:rPr>
          <w:rFonts w:ascii="GHEA Grapalat" w:hAnsi="GHEA Grapalat"/>
          <w:lang w:val="hy-AM"/>
        </w:rPr>
      </w:pPr>
      <w:r w:rsidRPr="00B7540A">
        <w:rPr>
          <w:rFonts w:ascii="GHEA Grapalat" w:hAnsi="GHEA Grapalat"/>
          <w:lang w:val="hy-AM"/>
        </w:rPr>
        <w:t>Փոխարժեքներ</w:t>
      </w:r>
    </w:p>
    <w:p w14:paraId="7FD17673" w14:textId="77777777" w:rsidR="00B7540A" w:rsidRPr="00B7540A" w:rsidRDefault="00B7540A" w:rsidP="00B7540A">
      <w:pPr>
        <w:spacing w:line="276" w:lineRule="auto"/>
        <w:rPr>
          <w:lang w:val="hy-AM"/>
        </w:rPr>
      </w:pPr>
      <w:r w:rsidRPr="00B7540A">
        <w:rPr>
          <w:rFonts w:eastAsiaTheme="majorEastAsia"/>
          <w:b/>
          <w:bCs/>
          <w:lang w:val="hy-AM"/>
        </w:rPr>
        <w:t>2018-2020թթ. միջինում ՀՀ դրամն ԱՄՆ դոլարի և եվրոյի նկատմամբ դրսևորել է թույլ արժեզրկման վարքագիծ, իսկ ռուբլու նկատմամբ արժևորվել է:</w:t>
      </w:r>
      <w:r w:rsidRPr="00B7540A">
        <w:rPr>
          <w:rFonts w:eastAsiaTheme="majorEastAsia"/>
          <w:lang w:val="hy-AM"/>
        </w:rPr>
        <w:t xml:space="preserve"> Համավարակով պայմանավորված ՀՀ փոխարժեքի շուկայում 2020թ</w:t>
      </w:r>
      <w:r w:rsidRPr="00B7540A">
        <w:rPr>
          <w:rFonts w:ascii="Cambria Math" w:eastAsiaTheme="majorEastAsia" w:hAnsi="Cambria Math" w:cs="Cambria Math"/>
          <w:lang w:val="hy-AM"/>
        </w:rPr>
        <w:t>․</w:t>
      </w:r>
      <w:r w:rsidRPr="00B7540A">
        <w:rPr>
          <w:rFonts w:eastAsiaTheme="majorEastAsia"/>
          <w:lang w:val="hy-AM"/>
        </w:rPr>
        <w:t xml:space="preserve"> նկատվել են արժեզրկման ճնշումներ՝ առավելագույն արժեքին հասելով ապրիլի 1-ին, որից հետո ՀՀ ԿԲ-ի համարժեք արձագանքման, ինչպես նաև միջազգային ֆինանսական շուկաների հարաբերականորեն կայունացման արդյունքում դրամն աստիճանաբար կայունացել է</w:t>
      </w:r>
      <w:r w:rsidRPr="00B7540A">
        <w:rPr>
          <w:rFonts w:ascii="Cambria Math" w:eastAsiaTheme="majorEastAsia" w:hAnsi="Cambria Math" w:cs="Cambria Math"/>
          <w:lang w:val="hy-AM"/>
        </w:rPr>
        <w:t>․</w:t>
      </w:r>
      <w:r w:rsidRPr="00B7540A">
        <w:rPr>
          <w:rFonts w:eastAsiaTheme="majorEastAsia"/>
          <w:lang w:val="hy-AM"/>
        </w:rPr>
        <w:t xml:space="preserve"> միջին փոխարժեքը կազմել է 489.0 դրամ մեկ ԱՄՆ դոլարի դիմաց՝ նախորդ տարվա միջին փոխարժեքի (480.4) նկատմամբ արժեզրկվելով 1.8%-ով: Եվրոյի նկատմամբ ՀՀ դրամի փոխարժեքի 2020թ</w:t>
      </w:r>
      <w:r w:rsidRPr="00B7540A">
        <w:rPr>
          <w:rFonts w:ascii="Cambria Math" w:eastAsiaTheme="majorEastAsia" w:hAnsi="Cambria Math" w:cs="Cambria Math"/>
          <w:lang w:val="hy-AM"/>
        </w:rPr>
        <w:t>․</w:t>
      </w:r>
      <w:r w:rsidRPr="00B7540A">
        <w:rPr>
          <w:rFonts w:eastAsiaTheme="majorEastAsia"/>
          <w:lang w:val="hy-AM"/>
        </w:rPr>
        <w:t xml:space="preserve"> տարեսկզբի արժևորումից հետո հունիս ամսից սկսել է արժեզրկվել. նախորդ տարվա համեմատությամբ 2020թ</w:t>
      </w:r>
      <w:r w:rsidRPr="00B7540A">
        <w:rPr>
          <w:rFonts w:ascii="Cambria Math" w:eastAsiaTheme="majorEastAsia" w:hAnsi="Cambria Math" w:cs="Cambria Math"/>
          <w:lang w:val="hy-AM"/>
        </w:rPr>
        <w:t>․</w:t>
      </w:r>
      <w:r w:rsidRPr="00B7540A">
        <w:rPr>
          <w:rFonts w:eastAsiaTheme="majorEastAsia"/>
          <w:lang w:val="hy-AM"/>
        </w:rPr>
        <w:t xml:space="preserve"> միջին արժեքով ՀՀ դրամը եվրոյի նկատմամբ արժեզրկվել է 3.6%-ով: ՀՀ դրամը ՌԴ ռուբլու նկատմամբ 2020թ</w:t>
      </w:r>
      <w:r w:rsidRPr="00B7540A">
        <w:rPr>
          <w:rFonts w:ascii="Cambria Math" w:eastAsiaTheme="majorEastAsia" w:hAnsi="Cambria Math" w:cs="Cambria Math"/>
          <w:lang w:val="hy-AM"/>
        </w:rPr>
        <w:t>․</w:t>
      </w:r>
      <w:r w:rsidRPr="00B7540A">
        <w:rPr>
          <w:rFonts w:eastAsiaTheme="majorEastAsia"/>
          <w:lang w:val="hy-AM"/>
        </w:rPr>
        <w:t xml:space="preserve"> մարտ ամսից սկսել է բարձր տեմպերով արժևորվել և 2020թ</w:t>
      </w:r>
      <w:r w:rsidRPr="00B7540A">
        <w:rPr>
          <w:rFonts w:ascii="Cambria Math" w:eastAsiaTheme="majorEastAsia" w:hAnsi="Cambria Math" w:cs="Cambria Math"/>
          <w:lang w:val="hy-AM"/>
        </w:rPr>
        <w:t>․</w:t>
      </w:r>
      <w:r w:rsidRPr="00B7540A">
        <w:rPr>
          <w:rFonts w:eastAsiaTheme="majorEastAsia"/>
          <w:lang w:val="hy-AM"/>
        </w:rPr>
        <w:t xml:space="preserve"> ՀՀ դրամի միջին փոխարժեքը ՌԴ ռուբլու նկատմամբ նախորդ տարվա համեմատությամբ արժևորվել է 9.4%-ով:</w:t>
      </w:r>
    </w:p>
    <w:p w14:paraId="21BA14BD" w14:textId="77777777" w:rsidR="00B7540A" w:rsidRPr="00B7540A" w:rsidRDefault="00B7540A" w:rsidP="00B7540A">
      <w:pPr>
        <w:spacing w:line="276" w:lineRule="auto"/>
        <w:rPr>
          <w:lang w:val="hy-AM"/>
        </w:rPr>
      </w:pPr>
      <w:r w:rsidRPr="00B7540A">
        <w:rPr>
          <w:rFonts w:eastAsiaTheme="majorEastAsia"/>
          <w:b/>
          <w:bCs/>
          <w:lang w:val="hy-AM"/>
        </w:rPr>
        <w:t>2021թ</w:t>
      </w:r>
      <w:r w:rsidRPr="00B7540A">
        <w:rPr>
          <w:rFonts w:ascii="Cambria Math" w:eastAsiaTheme="majorEastAsia" w:hAnsi="Cambria Math" w:cs="Cambria Math"/>
          <w:b/>
          <w:bCs/>
          <w:lang w:val="hy-AM"/>
        </w:rPr>
        <w:t>․</w:t>
      </w:r>
      <w:r w:rsidRPr="00B7540A">
        <w:rPr>
          <w:rFonts w:eastAsiaTheme="majorEastAsia"/>
          <w:b/>
          <w:bCs/>
          <w:lang w:val="hy-AM"/>
        </w:rPr>
        <w:t xml:space="preserve"> հունվար-հունիս ամիսներին ՀՀ դրամը շարունակել է արժեզրկվել՝ հիմնականում պայմանավորված համավարակի և Արցախյան պատերազմի հետևանքով ձևավորված սպասումներով։</w:t>
      </w:r>
      <w:r w:rsidRPr="00B7540A">
        <w:rPr>
          <w:rFonts w:eastAsiaTheme="majorEastAsia"/>
          <w:lang w:val="hy-AM"/>
        </w:rPr>
        <w:t xml:space="preserve"> ԱՄՆ դոլարի և Եվրոյի նկատմամբ ՀՀ դրամը 2021թ</w:t>
      </w:r>
      <w:r w:rsidRPr="00B7540A">
        <w:rPr>
          <w:rFonts w:ascii="Cambria Math" w:eastAsiaTheme="majorEastAsia" w:hAnsi="Cambria Math" w:cs="Cambria Math"/>
          <w:lang w:val="hy-AM"/>
        </w:rPr>
        <w:t>․</w:t>
      </w:r>
      <w:r w:rsidRPr="00B7540A">
        <w:rPr>
          <w:rFonts w:eastAsiaTheme="majorEastAsia"/>
          <w:lang w:val="hy-AM"/>
        </w:rPr>
        <w:t xml:space="preserve"> հունվար-հունիս ամիսներին նախորդ տարվա նույն ժամանակահատվածի համեմատ արժեզրկվել է, համապատասխանաբար՝ 7.4% և 15.4%-ով։ Ընթացիկ տարվա վեց ամիսների ընթացքում՝ ՀՀ ԿԲ համապատասխան արձագանքման (վերաֆինանսավորման տոկոսադրույքի բարձրացում և արտարժույթի ներարկում) ԱՄՆ դոլարի նկատմամբ ՀՀ դրամը դրսևորել է հարաբերականորեն կայուն վարքագիծ: </w:t>
      </w:r>
    </w:p>
    <w:p w14:paraId="7ABA4CFB" w14:textId="77777777" w:rsidR="00B7540A" w:rsidRPr="00B7540A" w:rsidRDefault="00B7540A" w:rsidP="00B7540A">
      <w:pPr>
        <w:spacing w:line="276" w:lineRule="auto"/>
        <w:rPr>
          <w:lang w:val="hy-AM"/>
        </w:rPr>
      </w:pPr>
      <w:r w:rsidRPr="00B7540A">
        <w:rPr>
          <w:rFonts w:eastAsiaTheme="majorEastAsia"/>
          <w:lang w:val="hy-AM"/>
        </w:rPr>
        <w:t>ՀՀ դրամի միջին փոխարժեքը ՌԴ ռուբլու նկատմամբ 2021թ</w:t>
      </w:r>
      <w:r w:rsidRPr="00B7540A">
        <w:rPr>
          <w:rFonts w:ascii="Cambria Math" w:eastAsiaTheme="majorEastAsia" w:hAnsi="Cambria Math" w:cs="Cambria Math"/>
          <w:lang w:val="hy-AM"/>
        </w:rPr>
        <w:t>․</w:t>
      </w:r>
      <w:r w:rsidRPr="00B7540A">
        <w:rPr>
          <w:rFonts w:eastAsiaTheme="majorEastAsia"/>
          <w:lang w:val="hy-AM"/>
        </w:rPr>
        <w:t xml:space="preserve"> հունվար-հունիս ամիսներին  արժեզրկվել է նախորդ տարվա համեմատությամբ 0.5%-ով։ Ընդ որում՝ պայմանավորված միջազգային շուկայում ՌԴ ռուբլու արժեզրկմամբ, հունվար-փետրվար ամիսներին ՀՀ դրամը ռուբլու նկատմամբ նախորդ տարվա համապատասխան ամիսների համեմատ արժևորվել (միջինում շուրջ 8%-ով), իսկ մարտ-հունիս ամսիներին՝ պայմանավորված միջազգային շուկայում ռուբլու փոխարժեքի կայունացմամբ, դրամն արժեզրկվել է միջինում մոտ 5%-ով։ </w:t>
      </w:r>
    </w:p>
    <w:p w14:paraId="58282D79" w14:textId="77777777" w:rsidR="00B7540A" w:rsidRPr="00B7540A" w:rsidRDefault="00B7540A" w:rsidP="00B7540A">
      <w:pPr>
        <w:spacing w:line="276" w:lineRule="auto"/>
        <w:rPr>
          <w:rFonts w:eastAsiaTheme="majorEastAsia"/>
          <w:lang w:val="hy-AM"/>
        </w:rPr>
      </w:pPr>
      <w:r w:rsidRPr="00B7540A">
        <w:rPr>
          <w:rFonts w:eastAsiaTheme="majorEastAsia"/>
          <w:b/>
          <w:bCs/>
          <w:lang w:val="hy-AM"/>
        </w:rPr>
        <w:t>ՀՀ արտաքին առևտրի տեսանկյունից առավել կարևոր արժույթներից բաղկացած զամբյուղի նկատմամբ ՀՀ ազգային արժույթն իրական արտահայտությամբ 2018-2020թթ. միջինում արժևորվել է 3.1%-ով:</w:t>
      </w:r>
      <w:r w:rsidRPr="00B7540A">
        <w:rPr>
          <w:rFonts w:eastAsiaTheme="majorEastAsia"/>
          <w:lang w:val="hy-AM"/>
        </w:rPr>
        <w:t xml:space="preserve"> Իրական արդյունավետ փոխարժեքի արժևորման միտումը 2020թ. թուլացել է</w:t>
      </w:r>
      <w:r w:rsidRPr="00B7540A">
        <w:rPr>
          <w:rFonts w:ascii="Cambria Math" w:eastAsiaTheme="majorEastAsia" w:hAnsi="Cambria Math" w:cs="Cambria Math"/>
          <w:lang w:val="hy-AM"/>
        </w:rPr>
        <w:t>․</w:t>
      </w:r>
      <w:r w:rsidRPr="00B7540A">
        <w:rPr>
          <w:rFonts w:eastAsiaTheme="majorEastAsia"/>
          <w:lang w:val="hy-AM"/>
        </w:rPr>
        <w:t xml:space="preserve">դրամն արժևորվել է 1.7%-ով, իսկ անվանական արտահայտությամբ՝ 4.2%-ով: </w:t>
      </w:r>
    </w:p>
    <w:p w14:paraId="18655134" w14:textId="77777777" w:rsidR="00B7540A" w:rsidRPr="00B7540A" w:rsidRDefault="00B7540A" w:rsidP="00B7540A">
      <w:pPr>
        <w:spacing w:line="276" w:lineRule="auto"/>
        <w:rPr>
          <w:lang w:val="hy-AM"/>
        </w:rPr>
      </w:pPr>
      <w:r w:rsidRPr="00B7540A">
        <w:rPr>
          <w:rFonts w:eastAsiaTheme="majorEastAsia"/>
          <w:b/>
          <w:bCs/>
          <w:lang w:val="hy-AM"/>
        </w:rPr>
        <w:t>2021թ.-ի սկզբից  դրամը դրսևորել է արժեզրկման վարքագիծ</w:t>
      </w:r>
      <w:r w:rsidRPr="00B7540A">
        <w:rPr>
          <w:rFonts w:ascii="Cambria Math" w:eastAsiaTheme="majorEastAsia" w:hAnsi="Cambria Math" w:cs="Cambria Math"/>
          <w:b/>
          <w:bCs/>
          <w:lang w:val="hy-AM"/>
        </w:rPr>
        <w:t>․</w:t>
      </w:r>
      <w:r w:rsidRPr="00B7540A">
        <w:rPr>
          <w:rFonts w:eastAsiaTheme="majorEastAsia" w:cs="Cambria Math"/>
          <w:lang w:val="hy-AM"/>
        </w:rPr>
        <w:t xml:space="preserve"> </w:t>
      </w:r>
      <w:r w:rsidRPr="00B7540A">
        <w:rPr>
          <w:rFonts w:eastAsiaTheme="majorEastAsia"/>
          <w:lang w:val="hy-AM"/>
        </w:rPr>
        <w:t>հունվար-ապրիլ ամիսներին ՀՀ դրամի իրական արդյունավետ փոխարժեքի արժեզրկումը կազմել է 5.3%, իսկ անվանականը՝ 5.5%, ինչը, այլ հավասար պայմաններում, իր դրական ազդեցությունը կթողնի առևտրային հաշվեկշռի վրա:</w:t>
      </w:r>
    </w:p>
    <w:p w14:paraId="01E8EDFE" w14:textId="77777777" w:rsidR="00B7540A" w:rsidRPr="00586097" w:rsidRDefault="00B7540A" w:rsidP="00B7540A">
      <w:pPr>
        <w:pStyle w:val="Heading3"/>
        <w:spacing w:line="276" w:lineRule="auto"/>
      </w:pPr>
    </w:p>
    <w:tbl>
      <w:tblPr>
        <w:tblStyle w:val="TableGrid91"/>
        <w:tblW w:w="10124" w:type="dxa"/>
        <w:tblLook w:val="04A0" w:firstRow="1" w:lastRow="0" w:firstColumn="1" w:lastColumn="0" w:noHBand="0" w:noVBand="1"/>
      </w:tblPr>
      <w:tblGrid>
        <w:gridCol w:w="5106"/>
        <w:gridCol w:w="5018"/>
      </w:tblGrid>
      <w:tr w:rsidR="00B7540A" w:rsidRPr="00C024D9" w14:paraId="2B270530" w14:textId="77777777" w:rsidTr="00B7540A">
        <w:trPr>
          <w:trHeight w:val="4678"/>
        </w:trPr>
        <w:tc>
          <w:tcPr>
            <w:tcW w:w="5106" w:type="dxa"/>
          </w:tcPr>
          <w:p w14:paraId="5FFEE24B" w14:textId="77777777" w:rsidR="00B7540A" w:rsidRPr="009121FA" w:rsidRDefault="00B7540A" w:rsidP="00F30397">
            <w:pPr>
              <w:pStyle w:val="afe"/>
              <w:rPr>
                <w:lang w:val="hy-AM"/>
              </w:rPr>
            </w:pPr>
            <w:r w:rsidRPr="00F30397">
              <mc:AlternateContent>
                <mc:Choice Requires="wps">
                  <w:drawing>
                    <wp:anchor distT="0" distB="0" distL="114300" distR="114300" simplePos="0" relativeHeight="251677184" behindDoc="0" locked="0" layoutInCell="1" allowOverlap="1" wp14:anchorId="3A902C36" wp14:editId="47FCEA9C">
                      <wp:simplePos x="0" y="0"/>
                      <wp:positionH relativeFrom="column">
                        <wp:posOffset>2357120</wp:posOffset>
                      </wp:positionH>
                      <wp:positionV relativeFrom="paragraph">
                        <wp:posOffset>727710</wp:posOffset>
                      </wp:positionV>
                      <wp:extent cx="0" cy="1924050"/>
                      <wp:effectExtent l="0" t="0" r="19050" b="19050"/>
                      <wp:wrapNone/>
                      <wp:docPr id="2072" name="Straight Connector 2072"/>
                      <wp:cNvGraphicFramePr/>
                      <a:graphic xmlns:a="http://schemas.openxmlformats.org/drawingml/2006/main">
                        <a:graphicData uri="http://schemas.microsoft.com/office/word/2010/wordprocessingShape">
                          <wps:wsp>
                            <wps:cNvCnPr/>
                            <wps:spPr>
                              <a:xfrm>
                                <a:off x="0" y="0"/>
                                <a:ext cx="0" cy="1924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E2D0BA7" id="Straight Connector 2072"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185.6pt,57.3pt" to="185.6pt,2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" strokecolor="black [3040]" strokeweight="1.5pt"/>
                  </w:pict>
                </mc:Fallback>
              </mc:AlternateContent>
            </w:r>
            <w:r w:rsidRPr="009121FA">
              <w:rPr>
                <w:lang w:val="hy-AM"/>
              </w:rPr>
              <w:t>Գծապատկեր 1.37. ՀՀ դրամի անվանական փոխարժեքի օրական դինամիկան հիմնական արժույթների նկատմամբ (աճ՝ արժեզրկում)</w:t>
            </w:r>
          </w:p>
          <w:p w14:paraId="503C39DA" w14:textId="77777777" w:rsidR="00B7540A" w:rsidRPr="00F30397" w:rsidRDefault="00B7540A" w:rsidP="00F30397">
            <w:pPr>
              <w:pStyle w:val="afd"/>
            </w:pPr>
            <w:r w:rsidRPr="00F30397">
              <w:rPr>
                <w:noProof/>
                <w:lang w:val="en-US"/>
              </w:rPr>
              <w:drawing>
                <wp:anchor distT="0" distB="0" distL="114300" distR="114300" simplePos="0" relativeHeight="251671040" behindDoc="1" locked="0" layoutInCell="1" allowOverlap="1" wp14:anchorId="4CC13817" wp14:editId="2B91A6E5">
                  <wp:simplePos x="0" y="0"/>
                  <wp:positionH relativeFrom="margin">
                    <wp:posOffset>10795</wp:posOffset>
                  </wp:positionH>
                  <wp:positionV relativeFrom="paragraph">
                    <wp:posOffset>111760</wp:posOffset>
                  </wp:positionV>
                  <wp:extent cx="3076575" cy="2114550"/>
                  <wp:effectExtent l="0" t="0" r="9525" b="0"/>
                  <wp:wrapTight wrapText="bothSides">
                    <wp:wrapPolygon edited="0">
                      <wp:start x="0" y="0"/>
                      <wp:lineTo x="0" y="21405"/>
                      <wp:lineTo x="21533" y="21405"/>
                      <wp:lineTo x="21533" y="0"/>
                      <wp:lineTo x="0" y="0"/>
                    </wp:wrapPolygon>
                  </wp:wrapTight>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Pr="00F30397">
              <w:t>Աղբյուրը՝ ՀՀ ԿԲ, ՀՀ ՖՆ հաշվարկներ</w:t>
            </w:r>
          </w:p>
        </w:tc>
        <w:tc>
          <w:tcPr>
            <w:tcW w:w="5018" w:type="dxa"/>
          </w:tcPr>
          <w:p w14:paraId="31845289" w14:textId="77777777" w:rsidR="00B7540A" w:rsidRPr="009121FA" w:rsidRDefault="00B7540A" w:rsidP="00F30397">
            <w:pPr>
              <w:pStyle w:val="afe"/>
              <w:rPr>
                <w:lang w:val="hy-AM"/>
              </w:rPr>
            </w:pPr>
            <w:r w:rsidRPr="00F30397">
              <w:drawing>
                <wp:anchor distT="0" distB="0" distL="114300" distR="114300" simplePos="0" relativeHeight="251692544" behindDoc="1" locked="0" layoutInCell="1" allowOverlap="1" wp14:anchorId="0DBC5F2F" wp14:editId="0E9C4633">
                  <wp:simplePos x="0" y="0"/>
                  <wp:positionH relativeFrom="column">
                    <wp:posOffset>-1905</wp:posOffset>
                  </wp:positionH>
                  <wp:positionV relativeFrom="paragraph">
                    <wp:posOffset>709145</wp:posOffset>
                  </wp:positionV>
                  <wp:extent cx="3020060" cy="2114550"/>
                  <wp:effectExtent l="0" t="0" r="8890" b="0"/>
                  <wp:wrapTight wrapText="bothSides">
                    <wp:wrapPolygon edited="0">
                      <wp:start x="0" y="0"/>
                      <wp:lineTo x="0" y="21405"/>
                      <wp:lineTo x="21527" y="21405"/>
                      <wp:lineTo x="21527" y="0"/>
                      <wp:lineTo x="0" y="0"/>
                    </wp:wrapPolygon>
                  </wp:wrapTight>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Pr="009121FA">
              <w:rPr>
                <w:lang w:val="hy-AM"/>
              </w:rPr>
              <w:t>Գծապատկեր 1.38. ՀՀ իրական և անվանական արդյունավետ փոխարժեքների կուտակային տ/տ աճերի դինամիկան (աճ՝ արժևորում)</w:t>
            </w:r>
          </w:p>
          <w:p w14:paraId="3C5F32A7" w14:textId="77777777" w:rsidR="00B7540A" w:rsidRPr="00F30397" w:rsidRDefault="00B7540A" w:rsidP="00F30397">
            <w:pPr>
              <w:pStyle w:val="afd"/>
            </w:pPr>
            <w:r w:rsidRPr="00F30397">
              <w:t>Աղբյուրը՝ ՀՀ ԿԲ, ՀՀ ՖՆ հաշվարկներ</w:t>
            </w:r>
          </w:p>
        </w:tc>
      </w:tr>
    </w:tbl>
    <w:p w14:paraId="12FED815" w14:textId="77777777" w:rsidR="00B7540A" w:rsidRPr="00586097" w:rsidRDefault="00B7540A" w:rsidP="00B7540A">
      <w:pPr>
        <w:pStyle w:val="Heading3"/>
        <w:spacing w:line="276" w:lineRule="auto"/>
      </w:pPr>
    </w:p>
    <w:p w14:paraId="55B468B5" w14:textId="77777777" w:rsidR="00B7540A" w:rsidRPr="00B7540A" w:rsidRDefault="00B7540A" w:rsidP="00B7540A">
      <w:pPr>
        <w:pStyle w:val="Heading6"/>
        <w:spacing w:line="276" w:lineRule="auto"/>
        <w:rPr>
          <w:rFonts w:ascii="GHEA Grapalat" w:hAnsi="GHEA Grapalat"/>
          <w:lang w:val="hy-AM"/>
        </w:rPr>
      </w:pPr>
      <w:r w:rsidRPr="00B7540A">
        <w:rPr>
          <w:rFonts w:ascii="GHEA Grapalat" w:hAnsi="GHEA Grapalat"/>
          <w:lang w:val="hy-AM"/>
        </w:rPr>
        <w:t xml:space="preserve">Գնաճ և դրամավարկային քաղաքականություն </w:t>
      </w:r>
    </w:p>
    <w:p w14:paraId="0521C1BF" w14:textId="77777777" w:rsidR="00B7540A" w:rsidRPr="00B7540A" w:rsidRDefault="00B7540A" w:rsidP="00B7540A">
      <w:pPr>
        <w:spacing w:line="276" w:lineRule="auto"/>
        <w:rPr>
          <w:lang w:val="hy-AM"/>
        </w:rPr>
      </w:pPr>
      <w:r w:rsidRPr="00B7540A">
        <w:rPr>
          <w:rFonts w:eastAsiaTheme="majorEastAsia"/>
          <w:b/>
          <w:bCs/>
          <w:lang w:val="hy-AM"/>
        </w:rPr>
        <w:t>2018-2020թթ. ընթացքում տնտեսությունը գտնվել է չափավոր գնաճային միջավայրում։  2018-2019թթ. ընթացքում գնաճային միջավայրը եղել է ցածր և 12-ամսյա գնաճը գտնվել է նպատակային 4 տոկոս (±1.5) թույլատերի միջակայքից ցածր մակարդակում:</w:t>
      </w:r>
      <w:r w:rsidRPr="00B7540A">
        <w:rPr>
          <w:rFonts w:eastAsiaTheme="majorEastAsia"/>
          <w:lang w:val="hy-AM"/>
        </w:rPr>
        <w:t xml:space="preserve"> Ցածր գնաճին նպաստել են արտաքին հատվածից եկող գնանկումային ազդեցությունները, ինչպես նաև ապրանքային շուկաներում մրցակցության ավելացումը։ 2020թ-ին ՀՀ սպառողական շուկայում ցածր գնաճային միջավայրը պահպանվել է մինչև նոյեմբեր ամիսը, իսկ դեկտեմբերին գնաճը մոտեցել է իր նպատակային ցուցանիշին: 12-ամսյա գնաճը դեկտեմբերին կազմել է 3.7%, իսկ միջին գնաճը՝ 1.2%։ 2020թ դեկտեմբերի գնաճի կտրուկ արագացումը հիմնականում պայմանավորված էր առաջարկի գործոններով՝  մեծամասամբ ՀՀ դրամի արժեզրկմամբ և միջազգային գների աճով:</w:t>
      </w:r>
    </w:p>
    <w:p w14:paraId="7B1275A1" w14:textId="77777777" w:rsidR="00B7540A" w:rsidRPr="00B7540A" w:rsidRDefault="00B7540A" w:rsidP="00B7540A">
      <w:pPr>
        <w:spacing w:line="276" w:lineRule="auto"/>
        <w:rPr>
          <w:lang w:val="hy-AM"/>
        </w:rPr>
      </w:pPr>
      <w:r w:rsidRPr="00B7540A">
        <w:rPr>
          <w:rFonts w:eastAsiaTheme="majorEastAsia"/>
          <w:b/>
          <w:bCs/>
          <w:lang w:val="hy-AM"/>
        </w:rPr>
        <w:t xml:space="preserve"> 2021թ. հունվար-մայիս ամիսներին գնաճը նախորդ տարվա նույն ժամանակահատվածի համեմատ արագացել է՝ կազմելով 5.5%, իսկ 12-ամսյա գնաճը կազմել է 5.9%՝ գերազանցելով ՀՀ Կենտրոնական բանկ կողմից սահմանված նպատակային ցուցանիշը:</w:t>
      </w:r>
      <w:r w:rsidRPr="00B7540A">
        <w:rPr>
          <w:rFonts w:eastAsiaTheme="majorEastAsia"/>
          <w:lang w:val="hy-AM"/>
        </w:rPr>
        <w:t xml:space="preserve"> Գնաճի արագացումը պայմանավորված է մի կողմից արտաքին հատվածից եկող համաշխարհային պահանջարկի վերականգնման դրական սպասումների և մի շարք առաջարկի գործոնների ազդեցությամբ հումքային և պարենային ապրանքների միջազգային շուկաներում շարունակվող բարձր գնաճային զարգացումներով, և մյուս կողմից՝ ՀՀ դրամի արժեզրկմամբ: </w:t>
      </w:r>
    </w:p>
    <w:p w14:paraId="0E379901" w14:textId="77777777" w:rsidR="00B7540A" w:rsidRPr="00B7540A" w:rsidRDefault="00B7540A" w:rsidP="00B7540A">
      <w:pPr>
        <w:spacing w:line="276" w:lineRule="auto"/>
        <w:rPr>
          <w:lang w:val="hy-AM"/>
        </w:rPr>
      </w:pPr>
      <w:r w:rsidRPr="00B7540A">
        <w:rPr>
          <w:rFonts w:eastAsiaTheme="majorEastAsia"/>
          <w:b/>
          <w:bCs/>
          <w:lang w:val="hy-AM"/>
        </w:rPr>
        <w:t>2018-2020թթ. ՀՀ կենտրոնական բանկի դրամավարկային քաղաքականությունն ունեցել է խթանող ուղղվածություն։</w:t>
      </w:r>
      <w:r w:rsidRPr="00B7540A">
        <w:rPr>
          <w:rFonts w:eastAsiaTheme="majorEastAsia"/>
          <w:lang w:val="hy-AM"/>
        </w:rPr>
        <w:t xml:space="preserve"> Նշված ժամանակահատվածում ԿԲ-ն նվազեցրել է վերաֆինանսավորման (ռեպո) տոկոսադրույքը 0.75 տոկոսային կետով, ինչպես նաև ֆինանսական շուկայում հանդես է եկել որպես իրացվելիության զուտ տրամադրող։ Ֆինանսական շուկայի կարճաժամկետ տոկոսադրույքների՝ վերաֆինանսավորման տոկոսադրույքի շուրջ ձևավորումն ապահովելու համար հիմնականում ամբողջությամբ բավարարվել է իրացվելիության նկատմամբ բանկային համակարգի պահանջարկը։ 2020թ-ին գնաճի դանդաղմանը և համավարակի տարածման բացասական ազդեցություներին հակազդելու նպատակով ՀՀ Կենտրոնական բանկն իջեցրել է վերաֆինանսավորման տոկոսադրույքը ընդհանուր առմամբ 1.25 տոկոսային կետով՝ իրականացնելով խթանող դրամավարկային քաղաքականություն: Սակայն 2020թ. դեկտեմբերի 15-ին, պայմանավորված գնաճի արագացմամբ, արտաքին հատվածից սպասվող գնաճային զարգացումներով և գնաճային սպասումների արագացմամբ, ՀՀ ԿԲ-ն կտրուկ բարձրացրել է վերաֆինանսավորման տոկոսադրույքը 1.0 տոկոսային կետով՝ սահմանելով այն 5.25%:</w:t>
      </w:r>
    </w:p>
    <w:p w14:paraId="05F5640E" w14:textId="77777777" w:rsidR="00B7540A" w:rsidRPr="00B7540A" w:rsidRDefault="00B7540A" w:rsidP="00B7540A">
      <w:pPr>
        <w:spacing w:line="276" w:lineRule="auto"/>
        <w:rPr>
          <w:lang w:val="hy-AM"/>
        </w:rPr>
      </w:pPr>
      <w:r w:rsidRPr="00B7540A">
        <w:rPr>
          <w:rFonts w:eastAsiaTheme="majorEastAsia"/>
          <w:b/>
          <w:bCs/>
          <w:lang w:val="hy-AM"/>
        </w:rPr>
        <w:t>2021թ. հունվար–հունիս ամիսներին ՀՀ ԿԲ-ը շարունակել է բարձրացնել վերաֆինանսավորման տոկոսադրույքը</w:t>
      </w:r>
      <w:r w:rsidRPr="00B7540A">
        <w:rPr>
          <w:rFonts w:eastAsiaTheme="majorEastAsia"/>
          <w:lang w:val="hy-AM"/>
        </w:rPr>
        <w:t xml:space="preserve"> ընդհանուր առմամբ 1.25 տոկոսային կետով` բարձր գնաճային սպասումները  և հասարակության մոտ ձևավորված անորոշությունը նվազեցնելու նպատակով։ Փողի շուկայի տոկոսադրույքների ձևավորումը վերաֆինանսավորման տոկոսադրույքի շուրջ ապահովելու համար ԿԲ-ն շարունակել է բավարարել իրացվելիության նկատմամբ բանկային համակարգի պահանջարկը՝ ռեպո գործարքների միջոցով ավելացնելով զուտ իրացվելիության ներարկման չափը։ </w:t>
      </w:r>
    </w:p>
    <w:p w14:paraId="320C1267" w14:textId="77777777" w:rsidR="00B7540A" w:rsidRPr="00B7540A" w:rsidRDefault="00B7540A" w:rsidP="00B7540A">
      <w:pPr>
        <w:spacing w:line="276" w:lineRule="auto"/>
        <w:rPr>
          <w:lang w:val="hy-AM"/>
        </w:rPr>
      </w:pPr>
      <w:r w:rsidRPr="00B7540A">
        <w:rPr>
          <w:rFonts w:eastAsiaTheme="majorEastAsia"/>
          <w:b/>
          <w:iCs/>
          <w:u w:val="single"/>
          <w:lang w:val="hy-AM"/>
        </w:rPr>
        <w:t>Կանխատեսում</w:t>
      </w:r>
      <w:r w:rsidRPr="00586097">
        <w:rPr>
          <w:rFonts w:eastAsiaTheme="majorEastAsia"/>
          <w:lang w:val="es-ES"/>
        </w:rPr>
        <w:t>. 2021թ</w:t>
      </w:r>
      <w:r w:rsidRPr="00B7540A">
        <w:rPr>
          <w:rFonts w:eastAsiaTheme="majorEastAsia"/>
          <w:lang w:val="hy-AM"/>
        </w:rPr>
        <w:t>-</w:t>
      </w:r>
      <w:r w:rsidRPr="00586097">
        <w:rPr>
          <w:rFonts w:eastAsiaTheme="majorEastAsia"/>
          <w:lang w:val="es-ES"/>
        </w:rPr>
        <w:t>ին 12-ամսա գնաճը կգտնվի նպատակային թիրախի վերին սահմանում՝ կազմելով շուրջ 5.2%</w:t>
      </w:r>
      <w:r w:rsidRPr="00B7540A">
        <w:rPr>
          <w:rFonts w:eastAsiaTheme="majorEastAsia"/>
          <w:lang w:val="hy-AM"/>
        </w:rPr>
        <w:t xml:space="preserve">, իսկ միջին գնաճը կկազմի </w:t>
      </w:r>
      <w:r w:rsidRPr="00586097">
        <w:rPr>
          <w:rFonts w:eastAsiaTheme="majorEastAsia"/>
          <w:lang w:val="es-ES"/>
        </w:rPr>
        <w:t>5.3</w:t>
      </w:r>
      <w:r w:rsidRPr="00B7540A">
        <w:rPr>
          <w:rFonts w:eastAsiaTheme="majorEastAsia"/>
          <w:lang w:val="hy-AM"/>
        </w:rPr>
        <w:t>%</w:t>
      </w:r>
      <w:r w:rsidRPr="00586097">
        <w:rPr>
          <w:rFonts w:eastAsiaTheme="majorEastAsia"/>
          <w:lang w:val="es-ES"/>
        </w:rPr>
        <w:t>:</w:t>
      </w:r>
      <w:r w:rsidRPr="00B7540A">
        <w:rPr>
          <w:rFonts w:eastAsiaTheme="majorEastAsia"/>
          <w:lang w:val="hy-AM"/>
        </w:rPr>
        <w:t xml:space="preserve"> Գ</w:t>
      </w:r>
      <w:r w:rsidRPr="00586097">
        <w:rPr>
          <w:rFonts w:eastAsiaTheme="majorEastAsia"/>
          <w:lang w:val="es-ES"/>
        </w:rPr>
        <w:t>նաճի արագացմանը նպաստող հիմնական գործոններ են՝ միջազգային պարենային ապրանքների գների աճը, փոխարժեքի արժեզրկումը, Արցախյան պատերազմի բացասական հետևանքները, մաքսատուրքերի և ակցիզային հարկերի բարձրացումը, ինչպես նաև Էլեկտրաէներգիայի սակագների փոփոխությունը:</w:t>
      </w:r>
      <w:r w:rsidRPr="00B7540A">
        <w:rPr>
          <w:rFonts w:eastAsiaTheme="majorEastAsia"/>
          <w:lang w:val="hy-AM"/>
        </w:rPr>
        <w:t xml:space="preserve"> Միջնաժամկետում գնաճը կկայունանա ԿԲ թիրախի շուրջ:</w:t>
      </w:r>
    </w:p>
    <w:p w14:paraId="142ABE6E" w14:textId="77777777" w:rsidR="00B7540A" w:rsidRPr="00B7540A" w:rsidRDefault="00B7540A" w:rsidP="00B7540A">
      <w:pPr>
        <w:spacing w:line="276" w:lineRule="auto"/>
        <w:rPr>
          <w:lang w:val="hy-AM"/>
        </w:rPr>
      </w:pPr>
      <w:r w:rsidRPr="00B7540A">
        <w:rPr>
          <w:rFonts w:eastAsiaTheme="majorEastAsia"/>
          <w:lang w:val="hy-AM"/>
        </w:rPr>
        <w:t>ԿԲ-ն կարճաժամկետ հատվածում կշարունակի որդեգրած դրամավարկային քաղաքականությունը, որն ուղղված կլինի գնաճային սպասումների արագացման ռիսկերի չեզոքացմանը՝ միևնույն ժամանակ ապահովելով հնարավորին նպաստավոր պայմաններ ամբողջական պահանջարկի վերականգնման համար, իսկ ցանկացած ռիսկերի դրսևորման պարագայում պատրաստ է համապատասխանորեն արձագանքել՝ միջնաժամկետ հատվածում գնաճի նպատակային ցուցանիշին հասնելու նպատակով</w:t>
      </w:r>
      <w:r w:rsidRPr="00586097">
        <w:rPr>
          <w:rStyle w:val="FootnoteReference"/>
          <w:rFonts w:eastAsiaTheme="majorEastAsia"/>
        </w:rPr>
        <w:footnoteReference w:id="15"/>
      </w:r>
      <w:r w:rsidRPr="00586097">
        <w:rPr>
          <w:rFonts w:eastAsiaTheme="majorEastAsia"/>
          <w:lang w:val="es-ES"/>
        </w:rPr>
        <w:t>:</w:t>
      </w:r>
    </w:p>
    <w:p w14:paraId="46D8409A" w14:textId="77777777" w:rsidR="00B7540A" w:rsidRPr="00586097" w:rsidRDefault="00B7540A" w:rsidP="00B7540A">
      <w:pPr>
        <w:pStyle w:val="afc"/>
        <w:spacing w:line="276" w:lineRule="auto"/>
      </w:pPr>
    </w:p>
    <w:p w14:paraId="71332816" w14:textId="77777777" w:rsidR="00B7540A" w:rsidRPr="00586097" w:rsidRDefault="00B7540A" w:rsidP="00B7540A">
      <w:pPr>
        <w:pStyle w:val="afc"/>
        <w:spacing w:line="276" w:lineRule="auto"/>
      </w:pPr>
      <w:r w:rsidRPr="00586097">
        <w:t>Գծապատկեր 1.39. Սպառողական գների աճը, դրամավարկային քաղաքականության հիմնական ցուցանիշները 2017-2021թթ</w:t>
      </w:r>
      <w:r w:rsidRPr="00586097">
        <w:rPr>
          <w:lang w:val="es-ES"/>
        </w:rPr>
        <w:t>.</w:t>
      </w:r>
      <w:r w:rsidRPr="00586097">
        <w:t xml:space="preserve"> և գնաճի կանխատեսումները միջնաժամկետ հատվածում</w:t>
      </w:r>
    </w:p>
    <w:p w14:paraId="5295D385" w14:textId="77777777" w:rsidR="00B7540A" w:rsidRPr="00B7540A" w:rsidRDefault="00B7540A" w:rsidP="00B7540A">
      <w:pPr>
        <w:spacing w:line="276" w:lineRule="auto"/>
        <w:ind w:firstLine="0"/>
        <w:rPr>
          <w:rFonts w:eastAsiaTheme="majorEastAsia"/>
          <w:lang w:val="hy-AM"/>
        </w:rPr>
      </w:pPr>
      <w:r w:rsidRPr="00586097">
        <w:rPr>
          <w:rFonts w:eastAsiaTheme="majorEastAsia"/>
          <w:noProof/>
        </w:rPr>
        <w:drawing>
          <wp:inline distT="0" distB="0" distL="0" distR="0" wp14:anchorId="1C3DC7E1" wp14:editId="0929C2CE">
            <wp:extent cx="3124835" cy="2011680"/>
            <wp:effectExtent l="0" t="0" r="18415" b="762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B7540A">
        <w:rPr>
          <w:rFonts w:eastAsiaTheme="majorEastAsia"/>
          <w:lang w:val="hy-AM"/>
        </w:rPr>
        <w:t xml:space="preserve"> </w:t>
      </w:r>
      <w:r w:rsidRPr="00586097">
        <w:rPr>
          <w:rFonts w:eastAsiaTheme="majorEastAsia"/>
          <w:noProof/>
        </w:rPr>
        <w:drawing>
          <wp:inline distT="0" distB="0" distL="0" distR="0" wp14:anchorId="222317ED" wp14:editId="3759B6B1">
            <wp:extent cx="3124835" cy="2011680"/>
            <wp:effectExtent l="0" t="0" r="18415" b="762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586097">
        <w:rPr>
          <w:rFonts w:eastAsiaTheme="majorEastAsia"/>
          <w:noProof/>
        </w:rPr>
        <w:drawing>
          <wp:inline distT="0" distB="0" distL="0" distR="0" wp14:anchorId="07C264BE" wp14:editId="479F8897">
            <wp:extent cx="6305550" cy="492760"/>
            <wp:effectExtent l="0" t="0" r="0" b="254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586097">
        <w:rPr>
          <w:rFonts w:eastAsiaTheme="majorEastAsia"/>
          <w:noProof/>
        </w:rPr>
        <w:drawing>
          <wp:inline distT="0" distB="0" distL="0" distR="0" wp14:anchorId="4E47F234" wp14:editId="39239D91">
            <wp:extent cx="6409055" cy="2178685"/>
            <wp:effectExtent l="0" t="0" r="10795" b="12065"/>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8E07526" w14:textId="77777777" w:rsidR="00B7540A" w:rsidRPr="00B7540A" w:rsidRDefault="00B7540A" w:rsidP="00B7540A">
      <w:pPr>
        <w:spacing w:line="276" w:lineRule="auto"/>
        <w:ind w:firstLine="0"/>
        <w:rPr>
          <w:lang w:val="hy-AM"/>
        </w:rPr>
      </w:pPr>
      <w:r w:rsidRPr="00586097">
        <w:rPr>
          <w:rFonts w:eastAsiaTheme="majorEastAsia"/>
          <w:noProof/>
        </w:rPr>
        <w:drawing>
          <wp:inline distT="0" distB="0" distL="0" distR="0" wp14:anchorId="26609400" wp14:editId="621A930C">
            <wp:extent cx="3102795" cy="2210435"/>
            <wp:effectExtent l="0" t="0" r="8890" b="12065"/>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B7540A">
        <w:rPr>
          <w:rFonts w:eastAsiaTheme="majorEastAsia"/>
          <w:lang w:val="hy-AM"/>
        </w:rPr>
        <w:t xml:space="preserve"> </w:t>
      </w:r>
      <w:r w:rsidRPr="00586097">
        <w:rPr>
          <w:rFonts w:eastAsiaTheme="majorEastAsia"/>
          <w:noProof/>
        </w:rPr>
        <w:drawing>
          <wp:inline distT="0" distB="0" distL="0" distR="0" wp14:anchorId="30882567" wp14:editId="720FA56D">
            <wp:extent cx="3180715" cy="2210435"/>
            <wp:effectExtent l="0" t="0" r="635" b="18415"/>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5FB18DC" w14:textId="77777777" w:rsidR="00B7540A" w:rsidRPr="009121FA" w:rsidRDefault="00B7540A" w:rsidP="009121FA">
      <w:pPr>
        <w:pStyle w:val="afd"/>
      </w:pPr>
      <w:r w:rsidRPr="009121FA">
        <w:t>Աղբյուրը՝ ՀՀ ԿԲ, ՀՀ ՖՆ հաշվարկներ և կանխատեսումներ</w:t>
      </w:r>
    </w:p>
    <w:p w14:paraId="7CF57288" w14:textId="77777777" w:rsidR="00B7540A" w:rsidRPr="00586097" w:rsidRDefault="00B7540A" w:rsidP="00B7540A">
      <w:pPr>
        <w:pStyle w:val="Heading3"/>
        <w:spacing w:line="276" w:lineRule="auto"/>
      </w:pPr>
    </w:p>
    <w:tbl>
      <w:tblPr>
        <w:tblStyle w:val="TableGrid100"/>
        <w:tblW w:w="0" w:type="auto"/>
        <w:shd w:val="clear" w:color="auto" w:fill="D9E2F3"/>
        <w:tblLook w:val="04A0" w:firstRow="1" w:lastRow="0" w:firstColumn="1" w:lastColumn="0" w:noHBand="0" w:noVBand="1"/>
      </w:tblPr>
      <w:tblGrid>
        <w:gridCol w:w="10024"/>
      </w:tblGrid>
      <w:tr w:rsidR="00B7540A" w:rsidRPr="00586097" w14:paraId="1DBD189C" w14:textId="77777777" w:rsidTr="00B7540A">
        <w:trPr>
          <w:trHeight w:val="1103"/>
        </w:trPr>
        <w:tc>
          <w:tcPr>
            <w:tcW w:w="10024" w:type="dxa"/>
            <w:shd w:val="clear" w:color="auto" w:fill="D9E2F3"/>
          </w:tcPr>
          <w:p w14:paraId="6F37B79A" w14:textId="77777777" w:rsidR="00B7540A" w:rsidRPr="00B7540A" w:rsidRDefault="00B7540A" w:rsidP="00B7540A">
            <w:pPr>
              <w:spacing w:line="276" w:lineRule="auto"/>
              <w:rPr>
                <w:i/>
                <w:lang w:val="hy-AM"/>
              </w:rPr>
            </w:pPr>
            <w:r w:rsidRPr="00B7540A">
              <w:rPr>
                <w:rFonts w:eastAsiaTheme="majorEastAsia"/>
                <w:b/>
                <w:i/>
                <w:lang w:val="hy-AM"/>
              </w:rPr>
              <w:t>Ներդիր 2: Դրամավարկային քաղաքականության արձագանքը համավարակին աշխարհում</w:t>
            </w:r>
          </w:p>
          <w:p w14:paraId="478B73E0" w14:textId="77777777" w:rsidR="00B7540A" w:rsidRPr="00B7540A" w:rsidRDefault="00B7540A" w:rsidP="00B7540A">
            <w:pPr>
              <w:spacing w:line="276" w:lineRule="auto"/>
              <w:rPr>
                <w:lang w:val="hy-AM"/>
              </w:rPr>
            </w:pPr>
            <w:r w:rsidRPr="00B7540A">
              <w:rPr>
                <w:rFonts w:eastAsiaTheme="majorEastAsia"/>
                <w:lang w:val="hy-AM"/>
              </w:rPr>
              <w:t>Աշխարհի ինչպես զարգացած, այնպես էլ զարգացող երկրների կենտրոնական բանկերի զգալի մասը 2020թ</w:t>
            </w:r>
            <w:r w:rsidRPr="00B7540A">
              <w:rPr>
                <w:rFonts w:ascii="Cambria Math" w:eastAsiaTheme="majorEastAsia" w:hAnsi="Cambria Math" w:cs="Cambria Math"/>
                <w:lang w:val="hy-AM"/>
              </w:rPr>
              <w:t>․</w:t>
            </w:r>
            <w:r w:rsidRPr="00B7540A">
              <w:rPr>
                <w:rFonts w:eastAsiaTheme="majorEastAsia"/>
                <w:lang w:val="hy-AM"/>
              </w:rPr>
              <w:t xml:space="preserve"> խթանող դրամավարկային քաղաքականությամբ հակազդեց համավարակի տարածման տնտեսական ազդեցություններին՝ նվազեցնելով տոկոսադրույքները և ներդնելով ֆինանսական շուկայից ակտիվների ձեռք բերման աննախադեպ ծրագրեր։ Ֆինանսական շուկայից ձեռք են բերել շուրջ 10 տրիլիոն ԱՄՆ դոլար ծավալի ակտիվներ,  որը կրկնակի անգամ գերազանցում է 2008թ</w:t>
            </w:r>
            <w:r w:rsidRPr="00B7540A">
              <w:rPr>
                <w:rFonts w:ascii="Cambria Math" w:eastAsiaTheme="majorEastAsia" w:hAnsi="Cambria Math" w:cs="Cambria Math"/>
                <w:lang w:val="hy-AM"/>
              </w:rPr>
              <w:t>․</w:t>
            </w:r>
            <w:r w:rsidRPr="00B7540A">
              <w:rPr>
                <w:rFonts w:eastAsiaTheme="majorEastAsia"/>
                <w:lang w:val="hy-AM"/>
              </w:rPr>
              <w:t xml:space="preserve"> համաշխարհային ֆինասական ճգնաժամին հաջորդած երկու տարիների ընթացքում իրականացրած ձեռբերման ծավալը։ Կենտրոնական բանկերի գործողությունները մեղմել են միջազգային ֆինանսական շուկաների անորոշությունները, նպաստել են ցածր պահել տոկոսադրույքները և օժանդակել են իրական հատվածի ֆինանսավորմանը։ </w:t>
            </w:r>
          </w:p>
          <w:p w14:paraId="4BE925A0" w14:textId="77777777" w:rsidR="00B7540A" w:rsidRPr="00B7540A" w:rsidRDefault="00B7540A" w:rsidP="00B7540A">
            <w:pPr>
              <w:spacing w:line="276" w:lineRule="auto"/>
              <w:rPr>
                <w:lang w:val="hy-AM"/>
              </w:rPr>
            </w:pPr>
            <w:r w:rsidRPr="00B7540A">
              <w:rPr>
                <w:rFonts w:eastAsiaTheme="majorEastAsia"/>
                <w:lang w:val="hy-AM"/>
              </w:rPr>
              <w:t>Սակայն 2021թ</w:t>
            </w:r>
            <w:r w:rsidRPr="00B7540A">
              <w:rPr>
                <w:rFonts w:ascii="Cambria Math" w:eastAsiaTheme="majorEastAsia" w:hAnsi="Cambria Math" w:cs="Cambria Math"/>
                <w:lang w:val="hy-AM"/>
              </w:rPr>
              <w:t>․</w:t>
            </w:r>
            <w:r w:rsidRPr="00B7540A">
              <w:rPr>
                <w:rFonts w:eastAsiaTheme="majorEastAsia"/>
                <w:lang w:val="hy-AM"/>
              </w:rPr>
              <w:t>-ին որոշ երկրների (Հայաստանի, Վրաստանի, Ռուսաստանի, Ղրղստանի, Տաջիկիստանի և այլն) ԿԲ-երը գնաճի արագացումը նվազեցնելու նպատակով բարձրացրել են վերաֆինասավորման տոկոսադրույքները:</w:t>
            </w:r>
          </w:p>
          <w:p w14:paraId="4A554F61" w14:textId="77777777" w:rsidR="00B7540A" w:rsidRPr="00586097" w:rsidRDefault="00B7540A" w:rsidP="00B7540A">
            <w:pPr>
              <w:spacing w:line="276" w:lineRule="auto"/>
              <w:ind w:firstLine="22"/>
            </w:pPr>
            <w:r w:rsidRPr="00586097">
              <w:rPr>
                <w:rFonts w:eastAsiaTheme="majorEastAsia" w:cstheme="majorBidi"/>
                <w:b/>
                <w:noProof/>
                <w:color w:val="244061" w:themeColor="accent1" w:themeShade="80"/>
              </w:rPr>
              <w:drawing>
                <wp:inline distT="0" distB="0" distL="0" distR="0" wp14:anchorId="5D4A2B99" wp14:editId="01778718">
                  <wp:extent cx="6219825" cy="2303780"/>
                  <wp:effectExtent l="0" t="0" r="9525" b="127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5D3176D" w14:textId="77777777" w:rsidR="00B7540A" w:rsidRPr="00586097" w:rsidRDefault="00B7540A" w:rsidP="00B7540A">
            <w:pPr>
              <w:spacing w:line="276" w:lineRule="auto"/>
            </w:pPr>
            <w:r w:rsidRPr="00586097">
              <w:rPr>
                <w:rFonts w:eastAsiaTheme="majorEastAsia"/>
                <w:b/>
              </w:rPr>
              <w:t xml:space="preserve">Աղբյուրը՝ Արժույթի միջազգային հիմնադրամի զեկույցներ (Global Financial Stability Report, April 2021: Preempting a Legacy of Vulnerabilities) և </w:t>
            </w:r>
            <w:hyperlink r:id="rId68" w:history="1">
              <w:r w:rsidRPr="00586097">
                <w:rPr>
                  <w:rStyle w:val="Hyperlink"/>
                  <w:rFonts w:eastAsia="SimSun"/>
                </w:rPr>
                <w:t>http://www.centralbanknews.info/</w:t>
              </w:r>
            </w:hyperlink>
            <w:r w:rsidRPr="00586097">
              <w:rPr>
                <w:rFonts w:eastAsiaTheme="majorEastAsia"/>
                <w:b/>
              </w:rPr>
              <w:t>։</w:t>
            </w:r>
          </w:p>
          <w:p w14:paraId="4E368C9C" w14:textId="77777777" w:rsidR="00B7540A" w:rsidRPr="00586097" w:rsidRDefault="00B7540A" w:rsidP="00B7540A">
            <w:pPr>
              <w:spacing w:line="276" w:lineRule="auto"/>
            </w:pPr>
            <w:r w:rsidRPr="00586097">
              <w:rPr>
                <w:rFonts w:eastAsiaTheme="majorEastAsia"/>
              </w:rPr>
              <w:t>Հայաստանի համար դիտարկվել է 2020թ</w:t>
            </w:r>
            <w:r w:rsidRPr="00586097">
              <w:rPr>
                <w:rFonts w:ascii="Cambria Math" w:eastAsiaTheme="majorEastAsia" w:hAnsi="Cambria Math" w:cs="Cambria Math"/>
              </w:rPr>
              <w:t>․</w:t>
            </w:r>
            <w:r w:rsidRPr="00586097">
              <w:rPr>
                <w:rFonts w:eastAsiaTheme="majorEastAsia"/>
              </w:rPr>
              <w:t xml:space="preserve"> ընթացքում խթանման չափը, առանց հաշվի առնելու դեկտեմբերի 15-ի ԿԲ ռեպո տոկոսադրույքի 1 տոկոսային կետով բարձրացումը: </w:t>
            </w:r>
          </w:p>
        </w:tc>
      </w:tr>
    </w:tbl>
    <w:p w14:paraId="7A65EDA3" w14:textId="77777777" w:rsidR="00B7540A" w:rsidRPr="00586097" w:rsidRDefault="00B7540A" w:rsidP="00B7540A">
      <w:pPr>
        <w:spacing w:line="276" w:lineRule="auto"/>
        <w:ind w:firstLine="0"/>
        <w:sectPr w:rsidR="00B7540A" w:rsidRPr="00586097" w:rsidSect="00B7540A">
          <w:pgSz w:w="11906" w:h="16838" w:code="9"/>
          <w:pgMar w:top="851" w:right="851" w:bottom="851" w:left="1021" w:header="431" w:footer="578" w:gutter="0"/>
          <w:cols w:space="720"/>
          <w:titlePg/>
          <w:docGrid w:linePitch="360"/>
        </w:sectPr>
      </w:pPr>
    </w:p>
    <w:p w14:paraId="335A85AB" w14:textId="77777777" w:rsidR="00B7540A" w:rsidRPr="007309DA" w:rsidRDefault="007309DA" w:rsidP="007309DA">
      <w:pPr>
        <w:pStyle w:val="Heading3"/>
        <w:shd w:val="clear" w:color="auto" w:fill="FFFFFF" w:themeFill="background1"/>
        <w:rPr>
          <w:rFonts w:cs="Sylfaen"/>
          <w:bCs/>
          <w:caps w:val="0"/>
          <w:color w:val="1F497D" w:themeColor="text2"/>
          <w:sz w:val="28"/>
          <w:szCs w:val="28"/>
        </w:rPr>
      </w:pPr>
      <w:bookmarkStart w:id="452" w:name="_Toc77351555"/>
      <w:bookmarkStart w:id="453" w:name="_Toc77351993"/>
      <w:bookmarkStart w:id="454" w:name="_Toc77352430"/>
      <w:bookmarkStart w:id="455" w:name="_Toc77353868"/>
      <w:bookmarkStart w:id="456" w:name="_Toc77355848"/>
      <w:bookmarkStart w:id="457" w:name="_Toc77358759"/>
      <w:bookmarkStart w:id="458" w:name="_Toc77359661"/>
      <w:bookmarkStart w:id="459" w:name="_Toc77249729"/>
      <w:bookmarkStart w:id="460" w:name="_Toc77451196"/>
      <w:bookmarkStart w:id="461" w:name="_Toc78536691"/>
      <w:bookmarkEnd w:id="452"/>
      <w:bookmarkEnd w:id="453"/>
      <w:bookmarkEnd w:id="454"/>
      <w:bookmarkEnd w:id="455"/>
      <w:bookmarkEnd w:id="456"/>
      <w:bookmarkEnd w:id="457"/>
      <w:bookmarkEnd w:id="458"/>
      <w:r w:rsidRPr="007309DA">
        <w:rPr>
          <w:rFonts w:cs="Sylfaen"/>
          <w:bCs/>
          <w:caps w:val="0"/>
          <w:color w:val="1F497D" w:themeColor="text2"/>
          <w:sz w:val="28"/>
          <w:szCs w:val="28"/>
        </w:rPr>
        <w:t xml:space="preserve">1.4. </w:t>
      </w:r>
      <w:r w:rsidR="00B7540A" w:rsidRPr="007309DA">
        <w:rPr>
          <w:rFonts w:cs="Sylfaen"/>
          <w:bCs/>
          <w:caps w:val="0"/>
          <w:color w:val="1F497D" w:themeColor="text2"/>
          <w:sz w:val="28"/>
          <w:szCs w:val="28"/>
        </w:rPr>
        <w:t>ԿԱՆԽԱՏԵՍՈՒՄՆԵՐԻ ՀԻՄՔՈՒՄ ԸՆԿԱԾ ԵՆԹԱԴՐՈՒԹՅՈՒՆՆԵՐԸ</w:t>
      </w:r>
      <w:bookmarkEnd w:id="459"/>
      <w:bookmarkEnd w:id="460"/>
      <w:bookmarkEnd w:id="461"/>
      <w:r w:rsidR="00B7540A" w:rsidRPr="007309DA">
        <w:rPr>
          <w:rFonts w:cs="Sylfaen"/>
          <w:bCs/>
          <w:caps w:val="0"/>
          <w:color w:val="1F497D" w:themeColor="text2"/>
          <w:sz w:val="28"/>
          <w:szCs w:val="28"/>
        </w:rPr>
        <w:t xml:space="preserve"> </w:t>
      </w:r>
    </w:p>
    <w:p w14:paraId="32C6C9EA" w14:textId="77777777" w:rsidR="00B7540A" w:rsidRPr="00B7540A" w:rsidRDefault="00B7540A" w:rsidP="00B7540A">
      <w:pPr>
        <w:spacing w:line="276" w:lineRule="auto"/>
        <w:rPr>
          <w:rFonts w:eastAsia="Calibri"/>
          <w:lang w:val="hy-AM"/>
        </w:rPr>
      </w:pPr>
      <w:r w:rsidRPr="00B7540A">
        <w:rPr>
          <w:rFonts w:eastAsia="Calibri"/>
          <w:lang w:val="hy-AM"/>
        </w:rPr>
        <w:t>2022-2024թթ</w:t>
      </w:r>
      <w:r w:rsidRPr="00B7540A">
        <w:rPr>
          <w:rFonts w:ascii="Cambria Math" w:eastAsia="Calibri" w:hAnsi="Cambria Math" w:cs="Cambria Math"/>
          <w:lang w:val="hy-AM"/>
        </w:rPr>
        <w:t>․</w:t>
      </w:r>
      <w:r w:rsidRPr="00B7540A">
        <w:rPr>
          <w:rFonts w:eastAsia="Calibri"/>
          <w:lang w:val="hy-AM"/>
        </w:rPr>
        <w:t xml:space="preserve"> ՄԺԾԾ մակրոտնտեսական շրջանակի կանխատեսումներն իրականացվել են ՀՀ ՖՆ կողմից՝ կիրառելով տնտեսաչափական մոդելներ, և առանձին շոկերի և հարկաբյուջետային միջոցառումների ազդեցությունների գնահատման համար՝ ՀՀ ՖՆ հարկաբյուջետային քաղաքականության դինամիկ ստոխաստիկ ընդհանուր հավասարակշռության (The Fiscal Strategy Model: A Structural Framework for Fiscal Policy Analysis in Armenia) մոդելը</w:t>
      </w:r>
      <w:r w:rsidRPr="00586097">
        <w:rPr>
          <w:rFonts w:eastAsia="Calibri"/>
          <w:vertAlign w:val="superscript"/>
          <w:lang w:val="es-ES"/>
        </w:rPr>
        <w:footnoteReference w:id="16"/>
      </w:r>
      <w:r w:rsidRPr="00586097">
        <w:rPr>
          <w:rFonts w:eastAsia="Calibri"/>
          <w:vertAlign w:val="superscript"/>
          <w:lang w:val="es-ES"/>
        </w:rPr>
        <w:t xml:space="preserve">, </w:t>
      </w:r>
      <w:r w:rsidRPr="00B7540A">
        <w:rPr>
          <w:rFonts w:eastAsia="Calibri"/>
          <w:lang w:val="hy-AM"/>
        </w:rPr>
        <w:t>որոնց համար տեղեկատվական հիմք են հանդիսացել նեքին և արտաքին ընթացիկ տնտեսական և ֆինանսական զարգացումները, Արցախյան պատերազմի տնտեսական հետևանքների վերաբերյալ ՀՀ ՖՆ գնահատականները, ինչպես նաև ՀՀ գործընկեր երկրների տնտեսական  զարգացումների և հումքային ապրանքների համաշխարհային գների միջազգային կառույցների կողմից արված կանխատեսումները: Մասնավորապես՝</w:t>
      </w:r>
    </w:p>
    <w:p w14:paraId="0F3CD2DA" w14:textId="77777777" w:rsidR="00B7540A" w:rsidRPr="00586097" w:rsidRDefault="00B7540A" w:rsidP="00C0628C">
      <w:pPr>
        <w:pStyle w:val="ListParagraph"/>
        <w:numPr>
          <w:ilvl w:val="0"/>
          <w:numId w:val="42"/>
        </w:numPr>
        <w:spacing w:before="60" w:after="40" w:line="276" w:lineRule="auto"/>
        <w:rPr>
          <w:rFonts w:eastAsia="Calibri"/>
          <w:b/>
        </w:rPr>
      </w:pPr>
      <w:r w:rsidRPr="00586097">
        <w:rPr>
          <w:rFonts w:eastAsia="Calibri"/>
          <w:b/>
        </w:rPr>
        <w:t>Արտաքին  գործոններ.</w:t>
      </w:r>
    </w:p>
    <w:p w14:paraId="2B71BB8E" w14:textId="77777777" w:rsidR="00B7540A" w:rsidRPr="00586097"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rPr>
      </w:pPr>
      <w:r w:rsidRPr="00586097">
        <w:rPr>
          <w:rFonts w:eastAsia="Calibri"/>
        </w:rPr>
        <w:t>2021թ</w:t>
      </w:r>
      <w:r w:rsidRPr="00586097">
        <w:rPr>
          <w:rFonts w:ascii="Cambria Math" w:eastAsia="Calibri" w:hAnsi="Cambria Math" w:cs="Cambria Math"/>
        </w:rPr>
        <w:t>․</w:t>
      </w:r>
      <w:r w:rsidRPr="00586097">
        <w:rPr>
          <w:rFonts w:eastAsia="Calibri"/>
        </w:rPr>
        <w:t xml:space="preserve"> համար հայտարարված խոշոր հարկաբյուջետային աջակցությունը կխթանի զարգացած երկրների տնտեսական ակտիվությունը, ինչը կստեղծի դրական երկրորդային ազդեցություններ առևտրային գործընկերների համար: </w:t>
      </w:r>
      <w:r w:rsidRPr="00586097">
        <w:rPr>
          <w:rFonts w:cs="Courier New"/>
        </w:rPr>
        <w:t>Համավարակի հաղթահարման նպատակով կիրառվող</w:t>
      </w:r>
      <w:r w:rsidRPr="00586097">
        <w:rPr>
          <w:rFonts w:eastAsia="Calibri"/>
        </w:rPr>
        <w:t xml:space="preserve"> պատվաստանյութերը լայնորեն մատչելի կլինեն զարգացած երկրներում, ինչպես նաև որոշ զարգացող երկրներում,</w:t>
      </w:r>
      <w:r w:rsidRPr="00586097">
        <w:rPr>
          <w:rFonts w:cs="Courier New"/>
        </w:rPr>
        <w:t xml:space="preserve"> տնտեսական սահմանափակումներն աստիճանաբար կհանվեն:</w:t>
      </w:r>
      <w:r w:rsidRPr="00586097">
        <w:rPr>
          <w:rFonts w:eastAsia="Calibri"/>
        </w:rPr>
        <w:t xml:space="preserve"> Այս պայմաններում ԱՄՀ կանխատեսումների համաձայն 2021թ.  ՀՀ հիմ</w:t>
      </w:r>
      <w:r w:rsidRPr="00586097">
        <w:rPr>
          <w:rFonts w:eastAsia="Calibri"/>
        </w:rPr>
        <w:softHyphen/>
        <w:t>նական գործընկեր երկրների արտաքին պահանջարկը կաճի 4.6%-ով</w:t>
      </w:r>
      <w:r w:rsidRPr="00586097">
        <w:rPr>
          <w:rFonts w:eastAsia="Calibri"/>
          <w:vertAlign w:val="superscript"/>
          <w:lang w:val="es-ES"/>
        </w:rPr>
        <w:footnoteReference w:id="17"/>
      </w:r>
      <w:r w:rsidRPr="00586097">
        <w:rPr>
          <w:rFonts w:eastAsia="Calibri"/>
        </w:rPr>
        <w:t>:</w:t>
      </w:r>
    </w:p>
    <w:p w14:paraId="4534FF91" w14:textId="77777777" w:rsidR="00B7540A" w:rsidRPr="00586097"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rPr>
      </w:pPr>
      <w:r w:rsidRPr="00586097">
        <w:rPr>
          <w:rFonts w:eastAsia="Calibri"/>
        </w:rPr>
        <w:t>2022թ. պատվաստանյութերը լայնորեն հասանելի կլինեն նաև զարգացող երկրների մեծամասնությունում, արդյունքում մինչև 2022թ</w:t>
      </w:r>
      <w:r w:rsidRPr="00586097">
        <w:rPr>
          <w:rFonts w:ascii="Cambria Math" w:eastAsia="Calibri" w:hAnsi="Cambria Math" w:cs="Cambria Math"/>
        </w:rPr>
        <w:t>․</w:t>
      </w:r>
      <w:r w:rsidRPr="00586097">
        <w:rPr>
          <w:rFonts w:eastAsia="Calibri"/>
        </w:rPr>
        <w:t xml:space="preserve"> ավարտը վարակի տարածումն ամենուր կնվազի՝ հասնելով ցածր մակարդակի: Այս համատեքստում, և 2021թ.-ից փոխանցվող դրական տենտեսական և հակաբյուջետային միջոցառումների ազդեցությունների պայմաններում, 2022թ. ՀՀ գործընկեր երկրների տնտեսությունների համար կանխատեսվում  է իրենց նախաճգնաժամային պոտենցիալ աճերից բարձր տնտեսական աճեր՝ նախանշելով վերականգման գործընթացը: Արդյունքում, 2022թ. վերջում տեղի կունենա ՀՀ արտաքին պահանջարկի վերականգնումը, սակայն  նոր՝ նախաճգնաժամային մակարդակից ցածր ներուժային մակարդակի պայմաններում (գործընկեր երկրներից ԵՄ-ն կվերականգնվի 2022թ. հետո): </w:t>
      </w:r>
    </w:p>
    <w:p w14:paraId="1D3D345F" w14:textId="77777777" w:rsidR="00B7540A" w:rsidRPr="00586097"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cs="Sylfaen"/>
          <w:bCs/>
        </w:rPr>
      </w:pPr>
      <w:r w:rsidRPr="00586097">
        <w:rPr>
          <w:rFonts w:eastAsia="Calibri"/>
        </w:rPr>
        <w:t>2021թ. նավթի և պղնձի բորսային գները կգրանցեն բարձր աճեր, պայմանավորված հիմնականում համաշխարհային պահանջարկի վերականգմամբ, նավթի գների բարձրացմանը կնպաստի նաև OPEC+ անդամների միջև առաջարկի շուրջ պայմանավորվածությունները: Ըստ «Բլումբերգ» միջազգային հեղինակավոր կազմակերպության փետրվարի դրությամբ ամփոփած  կանխատեսումների 2021թ. նավթի միջազգային գները կաճեն 56.5</w:t>
      </w:r>
      <w:r w:rsidRPr="00586097">
        <w:rPr>
          <w:rFonts w:eastAsia="Calibri" w:cs="Sylfaen"/>
          <w:bCs/>
        </w:rPr>
        <w:t>%-ով, իսկ պղնձի գները՝ 56.9%</w:t>
      </w:r>
      <w:r w:rsidRPr="00586097">
        <w:rPr>
          <w:rFonts w:eastAsia="Calibri"/>
        </w:rPr>
        <w:t>: 2022թ. նավթի և պղնձի գների փոփոխությունը կլինեն ոչ նշանակալի:</w:t>
      </w:r>
    </w:p>
    <w:p w14:paraId="500EDA0E" w14:textId="77777777" w:rsidR="00B7540A" w:rsidRPr="00586097"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bCs/>
        </w:rPr>
      </w:pPr>
      <w:r w:rsidRPr="00586097">
        <w:rPr>
          <w:rFonts w:eastAsia="Calibri"/>
        </w:rPr>
        <w:t xml:space="preserve">Աշխարհում տուրիզմի վերականգնումը տեղի կունենա թույլ տեմպերով, պայմանավորված համավարակի հաղթահարման անորոշություններով: Ըստ </w:t>
      </w:r>
      <w:r w:rsidRPr="00586097">
        <w:rPr>
          <w:rFonts w:eastAsia="+mn-ea" w:cs="+mn-cs"/>
          <w:color w:val="000000"/>
          <w:kern w:val="24"/>
        </w:rPr>
        <w:t>տուրիզմի համաշխարհային կազմակերպության (</w:t>
      </w:r>
      <w:r w:rsidRPr="00586097">
        <w:rPr>
          <w:rFonts w:eastAsia="Calibri"/>
          <w:lang w:val="es-ES"/>
        </w:rPr>
        <w:t xml:space="preserve">UNWTO) </w:t>
      </w:r>
      <w:r w:rsidRPr="00586097">
        <w:rPr>
          <w:rFonts w:eastAsia="Calibri"/>
        </w:rPr>
        <w:t>գնահատականների տուրիստական աշխուժությունը 2019թ</w:t>
      </w:r>
      <w:r w:rsidRPr="00586097">
        <w:rPr>
          <w:rFonts w:eastAsia="Calibri"/>
          <w:lang w:val="es-ES"/>
        </w:rPr>
        <w:t>.</w:t>
      </w:r>
      <w:r w:rsidRPr="00586097">
        <w:rPr>
          <w:rFonts w:eastAsia="Calibri"/>
        </w:rPr>
        <w:t xml:space="preserve"> մակարդակին կհասնի միայն 2024թ</w:t>
      </w:r>
      <w:r w:rsidRPr="00586097">
        <w:rPr>
          <w:rFonts w:ascii="Cambria Math" w:eastAsia="Calibri" w:hAnsi="Cambria Math" w:cs="Cambria Math"/>
        </w:rPr>
        <w:t>․</w:t>
      </w:r>
      <w:r w:rsidRPr="00586097">
        <w:rPr>
          <w:rFonts w:eastAsia="Calibri"/>
        </w:rPr>
        <w:t>-ին:  ՀՀ համար՝ հաշվի առնելով հետպատերազմյան ազդեցությունները և համաշխարհային տնտեսության նկատմամաբ ավելի դանդաղ վերականգնումը, ենթադրվել է, որ ծառայությունների արտահանումը և ներմուծումը  միայն 2025թ</w:t>
      </w:r>
      <w:r w:rsidRPr="00586097">
        <w:rPr>
          <w:rFonts w:ascii="Cambria Math" w:eastAsia="Calibri" w:hAnsi="Cambria Math" w:cs="Cambria Math"/>
        </w:rPr>
        <w:t>․</w:t>
      </w:r>
      <w:r w:rsidRPr="00586097">
        <w:rPr>
          <w:rFonts w:eastAsia="Calibri"/>
        </w:rPr>
        <w:t>-ին կհասնեն 2019թ</w:t>
      </w:r>
      <w:r w:rsidRPr="00586097">
        <w:rPr>
          <w:rFonts w:ascii="Cambria Math" w:eastAsia="Calibri" w:hAnsi="Cambria Math" w:cs="Cambria Math"/>
        </w:rPr>
        <w:t>․</w:t>
      </w:r>
      <w:r w:rsidRPr="00586097">
        <w:rPr>
          <w:rFonts w:eastAsia="Calibri"/>
        </w:rPr>
        <w:t xml:space="preserve"> մակարդակին, </w:t>
      </w:r>
    </w:p>
    <w:p w14:paraId="64D0381B" w14:textId="77777777" w:rsidR="00B7540A" w:rsidRPr="00586097" w:rsidRDefault="00B7540A" w:rsidP="00855202">
      <w:pPr>
        <w:pStyle w:val="ListBullet"/>
        <w:numPr>
          <w:ilvl w:val="0"/>
          <w:numId w:val="49"/>
        </w:numPr>
        <w:tabs>
          <w:tab w:val="clear" w:pos="360"/>
        </w:tabs>
        <w:overflowPunct/>
        <w:autoSpaceDE/>
        <w:autoSpaceDN/>
        <w:adjustRightInd/>
        <w:spacing w:before="0" w:after="120" w:line="276" w:lineRule="auto"/>
        <w:ind w:left="1008"/>
        <w:contextualSpacing/>
        <w:textAlignment w:val="auto"/>
        <w:rPr>
          <w:rFonts w:eastAsia="Calibri"/>
          <w:bCs/>
        </w:rPr>
      </w:pPr>
      <w:r w:rsidRPr="00586097">
        <w:rPr>
          <w:rFonts w:eastAsia="Calibri"/>
        </w:rPr>
        <w:t>Դ</w:t>
      </w:r>
      <w:r w:rsidRPr="00586097">
        <w:rPr>
          <w:rFonts w:eastAsia="Calibri"/>
          <w:lang w:val="es-ES"/>
        </w:rPr>
        <w:t>րամական փոխանցումներ</w:t>
      </w:r>
      <w:r w:rsidRPr="00586097">
        <w:rPr>
          <w:rFonts w:eastAsia="Calibri"/>
        </w:rPr>
        <w:t>ի</w:t>
      </w:r>
      <w:r w:rsidRPr="00586097">
        <w:rPr>
          <w:rFonts w:eastAsia="Calibri"/>
          <w:lang w:val="es-ES"/>
        </w:rPr>
        <w:t xml:space="preserve"> ԱՄՆ-ից դեպի Հայաստան 2020թ</w:t>
      </w:r>
      <w:r w:rsidRPr="00586097">
        <w:rPr>
          <w:rFonts w:ascii="Cambria Math" w:eastAsia="Calibri" w:hAnsi="Cambria Math" w:cs="Cambria Math"/>
          <w:lang w:val="es-ES"/>
        </w:rPr>
        <w:t>․</w:t>
      </w:r>
      <w:r w:rsidRPr="00586097">
        <w:rPr>
          <w:rFonts w:eastAsia="Calibri"/>
          <w:lang w:val="es-ES"/>
        </w:rPr>
        <w:t xml:space="preserve"> հունիս ամսից սկսված աննախադեպ բարձր աճը</w:t>
      </w:r>
      <w:r w:rsidRPr="00586097">
        <w:rPr>
          <w:rFonts w:eastAsia="Calibri"/>
        </w:rPr>
        <w:t>, ենթադրվում է, որ</w:t>
      </w:r>
      <w:r w:rsidRPr="00586097">
        <w:rPr>
          <w:rFonts w:eastAsia="Calibri"/>
          <w:lang w:val="es-ES"/>
        </w:rPr>
        <w:t xml:space="preserve"> կրելու է ժամանակավոր բնույթ և 2021թ</w:t>
      </w:r>
      <w:r w:rsidRPr="00586097">
        <w:rPr>
          <w:rFonts w:ascii="Cambria Math" w:eastAsia="Calibri" w:hAnsi="Cambria Math" w:cs="Cambria Math"/>
          <w:lang w:val="es-ES"/>
        </w:rPr>
        <w:t>․</w:t>
      </w:r>
      <w:r w:rsidRPr="00586097">
        <w:rPr>
          <w:rFonts w:eastAsia="Calibri"/>
          <w:lang w:val="es-ES"/>
        </w:rPr>
        <w:t xml:space="preserve"> ընթացքում տեղի է ունենալու աստիճանական վերադարձ նախորդ զարգացումներին</w:t>
      </w:r>
      <w:r w:rsidRPr="00586097">
        <w:rPr>
          <w:rFonts w:ascii="Cambria Math" w:eastAsia="Calibri" w:hAnsi="Cambria Math" w:cs="Cambria Math"/>
        </w:rPr>
        <w:t>․</w:t>
      </w:r>
      <w:r w:rsidRPr="00586097">
        <w:rPr>
          <w:rFonts w:eastAsia="Calibri"/>
          <w:lang w:val="es-ES"/>
        </w:rPr>
        <w:t xml:space="preserve"> </w:t>
      </w:r>
      <w:r w:rsidRPr="00586097">
        <w:rPr>
          <w:rFonts w:eastAsia="Calibri"/>
          <w:lang w:val="af-ZA"/>
        </w:rPr>
        <w:t>2021</w:t>
      </w:r>
      <w:r w:rsidRPr="00586097">
        <w:rPr>
          <w:rFonts w:eastAsia="Calibri"/>
        </w:rPr>
        <w:t>թ</w:t>
      </w:r>
      <w:r w:rsidRPr="00586097">
        <w:rPr>
          <w:rFonts w:eastAsia="Calibri"/>
          <w:lang w:val="af-ZA"/>
        </w:rPr>
        <w:t xml:space="preserve">. </w:t>
      </w:r>
      <w:r w:rsidRPr="00586097">
        <w:rPr>
          <w:rFonts w:eastAsia="Calibri"/>
        </w:rPr>
        <w:t>գնահատվում է</w:t>
      </w:r>
      <w:r w:rsidRPr="00586097">
        <w:rPr>
          <w:rFonts w:eastAsia="Calibri"/>
          <w:lang w:val="af-ZA"/>
        </w:rPr>
        <w:t xml:space="preserve"> </w:t>
      </w:r>
      <w:r w:rsidRPr="00586097">
        <w:rPr>
          <w:rFonts w:eastAsia="Calibri"/>
        </w:rPr>
        <w:t>ԱՄՆ-ից դրամական</w:t>
      </w:r>
      <w:r w:rsidRPr="00586097">
        <w:rPr>
          <w:rFonts w:eastAsia="Calibri"/>
          <w:lang w:val="af-ZA"/>
        </w:rPr>
        <w:t xml:space="preserve"> </w:t>
      </w:r>
      <w:r w:rsidRPr="00586097">
        <w:rPr>
          <w:rFonts w:eastAsia="Calibri"/>
        </w:rPr>
        <w:t>փոխանցումների</w:t>
      </w:r>
      <w:r w:rsidRPr="00586097">
        <w:rPr>
          <w:rFonts w:eastAsia="Calibri"/>
          <w:lang w:val="af-ZA"/>
        </w:rPr>
        <w:t xml:space="preserve"> </w:t>
      </w:r>
      <w:r w:rsidRPr="00586097">
        <w:rPr>
          <w:rFonts w:eastAsia="Calibri"/>
        </w:rPr>
        <w:t>աճի տեմպի դանդաղում</w:t>
      </w:r>
      <w:r w:rsidRPr="00586097">
        <w:rPr>
          <w:rFonts w:eastAsia="Calibri"/>
          <w:lang w:val="af-ZA"/>
        </w:rPr>
        <w:t>,</w:t>
      </w:r>
      <w:r w:rsidRPr="00586097">
        <w:rPr>
          <w:rFonts w:eastAsia="Calibri"/>
        </w:rPr>
        <w:t xml:space="preserve"> իսկ </w:t>
      </w:r>
      <w:r w:rsidRPr="00586097">
        <w:rPr>
          <w:rFonts w:eastAsia="Calibri"/>
          <w:lang w:val="es-ES"/>
        </w:rPr>
        <w:t>ՌԴ–ից դրամական փոխանցումներ</w:t>
      </w:r>
      <w:r w:rsidRPr="00586097">
        <w:rPr>
          <w:rFonts w:eastAsia="Calibri"/>
        </w:rPr>
        <w:t>ի բարձր</w:t>
      </w:r>
      <w:r w:rsidRPr="00586097">
        <w:rPr>
          <w:rFonts w:eastAsia="Calibri"/>
          <w:lang w:val="es-ES"/>
        </w:rPr>
        <w:t xml:space="preserve"> աճ՝ պայմանավորված սահմանափակումների վերացման հետևանքով դեպի ՌԴ սեզոնային արտագնա աշխատանքի մեկնողների թվի աճով</w:t>
      </w:r>
      <w:r w:rsidRPr="00586097">
        <w:rPr>
          <w:rFonts w:eastAsia="Calibri"/>
        </w:rPr>
        <w:t xml:space="preserve"> և ՌԴ տնտեսական դրական զարգացումներով:</w:t>
      </w:r>
    </w:p>
    <w:p w14:paraId="230548AA" w14:textId="77777777" w:rsidR="00B7540A" w:rsidRPr="00586097" w:rsidRDefault="00B7540A" w:rsidP="00855202">
      <w:pPr>
        <w:pStyle w:val="ListParagraph"/>
        <w:numPr>
          <w:ilvl w:val="0"/>
          <w:numId w:val="42"/>
        </w:numPr>
        <w:spacing w:before="60" w:after="120" w:line="276" w:lineRule="auto"/>
        <w:contextualSpacing w:val="0"/>
        <w:rPr>
          <w:rFonts w:eastAsia="Calibri"/>
          <w:b/>
        </w:rPr>
      </w:pPr>
      <w:r w:rsidRPr="00586097">
        <w:rPr>
          <w:rFonts w:eastAsia="Calibri"/>
          <w:b/>
        </w:rPr>
        <w:t xml:space="preserve">COVID-19 համավարակային իրավիճակ: </w:t>
      </w:r>
      <w:r w:rsidRPr="00586097">
        <w:rPr>
          <w:rFonts w:eastAsia="Calibri"/>
        </w:rPr>
        <w:t>Իմունականխարգելման 2021-2025թթ. ազգային ծրագրով նախատեսվում է կորոնավիրուսային հիվանդության բնակչության ռիսկային խմբերի շրջանում զանգվածային պատվաստումների իրականացում, 2021թ</w:t>
      </w:r>
      <w:r w:rsidRPr="00586097">
        <w:rPr>
          <w:rFonts w:ascii="Cambria Math" w:eastAsia="Calibri" w:hAnsi="Cambria Math" w:cs="Cambria Math"/>
        </w:rPr>
        <w:t>․</w:t>
      </w:r>
      <w:r w:rsidRPr="00586097">
        <w:rPr>
          <w:rFonts w:eastAsia="Calibri"/>
        </w:rPr>
        <w:t xml:space="preserve"> համավարակի աստիճանական չեզոքացում իսկ միջնաժամկետում՝ կայուն համաճարակային իրավիճակ (լաբորատոր հաստատված եզակի դեպքեր)։ Ընդ որում՝ զանգվածային պատվաստումների իրականացումն արդեն իսկ մեկնարկել է, ինչի շրջանակներում՝ մարտ ամսից սկսած Հայաստան է ներկրվել «AstraZeneca», «Sputnik-V», «Կորոնավակ» պատվաստանյութերը: 2021թ. նախատեսվում է պատվաստել բնակչության 10%-ին, ինչի արդյունքում 2021թ. համավարակի բացասական ազդեցությունները աստիճանաբար կթուլանան, իսկ միջնաժամկետում լրացուցիչ բացասական ազդեցություններ չեն սպասվում: </w:t>
      </w:r>
    </w:p>
    <w:p w14:paraId="42BE5023" w14:textId="77777777" w:rsidR="00B7540A" w:rsidRPr="00586097" w:rsidRDefault="00B7540A" w:rsidP="00C0628C">
      <w:pPr>
        <w:pStyle w:val="ListParagraph"/>
        <w:numPr>
          <w:ilvl w:val="0"/>
          <w:numId w:val="42"/>
        </w:numPr>
        <w:spacing w:before="60" w:after="40" w:line="276" w:lineRule="auto"/>
        <w:contextualSpacing w:val="0"/>
        <w:rPr>
          <w:rFonts w:eastAsia="Calibri"/>
          <w:b/>
        </w:rPr>
      </w:pPr>
      <w:r w:rsidRPr="00586097">
        <w:rPr>
          <w:rFonts w:eastAsia="Calibri"/>
          <w:b/>
        </w:rPr>
        <w:t xml:space="preserve">Արցախյան պատերազմի  տնտեսական հետևանքներ: </w:t>
      </w:r>
      <w:r w:rsidRPr="00586097">
        <w:rPr>
          <w:rFonts w:eastAsia="Calibri"/>
        </w:rPr>
        <w:t xml:space="preserve">Արցախյան պատերազմի  հետևանքով տնտեսություն փոխանցվող բացասական հետևանքները գնահատվել են հաշվի առնելով հետևյալ հանգամանքները՝ </w:t>
      </w:r>
    </w:p>
    <w:p w14:paraId="1A152DA7" w14:textId="77777777" w:rsidR="00B7540A" w:rsidRPr="00586097"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rPr>
      </w:pPr>
      <w:r w:rsidRPr="00586097">
        <w:rPr>
          <w:rFonts w:eastAsia="Calibri"/>
        </w:rPr>
        <w:t xml:space="preserve">ՀՀ գյուղատնտեսական նշանակություն ունեցող հողատարածքների Ադրբեջանի վերահսկողության տակ անցնելու և Ադրբեջանի հետ սահմանամերձ դառնալու արդյունքում ՀՀ  Սյունիքի, Գեղարքունիքի և Վայոց ձորի  մարզերում գյուղատնտեսության ոլորտի, ինչպես նաև Սոթքի հանքավայրի շահագործման մասշտաբների կրճատման հետևանքով արտահանման,  զբաղվածության, հարկային եկամուտների նվազման հետևանքով կրած և առաջացող վնասները: </w:t>
      </w:r>
    </w:p>
    <w:p w14:paraId="39851877" w14:textId="77777777" w:rsidR="00B7540A" w:rsidRPr="00586097"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rPr>
      </w:pPr>
      <w:r w:rsidRPr="00586097">
        <w:rPr>
          <w:rFonts w:eastAsia="Calibri"/>
        </w:rPr>
        <w:t>Արցախյան պատերազմի հետևանքով առաջացած նոր իրողությունների պայմաններում Արցախում ներքին պահանջարկի նվազման արդյունքում ՀՀ-ից դեպի Արցախ արտահանման ծավալների կրճատումը:</w:t>
      </w:r>
    </w:p>
    <w:p w14:paraId="42085AEE" w14:textId="77777777" w:rsidR="00B7540A" w:rsidRPr="00586097" w:rsidRDefault="00B7540A" w:rsidP="00855202">
      <w:pPr>
        <w:pStyle w:val="ListBullet"/>
        <w:numPr>
          <w:ilvl w:val="0"/>
          <w:numId w:val="49"/>
        </w:numPr>
        <w:tabs>
          <w:tab w:val="clear" w:pos="360"/>
        </w:tabs>
        <w:overflowPunct/>
        <w:autoSpaceDE/>
        <w:autoSpaceDN/>
        <w:adjustRightInd/>
        <w:spacing w:before="0" w:after="120" w:line="276" w:lineRule="auto"/>
        <w:ind w:left="1008"/>
        <w:contextualSpacing/>
        <w:textAlignment w:val="auto"/>
        <w:rPr>
          <w:rFonts w:eastAsia="Calibri"/>
        </w:rPr>
      </w:pPr>
      <w:r w:rsidRPr="00586097">
        <w:rPr>
          <w:rFonts w:eastAsia="Calibri"/>
        </w:rPr>
        <w:t>Արցախյան պատերազմի արդյունքում զոհված, վիրավորված, գերեվարված և անհայտ կորած անձանց աշխատուժից դուրս մնալու  և մասնավոր պահանջարկի նվազման հետևանքները:</w:t>
      </w:r>
    </w:p>
    <w:p w14:paraId="55954429" w14:textId="77777777" w:rsidR="00B7540A" w:rsidRPr="00586097" w:rsidRDefault="00B7540A" w:rsidP="00855202">
      <w:pPr>
        <w:pStyle w:val="ListParagraph"/>
        <w:numPr>
          <w:ilvl w:val="0"/>
          <w:numId w:val="42"/>
        </w:numPr>
        <w:spacing w:before="60" w:after="120" w:line="276" w:lineRule="auto"/>
        <w:contextualSpacing w:val="0"/>
        <w:rPr>
          <w:rFonts w:eastAsia="Calibri"/>
          <w:b/>
          <w:bCs/>
        </w:rPr>
      </w:pPr>
      <w:r w:rsidRPr="00586097">
        <w:rPr>
          <w:rFonts w:eastAsia="Calibri"/>
          <w:b/>
          <w:bCs/>
        </w:rPr>
        <w:t xml:space="preserve">Տնտեսության ներուժ և պաբերաշրջաններ: </w:t>
      </w:r>
      <w:r w:rsidRPr="00586097">
        <w:rPr>
          <w:rFonts w:eastAsia="Calibri"/>
        </w:rPr>
        <w:t>2020թ.  համավարակի և Արցախյան պատերազմի հետևանքով առաջացած  տնտեսական անկման պայմաններում ՀՀ տնտեսությունը կրել է ոչ միայն ցիկլային բացասական զարգացումներ, այլ նաև նվազել է տնտեսության ներուժը և ներուժային աճը, պայմանավորված ինչպես արտադրողականության անկմամբ, այնպես էլ արտադրական գործոնների՝ աշխատուժի և կապիտալի, ներուժային մակարդակների նվազմամբ: Միջնաժամկետում՝ պետական կապիտալ ծախսերի մակարդակի թիրախային բարձրացման և արտահանման առաջանցիկ աճի պայմաններում ներուժային աճն աստիճանաբար կվերականգնվի, սակայն այն դեռևս կգտնվի նախաճգնաժամային ներուժային աճից ավելի ցածր մակարդակում: Իսկ ներքին պահանջարկի վերականգնման արդյունքում տնտեսությունում կփակվի ՀՆԱ բացասական ճեղքը:</w:t>
      </w:r>
    </w:p>
    <w:p w14:paraId="5A64C1B8" w14:textId="77777777" w:rsidR="00B7540A" w:rsidRPr="00586097" w:rsidRDefault="00B7540A" w:rsidP="00C0628C">
      <w:pPr>
        <w:pStyle w:val="ListParagraph"/>
        <w:numPr>
          <w:ilvl w:val="0"/>
          <w:numId w:val="42"/>
        </w:numPr>
        <w:spacing w:before="60" w:after="40" w:line="276" w:lineRule="auto"/>
        <w:rPr>
          <w:rFonts w:eastAsia="Calibri"/>
          <w:b/>
        </w:rPr>
      </w:pPr>
      <w:r w:rsidRPr="00586097">
        <w:rPr>
          <w:rFonts w:eastAsia="Calibri"/>
          <w:b/>
        </w:rPr>
        <w:t>Հարկաբյուջետային քաղաքականություն.</w:t>
      </w:r>
    </w:p>
    <w:p w14:paraId="66688E1A" w14:textId="77777777" w:rsidR="00B7540A" w:rsidRPr="00586097"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rPr>
      </w:pPr>
      <w:r w:rsidRPr="00586097">
        <w:rPr>
          <w:rFonts w:eastAsia="Calibri"/>
        </w:rPr>
        <w:t>Նպատակ ունենալով ապահովել հարկաբյուջետային կայունությունը և միաժամանակ աջակցել տնտեսական վերականգնմանը` հարկաբյուջետային քաղաքականությունը 2021թ. կլինի զսպող, այնուհետև, միջնաժամկետում վերադառնալով «ոսկե կանոնների» ամբողջական պահպանմանը՝ հարկաբյուջետային քաղաքականության ազդեցությունն ամբողջական պահանջարկի վրա կլինի չեզոք:</w:t>
      </w:r>
    </w:p>
    <w:p w14:paraId="5420689D" w14:textId="77777777" w:rsidR="00B7540A" w:rsidRPr="00586097"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rPr>
      </w:pPr>
      <w:r w:rsidRPr="00586097">
        <w:rPr>
          <w:rFonts w:eastAsia="Calibri"/>
        </w:rPr>
        <w:t>2021թ. կառավարության հակաճգնաժամային միջոցառումները կշարունակվեն, իսկ միջնաժամկետում, հարկաբյուջետային կանոնների տրամաբանության համապատասխան կիրականացվի հարկաբյուջետային կոնսոլիդացիա, որի ներքո նախատեսվում է աստիճանաբար նվազեցնել պետական բյուջեի պակասուրդը՝ հասցնելով այն ՀՆԱ-ի 1.3%-ին 2024թ</w:t>
      </w:r>
      <w:r w:rsidRPr="00586097">
        <w:rPr>
          <w:rFonts w:ascii="Cambria Math" w:eastAsia="Calibri" w:hAnsi="Cambria Math" w:cs="Cambria Math"/>
        </w:rPr>
        <w:t>․</w:t>
      </w:r>
      <w:r w:rsidRPr="00586097">
        <w:rPr>
          <w:rFonts w:eastAsia="Calibri"/>
        </w:rPr>
        <w:t>-ին: Ընդ որում, հարկաբյուջետային կոնսոլիդացիան նախատեսվում է իրականացնել ընթացիկ ծախսերի աճի սահմանափակման և հարկային եկամուտների աճի միջոցով, իսկ տնտեսական ներուժի աճին նպաստող կապիտալ ծախսերի գծով նպատակադրվելու է դրանց կշռի ավելացում, ինչը թույլ կտա ապահովել իրական ՀՆԱ-ի աճի արագացում և կնպաստի կառավարության պարտքի բեռի նվազմանը մինչև «ապահով մակարդակ» (մանրամասները ներկայացված է «ՀՀ հարկաբյուջետային քաղաքականությունը 2022-2024 թվականներին» բաժնում):</w:t>
      </w:r>
    </w:p>
    <w:p w14:paraId="7A5A41D2" w14:textId="77777777" w:rsidR="00B7540A" w:rsidRPr="00586097" w:rsidRDefault="00B7540A" w:rsidP="00C0628C">
      <w:pPr>
        <w:pStyle w:val="ListParagraph"/>
        <w:numPr>
          <w:ilvl w:val="0"/>
          <w:numId w:val="42"/>
        </w:numPr>
        <w:spacing w:before="60" w:after="40" w:line="276" w:lineRule="auto"/>
        <w:rPr>
          <w:rFonts w:eastAsia="Calibri"/>
          <w:b/>
        </w:rPr>
      </w:pPr>
      <w:r w:rsidRPr="00586097">
        <w:rPr>
          <w:rFonts w:eastAsia="Calibri"/>
          <w:b/>
          <w:lang w:val="ru-RU"/>
        </w:rPr>
        <w:t>Գնաճ և դ</w:t>
      </w:r>
      <w:r w:rsidRPr="00586097">
        <w:rPr>
          <w:rFonts w:eastAsia="Calibri"/>
          <w:b/>
        </w:rPr>
        <w:t>րամավարկային քաղաքականություն</w:t>
      </w:r>
      <w:r w:rsidRPr="00586097">
        <w:rPr>
          <w:rFonts w:eastAsia="Calibri"/>
          <w:b/>
          <w:lang w:val="ru-RU"/>
        </w:rPr>
        <w:t>.</w:t>
      </w:r>
      <w:r w:rsidRPr="00586097">
        <w:rPr>
          <w:b/>
        </w:rPr>
        <w:t xml:space="preserve"> </w:t>
      </w:r>
    </w:p>
    <w:p w14:paraId="739C1FFA" w14:textId="77777777" w:rsidR="00B7540A" w:rsidRPr="00586097"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rPr>
      </w:pPr>
      <w:r w:rsidRPr="00586097">
        <w:rPr>
          <w:rFonts w:eastAsia="Calibri"/>
        </w:rPr>
        <w:tab/>
        <w:t>2020թ</w:t>
      </w:r>
      <w:r w:rsidRPr="00586097">
        <w:rPr>
          <w:rFonts w:ascii="Cambria Math" w:eastAsia="Calibri" w:hAnsi="Cambria Math" w:cs="Cambria Math"/>
        </w:rPr>
        <w:t>․</w:t>
      </w:r>
      <w:r w:rsidRPr="00586097">
        <w:rPr>
          <w:rFonts w:eastAsia="Calibri"/>
        </w:rPr>
        <w:t xml:space="preserve"> դեկտմեբերից արձանագրված գնաճի արագացումը կշարունավի  նաև 2021թ-ին պայմանավորված՝ միջազգային պարենային ապրանքների գների աճով, փոխարժեքի արժեզրկմամբ, Արցախյան պատերազմի բացասական հետևանքներով, մաքսատուրքերի և ակցիզային հարկերի բարձրացմամբ, ինչպես նաև Էլեկտրաէներգիայի սակագների փոփոխության հետևանքներով:</w:t>
      </w:r>
    </w:p>
    <w:p w14:paraId="4783C26A" w14:textId="77777777" w:rsidR="00B7540A" w:rsidRPr="00586097"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rPr>
      </w:pPr>
      <w:r w:rsidRPr="00586097">
        <w:rPr>
          <w:rFonts w:eastAsia="Calibri"/>
        </w:rPr>
        <w:t>Դրամավարկային քաղաքականությունը 2021թ. միտված է զսպելու ամբողջական պահանջարկը։ Միջնաժամկետում ցանկացած ռիսկերի դրսևորման պարագայում ԿԲ-ն պատրաստ է համապատասխանորեն արձագանքել՝ նպատակ ունենալով ապահովել գների կայունացումը թիրախի շուրջ:</w:t>
      </w:r>
    </w:p>
    <w:p w14:paraId="24C63B72" w14:textId="77777777" w:rsidR="00B7540A" w:rsidRPr="00586097" w:rsidRDefault="00B7540A" w:rsidP="00B7540A">
      <w:pPr>
        <w:pStyle w:val="ListBullet"/>
        <w:spacing w:line="276" w:lineRule="auto"/>
        <w:ind w:left="1004" w:firstLine="0"/>
        <w:rPr>
          <w:rFonts w:eastAsia="Calibri"/>
        </w:rPr>
      </w:pPr>
    </w:p>
    <w:p w14:paraId="63E33D35" w14:textId="77777777" w:rsidR="00B7540A" w:rsidRPr="007309DA" w:rsidRDefault="007309DA" w:rsidP="007309DA">
      <w:pPr>
        <w:pStyle w:val="Heading3"/>
        <w:shd w:val="clear" w:color="auto" w:fill="FFFFFF" w:themeFill="background1"/>
        <w:rPr>
          <w:rFonts w:cs="Sylfaen"/>
          <w:bCs/>
          <w:caps w:val="0"/>
          <w:color w:val="1F497D" w:themeColor="text2"/>
          <w:sz w:val="28"/>
          <w:szCs w:val="28"/>
        </w:rPr>
      </w:pPr>
      <w:bookmarkStart w:id="462" w:name="_Toc77249730"/>
      <w:bookmarkStart w:id="463" w:name="_Toc77451197"/>
      <w:bookmarkStart w:id="464" w:name="_Toc78536692"/>
      <w:r>
        <w:rPr>
          <w:rFonts w:cs="Sylfaen"/>
          <w:bCs/>
          <w:caps w:val="0"/>
          <w:color w:val="1F497D" w:themeColor="text2"/>
          <w:sz w:val="28"/>
          <w:szCs w:val="28"/>
          <w:lang w:val="en-US"/>
        </w:rPr>
        <w:t xml:space="preserve">1.5. </w:t>
      </w:r>
      <w:r w:rsidR="00B7540A" w:rsidRPr="007309DA">
        <w:rPr>
          <w:rFonts w:cs="Sylfaen"/>
          <w:bCs/>
          <w:caps w:val="0"/>
          <w:color w:val="1F497D" w:themeColor="text2"/>
          <w:sz w:val="28"/>
          <w:szCs w:val="28"/>
        </w:rPr>
        <w:t>ՄԱԿՐՈՏՆՏԵՍԱԿԱՆ ԿԱՆԽԱՏԵՍՈՒՄՆԵՐԻ ՌԻՍԿԵՐԸ</w:t>
      </w:r>
      <w:bookmarkEnd w:id="462"/>
      <w:bookmarkEnd w:id="463"/>
      <w:bookmarkEnd w:id="464"/>
    </w:p>
    <w:p w14:paraId="1FB00E52" w14:textId="77777777" w:rsidR="00B7540A" w:rsidRPr="00B7540A" w:rsidRDefault="00B7540A" w:rsidP="00B7540A">
      <w:pPr>
        <w:spacing w:line="276" w:lineRule="auto"/>
        <w:rPr>
          <w:rFonts w:eastAsia="Calibri"/>
          <w:lang w:val="hy-AM"/>
        </w:rPr>
      </w:pPr>
      <w:r w:rsidRPr="00586097">
        <w:rPr>
          <w:rFonts w:eastAsia="Calibri"/>
          <w:lang w:val="es-ES"/>
        </w:rPr>
        <w:t>Կանխատեսման առկա ռիսկերը պայմանավորվում են ինչպես արտաքին, այնպես էլ ներքին տնտեսական գործոններով, որոնք կարող են հանգեցնել ինչպես տնտեսական աճի տեմպերի ավելացմանը, այնպես էլ նվազմանը՝ ներկայացված կենտրոնական</w:t>
      </w:r>
      <w:r w:rsidRPr="00B7540A">
        <w:rPr>
          <w:rFonts w:eastAsia="Calibri"/>
          <w:lang w:val="hy-AM"/>
        </w:rPr>
        <w:t xml:space="preserve"> </w:t>
      </w:r>
      <w:r w:rsidRPr="00586097">
        <w:rPr>
          <w:rFonts w:eastAsia="Calibri"/>
          <w:lang w:val="es-ES"/>
        </w:rPr>
        <w:t>կանխատեսումների համեմատ:</w:t>
      </w:r>
      <w:r w:rsidRPr="00B7540A">
        <w:rPr>
          <w:rFonts w:eastAsia="Calibri"/>
          <w:lang w:val="hy-AM"/>
        </w:rPr>
        <w:t xml:space="preserve"> Ռիսկերի տեղի ունենալու դեպքում շեղումներ կարձանագրվեն սույն փաստաթղթի </w:t>
      </w:r>
      <w:r w:rsidRPr="00586097">
        <w:rPr>
          <w:rFonts w:eastAsia="Calibri"/>
          <w:lang w:val="es-ES"/>
        </w:rPr>
        <w:t>1.4</w:t>
      </w:r>
      <w:r w:rsidRPr="00B7540A">
        <w:rPr>
          <w:rFonts w:eastAsia="Calibri"/>
          <w:lang w:val="hy-AM"/>
        </w:rPr>
        <w:t xml:space="preserve"> բաժնում ներկայացված ենթադրություններից՝ հանգեցնելով մակրոտնտեսական կանխատեսումներից շեղումների և դրա հետևանքով էլ հարկաբյուջետային շրջանակի ցուցանիշների շեղման այս ՄԺԾԾ շրջանակից։</w:t>
      </w:r>
    </w:p>
    <w:p w14:paraId="40222120" w14:textId="77777777" w:rsidR="00B7540A" w:rsidRPr="00B7540A" w:rsidRDefault="00B7540A" w:rsidP="00B7540A">
      <w:pPr>
        <w:spacing w:line="276" w:lineRule="auto"/>
        <w:rPr>
          <w:rFonts w:eastAsia="Calibri" w:cs="Sylfaen"/>
          <w:lang w:val="hy-AM"/>
        </w:rPr>
      </w:pPr>
      <w:r w:rsidRPr="00B7540A">
        <w:rPr>
          <w:rFonts w:eastAsia="Calibri"/>
          <w:lang w:val="hy-AM"/>
        </w:rPr>
        <w:t>Պետք է նշել, որ համաշխարհային տնտեսության զարգացման ընթացքը մեծապես կախված է COVID-19 համավարակի հաղթահարմանն ուղղված առողջապահական միջոցառումներից և աջակցության փաթեթներից։ Այս պայմաններում, ինչպես աշխարհի և ՀՀ գործընկերների, այնպես էլ ՀՀ տնտեսական աճի կանխատեսումներում ռիսկերը գնահատվում են հավասարակշռված։</w:t>
      </w:r>
    </w:p>
    <w:p w14:paraId="785DB172" w14:textId="77777777" w:rsidR="007309DA" w:rsidRDefault="007309DA" w:rsidP="007309DA">
      <w:pPr>
        <w:spacing w:line="276" w:lineRule="auto"/>
        <w:rPr>
          <w:rFonts w:eastAsia="Calibri"/>
          <w:b/>
          <w:lang w:val="hy-AM"/>
        </w:rPr>
      </w:pPr>
      <w:bookmarkStart w:id="465" w:name="_Toc77249731"/>
      <w:bookmarkStart w:id="466" w:name="_Toc77451198"/>
    </w:p>
    <w:p w14:paraId="3D6D670A" w14:textId="77777777" w:rsidR="00B7540A" w:rsidRPr="007309DA" w:rsidRDefault="007309DA" w:rsidP="007309DA">
      <w:pPr>
        <w:spacing w:line="276" w:lineRule="auto"/>
        <w:rPr>
          <w:color w:val="1F497D" w:themeColor="text2"/>
          <w:lang w:val="hy-AM"/>
        </w:rPr>
      </w:pPr>
      <w:r w:rsidRPr="007309DA">
        <w:rPr>
          <w:rFonts w:eastAsia="Calibri"/>
          <w:b/>
          <w:color w:val="1F497D" w:themeColor="text2"/>
          <w:lang w:val="hy-AM"/>
        </w:rPr>
        <w:t>1.5.1. ՀՀ ՏՆՏԵՍԱԿԱՆ ԱՃԻ ԴԵՊԻ ՆԵՐՔԵՎ ՈՒՂՂՈՒԹՅԱՄԲ ՌԻՍԿԵՐ</w:t>
      </w:r>
      <w:bookmarkEnd w:id="465"/>
      <w:bookmarkEnd w:id="466"/>
    </w:p>
    <w:p w14:paraId="2916B197" w14:textId="77777777" w:rsidR="00B7540A" w:rsidRPr="00B7540A" w:rsidRDefault="00B7540A" w:rsidP="00B7540A">
      <w:pPr>
        <w:spacing w:line="276" w:lineRule="auto"/>
        <w:rPr>
          <w:rFonts w:eastAsia="Calibri"/>
          <w:lang w:val="hy-AM"/>
        </w:rPr>
      </w:pPr>
      <w:r w:rsidRPr="00B7540A">
        <w:rPr>
          <w:rFonts w:eastAsia="Calibri"/>
          <w:b/>
          <w:lang w:val="hy-AM"/>
        </w:rPr>
        <w:t>Արտաքին միջավայրից</w:t>
      </w:r>
      <w:r w:rsidRPr="00B7540A">
        <w:rPr>
          <w:rFonts w:eastAsia="Calibri"/>
          <w:lang w:val="hy-AM"/>
        </w:rPr>
        <w:t xml:space="preserve"> բխող դեպի ներքև ռիսկերը պայմանվորված են՝ </w:t>
      </w:r>
    </w:p>
    <w:p w14:paraId="66A7C838" w14:textId="77777777" w:rsidR="00B7540A" w:rsidRPr="00B7540A"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lang w:val="hy-AM"/>
        </w:rPr>
      </w:pPr>
      <w:r w:rsidRPr="00B7540A">
        <w:rPr>
          <w:rFonts w:eastAsia="Calibri"/>
          <w:lang w:val="hy-AM"/>
        </w:rPr>
        <w:t xml:space="preserve">Համաշխարհային տնտեսության, մասնավորապես ՀՀ գործընկեր երկրների տնտեսությունների սպասվածից ավելի դանդաղ վերականգմամբ,  </w:t>
      </w:r>
    </w:p>
    <w:p w14:paraId="4DB8E86E" w14:textId="77777777" w:rsidR="00B7540A" w:rsidRPr="00B7540A"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lang w:val="hy-AM"/>
        </w:rPr>
      </w:pPr>
      <w:r w:rsidRPr="00B7540A">
        <w:rPr>
          <w:rFonts w:eastAsia="Calibri"/>
          <w:lang w:val="hy-AM"/>
        </w:rPr>
        <w:t>Համավարակի դեմ պատվաստանյութերի տարածման սպասվածից ավելի դանդաղ  ընթացքով, պատվաստումներ կատարելու նկատմամբ բնակչության թույլ պատրաստակամությամբ, երկրների սահմանների բացման և փոխադրումների սահմանափակումների վերացման սպասվածից ավելի դանդաղ ընթացքով, ինչպես նաև համավարակի դեմ պատվաստումների սպասվածից վատ արդյունքներով:</w:t>
      </w:r>
    </w:p>
    <w:p w14:paraId="49B9A6DE" w14:textId="77777777" w:rsidR="00B7540A" w:rsidRPr="00B7540A" w:rsidRDefault="00B7540A" w:rsidP="00B7540A">
      <w:pPr>
        <w:spacing w:line="276" w:lineRule="auto"/>
        <w:rPr>
          <w:rFonts w:eastAsia="Calibri"/>
          <w:lang w:val="hy-AM"/>
        </w:rPr>
      </w:pPr>
      <w:r w:rsidRPr="00B7540A">
        <w:rPr>
          <w:rFonts w:eastAsia="Calibri"/>
          <w:b/>
          <w:lang w:val="hy-AM"/>
        </w:rPr>
        <w:t>Ներքին միջավայրից</w:t>
      </w:r>
      <w:r w:rsidRPr="00B7540A">
        <w:rPr>
          <w:rFonts w:eastAsia="Calibri"/>
          <w:lang w:val="hy-AM"/>
        </w:rPr>
        <w:t xml:space="preserve"> բխող դեպի ներքև ռիսկերը պայմանավորված են՝</w:t>
      </w:r>
    </w:p>
    <w:p w14:paraId="7243637E" w14:textId="77777777" w:rsidR="00B7540A" w:rsidRPr="00B7540A"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bCs/>
          <w:lang w:val="hy-AM"/>
        </w:rPr>
      </w:pPr>
      <w:r w:rsidRPr="00B7540A">
        <w:rPr>
          <w:rFonts w:eastAsia="Calibri"/>
          <w:lang w:val="hy-AM"/>
        </w:rPr>
        <w:t>ՀՀ-ում</w:t>
      </w:r>
      <w:r w:rsidRPr="00B7540A">
        <w:rPr>
          <w:rFonts w:eastAsia="Calibri"/>
          <w:i/>
          <w:lang w:val="hy-AM"/>
        </w:rPr>
        <w:t xml:space="preserve"> </w:t>
      </w:r>
      <w:r w:rsidRPr="00B7540A">
        <w:rPr>
          <w:rFonts w:eastAsia="Calibri"/>
          <w:lang w:val="hy-AM"/>
        </w:rPr>
        <w:t xml:space="preserve">կորոնավիրուսի համավարակի տարածման անորոշություններով, ինչպես նաև </w:t>
      </w:r>
      <w:r w:rsidRPr="00B7540A">
        <w:rPr>
          <w:rFonts w:eastAsia="Calibri"/>
          <w:bCs/>
          <w:lang w:val="hy-AM"/>
        </w:rPr>
        <w:t>նոր</w:t>
      </w:r>
      <w:r w:rsidRPr="00B7540A">
        <w:rPr>
          <w:rFonts w:ascii="Calibri" w:eastAsia="Calibri" w:hAnsi="Calibri" w:cs="Calibri"/>
          <w:bCs/>
          <w:lang w:val="hy-AM"/>
        </w:rPr>
        <w:t> </w:t>
      </w:r>
      <w:r w:rsidRPr="00B7540A">
        <w:rPr>
          <w:rFonts w:eastAsia="Calibri"/>
          <w:bCs/>
          <w:lang w:val="hy-AM"/>
        </w:rPr>
        <w:t xml:space="preserve">շտամի տարածման հետևանքով հետագա տնտեսական կորուստներով, </w:t>
      </w:r>
    </w:p>
    <w:p w14:paraId="1E4CD89A" w14:textId="77777777" w:rsidR="00B7540A" w:rsidRPr="00B7540A"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lang w:val="hy-AM"/>
        </w:rPr>
      </w:pPr>
      <w:r w:rsidRPr="00B7540A">
        <w:rPr>
          <w:rFonts w:eastAsia="Calibri"/>
          <w:lang w:val="hy-AM"/>
        </w:rPr>
        <w:t xml:space="preserve">ՀՀ կառավարության աջակցության փաթեթների ազդեցության ավելի դանդաղ դրսևորմամբ, </w:t>
      </w:r>
    </w:p>
    <w:p w14:paraId="051E614B" w14:textId="77777777" w:rsidR="00B7540A"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lang w:val="hy-AM"/>
        </w:rPr>
      </w:pPr>
      <w:r w:rsidRPr="00B7540A">
        <w:rPr>
          <w:rFonts w:eastAsia="Calibri"/>
          <w:lang w:val="hy-AM"/>
        </w:rPr>
        <w:t>ՀՀ կառավարության կառուցվածքային բարեփոխումների և ներդրումների խթանման քաղաքականության ակնկալվող արդյունքների սպասվածից ավելի ուշ արտահայտմամբ, ինչպես նաև քաղաքական գործընթացներով պայմանավորված ռիսկեր:</w:t>
      </w:r>
    </w:p>
    <w:p w14:paraId="79872973" w14:textId="77777777" w:rsidR="007309DA" w:rsidRPr="00B7540A" w:rsidRDefault="007309DA" w:rsidP="007309DA">
      <w:pPr>
        <w:pStyle w:val="ListBullet"/>
        <w:tabs>
          <w:tab w:val="clear" w:pos="360"/>
        </w:tabs>
        <w:overflowPunct/>
        <w:autoSpaceDE/>
        <w:autoSpaceDN/>
        <w:adjustRightInd/>
        <w:spacing w:before="0" w:after="120" w:line="276" w:lineRule="auto"/>
        <w:ind w:left="1004" w:firstLine="0"/>
        <w:contextualSpacing/>
        <w:textAlignment w:val="auto"/>
        <w:rPr>
          <w:rFonts w:eastAsia="Calibri"/>
          <w:lang w:val="hy-AM"/>
        </w:rPr>
      </w:pPr>
    </w:p>
    <w:p w14:paraId="514E0B40" w14:textId="77777777" w:rsidR="00B7540A" w:rsidRPr="007309DA" w:rsidRDefault="007309DA" w:rsidP="007309DA">
      <w:pPr>
        <w:spacing w:line="276" w:lineRule="auto"/>
        <w:rPr>
          <w:rFonts w:eastAsia="Calibri"/>
          <w:b/>
          <w:color w:val="1F497D" w:themeColor="text2"/>
          <w:lang w:val="hy-AM"/>
        </w:rPr>
      </w:pPr>
      <w:bookmarkStart w:id="467" w:name="_Toc77249732"/>
      <w:bookmarkStart w:id="468" w:name="_Toc77451199"/>
      <w:r w:rsidRPr="007309DA">
        <w:rPr>
          <w:rFonts w:eastAsia="Calibri"/>
          <w:b/>
          <w:color w:val="1F497D" w:themeColor="text2"/>
          <w:lang w:val="hy-AM"/>
        </w:rPr>
        <w:t>1.5.2. ՏՆՏԵՍԱԿԱՆ ԱՃԻ ԴԵՊԻ ՎԵՐԵՎ ՈՒՂՂՈՒԹՅԱՄԲ ՌԻՍԿԵՐ</w:t>
      </w:r>
      <w:bookmarkEnd w:id="467"/>
      <w:bookmarkEnd w:id="468"/>
      <w:r w:rsidRPr="007309DA">
        <w:rPr>
          <w:rFonts w:eastAsia="Calibri"/>
          <w:b/>
          <w:color w:val="1F497D" w:themeColor="text2"/>
          <w:lang w:val="hy-AM"/>
        </w:rPr>
        <w:t xml:space="preserve"> </w:t>
      </w:r>
    </w:p>
    <w:p w14:paraId="3A127470" w14:textId="77777777" w:rsidR="00B7540A" w:rsidRPr="00B7540A" w:rsidRDefault="00B7540A" w:rsidP="00B7540A">
      <w:pPr>
        <w:spacing w:line="276" w:lineRule="auto"/>
        <w:rPr>
          <w:rFonts w:eastAsia="Calibri"/>
          <w:lang w:val="hy-AM"/>
        </w:rPr>
      </w:pPr>
      <w:r w:rsidRPr="00B7540A">
        <w:rPr>
          <w:rFonts w:eastAsia="Calibri"/>
          <w:lang w:val="hy-AM"/>
        </w:rPr>
        <w:t xml:space="preserve">     Արտաքին գործոններից բխող դեպի վերև ռիսկերը պայմանավորված են՝ </w:t>
      </w:r>
    </w:p>
    <w:p w14:paraId="7109AC86" w14:textId="77777777" w:rsidR="00B7540A" w:rsidRPr="00B7540A"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lang w:val="hy-AM"/>
        </w:rPr>
      </w:pPr>
      <w:r w:rsidRPr="00B7540A">
        <w:rPr>
          <w:rFonts w:eastAsia="Calibri"/>
          <w:lang w:val="hy-AM"/>
        </w:rPr>
        <w:t xml:space="preserve"> ՀՀ գործընկեր երկրների, մասնավորապես՝ Ռուսաստանի, Եվրոգոտու, ԱՄՆ-ի և Չինաստանի արտաքին պահանջարկի վերականգման, ինչպես նաև հանքահումքային ապրանքների, մասնավորապես՝ պղնձի միջազգային գների սպասվածից ավելի դրական զարգացումներով: Վերոնշյալ ռիսկերը,  արդեն մայիսի դրությամբ հասանելի տեղեկատվության համաձայն, որոշակիորեն առարկայացել են,</w:t>
      </w:r>
    </w:p>
    <w:p w14:paraId="1B2C8798" w14:textId="77777777" w:rsidR="00B7540A" w:rsidRPr="00B7540A"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lang w:val="hy-AM"/>
        </w:rPr>
      </w:pPr>
      <w:r w:rsidRPr="00B7540A">
        <w:rPr>
          <w:rFonts w:eastAsia="Calibri"/>
          <w:lang w:val="hy-AM"/>
        </w:rPr>
        <w:t>Աշխարհի մասշտաբով, պատվաստանյութերի առավել ընդգրկուն և մասսայական կիրառման արդյունքում երկրների միջև սահմանափակումների նախատեսվածից արագ վերացման պայմաններում համաշխարհային տուրիզմի սպասվածից ավելի շուտ վերականգմամբ,</w:t>
      </w:r>
    </w:p>
    <w:p w14:paraId="165A8FE3" w14:textId="77777777" w:rsidR="00B7540A" w:rsidRPr="00B7540A"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lang w:val="hy-AM"/>
        </w:rPr>
      </w:pPr>
      <w:r w:rsidRPr="00B7540A">
        <w:rPr>
          <w:rFonts w:eastAsia="Calibri"/>
          <w:lang w:val="hy-AM"/>
        </w:rPr>
        <w:t>ԱՄՆ-ից դեպի Հայաստան դրամական փոխանցումների բարձր մակարդակի պահպանմամբ,</w:t>
      </w:r>
    </w:p>
    <w:p w14:paraId="2B4EBDC0" w14:textId="77777777" w:rsidR="00B7540A" w:rsidRPr="00B7540A"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lang w:val="hy-AM"/>
        </w:rPr>
      </w:pPr>
      <w:r w:rsidRPr="00B7540A">
        <w:rPr>
          <w:rFonts w:eastAsia="Calibri"/>
          <w:lang w:val="hy-AM"/>
        </w:rPr>
        <w:t>ԵՄ աջակցության շրջանակներում 4 տարվա ընթացքում 2.6 մլրդ եվրո ներդրման առարկայացմամբ:</w:t>
      </w:r>
    </w:p>
    <w:p w14:paraId="06D230C4" w14:textId="77777777" w:rsidR="00B7540A" w:rsidRPr="00B7540A" w:rsidRDefault="00B7540A" w:rsidP="00B7540A">
      <w:pPr>
        <w:spacing w:line="276" w:lineRule="auto"/>
        <w:rPr>
          <w:rFonts w:eastAsia="Calibri"/>
          <w:lang w:val="hy-AM"/>
        </w:rPr>
      </w:pPr>
      <w:r w:rsidRPr="00B7540A">
        <w:rPr>
          <w:rFonts w:eastAsia="Calibri"/>
          <w:lang w:val="hy-AM"/>
        </w:rPr>
        <w:t xml:space="preserve">Ներքին միջավայրից բխող դեպի վերև ռիսկերը պայմանավորված են` </w:t>
      </w:r>
    </w:p>
    <w:p w14:paraId="48A583A7" w14:textId="77777777" w:rsidR="00B7540A" w:rsidRPr="00B7540A"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lang w:val="hy-AM"/>
        </w:rPr>
      </w:pPr>
      <w:r w:rsidRPr="00B7540A">
        <w:rPr>
          <w:rFonts w:eastAsia="Calibri"/>
          <w:lang w:val="hy-AM"/>
        </w:rPr>
        <w:t>ՀՀ կառավարության Տնտեսական արձագանքման ծրագրով</w:t>
      </w:r>
      <w:r w:rsidRPr="00586097">
        <w:rPr>
          <w:rStyle w:val="FootnoteReference"/>
          <w:rFonts w:eastAsia="Calibri" w:cs="Sylfaen"/>
          <w:bCs/>
        </w:rPr>
        <w:footnoteReference w:id="18"/>
      </w:r>
      <w:r w:rsidRPr="00B7540A">
        <w:rPr>
          <w:rFonts w:eastAsia="Calibri"/>
          <w:lang w:val="hy-AM"/>
        </w:rPr>
        <w:t xml:space="preserve"> նախատեսված խոշոր մասնավոր ներդրումային ծրագրերի իրականացմամբ,</w:t>
      </w:r>
    </w:p>
    <w:p w14:paraId="10B87D34" w14:textId="77777777" w:rsidR="00B7540A" w:rsidRPr="00B7540A"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lang w:val="hy-AM"/>
        </w:rPr>
      </w:pPr>
      <w:r w:rsidRPr="00B7540A">
        <w:rPr>
          <w:rFonts w:eastAsia="Calibri"/>
          <w:lang w:val="hy-AM"/>
        </w:rPr>
        <w:t>Մասնավոր ներդրումների խթանմանն ուղղված ծրագրի (ANIF) իրականացման՝ տնտեսական ակտիվության վրա հնարավոր լրացուցիչ դրական ազդեցությամբ,</w:t>
      </w:r>
    </w:p>
    <w:p w14:paraId="10A7FE13" w14:textId="77777777" w:rsidR="00B7540A" w:rsidRPr="00B7540A" w:rsidRDefault="00B7540A" w:rsidP="00C0628C">
      <w:pPr>
        <w:pStyle w:val="ListBullet"/>
        <w:numPr>
          <w:ilvl w:val="0"/>
          <w:numId w:val="49"/>
        </w:numPr>
        <w:tabs>
          <w:tab w:val="clear" w:pos="360"/>
        </w:tabs>
        <w:overflowPunct/>
        <w:autoSpaceDE/>
        <w:autoSpaceDN/>
        <w:adjustRightInd/>
        <w:spacing w:before="0" w:after="120" w:line="276" w:lineRule="auto"/>
        <w:contextualSpacing/>
        <w:textAlignment w:val="auto"/>
        <w:rPr>
          <w:rFonts w:eastAsia="Calibri"/>
          <w:lang w:val="hy-AM"/>
        </w:rPr>
      </w:pPr>
      <w:r w:rsidRPr="00B7540A">
        <w:rPr>
          <w:rFonts w:eastAsia="Calibri"/>
          <w:lang w:val="hy-AM"/>
        </w:rPr>
        <w:t>Ամուլսարի շահագործումից բխող տնտեսական ակտիվությամբ:</w:t>
      </w:r>
    </w:p>
    <w:p w14:paraId="17CACBA3" w14:textId="77777777" w:rsidR="00B7540A" w:rsidRPr="00B7540A" w:rsidRDefault="00B7540A" w:rsidP="00B7540A">
      <w:pPr>
        <w:spacing w:line="276" w:lineRule="auto"/>
        <w:rPr>
          <w:rFonts w:eastAsia="Calibri"/>
          <w:lang w:val="hy-AM"/>
        </w:rPr>
      </w:pPr>
    </w:p>
    <w:p w14:paraId="59F2F08C" w14:textId="77777777" w:rsidR="00B7540A" w:rsidRPr="00F36B2F" w:rsidRDefault="00B7540A" w:rsidP="00B7540A">
      <w:pPr>
        <w:pStyle w:val="afc"/>
        <w:spacing w:line="276" w:lineRule="auto"/>
        <w:rPr>
          <w:rFonts w:eastAsia="Calibri"/>
          <w:szCs w:val="20"/>
          <w:u w:val="single"/>
        </w:rPr>
      </w:pPr>
      <w:r w:rsidRPr="00F36B2F">
        <w:rPr>
          <w:rFonts w:eastAsia="Calibri"/>
          <w:szCs w:val="20"/>
        </w:rPr>
        <w:t>Գծապատկեր 1.40. Իրական ՀՆԱ-ի աճի կանխատեսման հավանականությունների բաշխումը (Fan Chart)</w:t>
      </w:r>
    </w:p>
    <w:p w14:paraId="58031DE0" w14:textId="77777777" w:rsidR="00B7540A" w:rsidRPr="00586097" w:rsidRDefault="00B7540A" w:rsidP="00B7540A">
      <w:pPr>
        <w:spacing w:line="276" w:lineRule="auto"/>
        <w:rPr>
          <w:rFonts w:eastAsia="Calibri" w:cs="Sylfaen"/>
        </w:rPr>
      </w:pPr>
      <w:r w:rsidRPr="00586097">
        <w:rPr>
          <w:noProof/>
        </w:rPr>
        <w:drawing>
          <wp:inline distT="0" distB="0" distL="0" distR="0" wp14:anchorId="61865685" wp14:editId="79B20BFF">
            <wp:extent cx="5851931" cy="2508885"/>
            <wp:effectExtent l="0" t="0" r="15875" b="5715"/>
            <wp:docPr id="26" name="Chart 26">
              <a:extLst xmlns:a="http://schemas.openxmlformats.org/drawingml/2006/main">
                <a:ext uri="{FF2B5EF4-FFF2-40B4-BE49-F238E27FC236}">
                  <a16:creationId xmlns:a16="http://schemas.microsoft.com/office/drawing/2014/main" id="{8447AD04-26DB-425E-89DD-86312CDD6D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A9DED40" w14:textId="77777777" w:rsidR="00B7540A" w:rsidRPr="00F36B2F" w:rsidRDefault="00B7540A" w:rsidP="00B7540A">
      <w:pPr>
        <w:pStyle w:val="afd"/>
        <w:rPr>
          <w:szCs w:val="22"/>
        </w:rPr>
      </w:pPr>
      <w:r w:rsidRPr="00F36B2F">
        <w:rPr>
          <w:szCs w:val="22"/>
        </w:rPr>
        <w:t>Աղբյուրը՝ ՀՀ ՖՆ գնահատումներ և կանխատեսումներ</w:t>
      </w:r>
    </w:p>
    <w:p w14:paraId="019A6F3B" w14:textId="77777777" w:rsidR="00B7540A" w:rsidRPr="00586097" w:rsidRDefault="00B7540A" w:rsidP="006F3B91">
      <w:pPr>
        <w:pStyle w:val="afa"/>
        <w:spacing w:before="120" w:line="276" w:lineRule="auto"/>
        <w:ind w:firstLine="562"/>
        <w:rPr>
          <w:u w:val="single"/>
        </w:rPr>
      </w:pPr>
      <w:r w:rsidRPr="00586097">
        <w:t>Աղյուսակ 1.4. Իրական ՀՆԱ-ի աճի կանխատեսման հավանականությունների բաշխումը</w:t>
      </w:r>
      <w:r w:rsidRPr="00586097">
        <w:rPr>
          <w:vertAlign w:val="superscript"/>
        </w:rPr>
        <w:footnoteReference w:id="19"/>
      </w:r>
    </w:p>
    <w:tbl>
      <w:tblPr>
        <w:tblW w:w="7420" w:type="dxa"/>
        <w:tblInd w:w="110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1519"/>
        <w:gridCol w:w="1530"/>
        <w:gridCol w:w="1440"/>
        <w:gridCol w:w="1530"/>
        <w:gridCol w:w="1440"/>
      </w:tblGrid>
      <w:tr w:rsidR="00B7540A" w:rsidRPr="00586097" w14:paraId="582B2D20" w14:textId="77777777" w:rsidTr="007309DA">
        <w:trPr>
          <w:trHeight w:val="570"/>
          <w:tblHeader/>
        </w:trPr>
        <w:tc>
          <w:tcPr>
            <w:tcW w:w="1480" w:type="dxa"/>
            <w:vMerge w:val="restart"/>
            <w:shd w:val="clear" w:color="auto" w:fill="DBE5F1" w:themeFill="accent1" w:themeFillTint="33"/>
            <w:vAlign w:val="center"/>
            <w:hideMark/>
          </w:tcPr>
          <w:p w14:paraId="1CA9D5D2" w14:textId="77777777" w:rsidR="00B7540A" w:rsidRPr="00586097" w:rsidRDefault="00B7540A" w:rsidP="00B7540A">
            <w:pPr>
              <w:spacing w:line="276" w:lineRule="auto"/>
              <w:ind w:firstLine="0"/>
            </w:pPr>
            <w:r w:rsidRPr="00586097">
              <w:t>Տնտեսական աճի միջակայքը, %</w:t>
            </w:r>
          </w:p>
        </w:tc>
        <w:tc>
          <w:tcPr>
            <w:tcW w:w="5940" w:type="dxa"/>
            <w:gridSpan w:val="4"/>
            <w:shd w:val="clear" w:color="auto" w:fill="DBE5F1" w:themeFill="accent1" w:themeFillTint="33"/>
            <w:vAlign w:val="center"/>
            <w:hideMark/>
          </w:tcPr>
          <w:p w14:paraId="3A7C9349" w14:textId="77777777" w:rsidR="00B7540A" w:rsidRPr="00586097" w:rsidRDefault="00B7540A" w:rsidP="00B7540A">
            <w:pPr>
              <w:spacing w:line="276" w:lineRule="auto"/>
              <w:ind w:firstLine="0"/>
            </w:pPr>
            <w:r w:rsidRPr="00586097">
              <w:t>Տնտեսական աճի` տվյալ միջակայքում ձևավորվելու հավանականությունը, %</w:t>
            </w:r>
          </w:p>
        </w:tc>
      </w:tr>
      <w:tr w:rsidR="00B7540A" w:rsidRPr="00586097" w14:paraId="4F1052F5" w14:textId="77777777" w:rsidTr="007309DA">
        <w:trPr>
          <w:trHeight w:val="713"/>
          <w:tblHeader/>
        </w:trPr>
        <w:tc>
          <w:tcPr>
            <w:tcW w:w="1480" w:type="dxa"/>
            <w:vMerge/>
            <w:shd w:val="clear" w:color="auto" w:fill="DBE5F1" w:themeFill="accent1" w:themeFillTint="33"/>
            <w:vAlign w:val="center"/>
            <w:hideMark/>
          </w:tcPr>
          <w:p w14:paraId="0B6EFF71" w14:textId="77777777" w:rsidR="00B7540A" w:rsidRPr="00586097" w:rsidRDefault="00B7540A" w:rsidP="00B7540A">
            <w:pPr>
              <w:spacing w:line="276" w:lineRule="auto"/>
            </w:pPr>
          </w:p>
        </w:tc>
        <w:tc>
          <w:tcPr>
            <w:tcW w:w="1530" w:type="dxa"/>
            <w:shd w:val="clear" w:color="auto" w:fill="DBE5F1" w:themeFill="accent1" w:themeFillTint="33"/>
            <w:vAlign w:val="center"/>
            <w:hideMark/>
          </w:tcPr>
          <w:p w14:paraId="3C4A4B39" w14:textId="77777777" w:rsidR="00B7540A" w:rsidRPr="00586097" w:rsidRDefault="00B7540A" w:rsidP="00B7540A">
            <w:pPr>
              <w:spacing w:line="276" w:lineRule="auto"/>
              <w:ind w:firstLine="0"/>
              <w:jc w:val="center"/>
            </w:pPr>
            <w:r w:rsidRPr="00586097">
              <w:t>2021</w:t>
            </w:r>
          </w:p>
        </w:tc>
        <w:tc>
          <w:tcPr>
            <w:tcW w:w="1440" w:type="dxa"/>
            <w:shd w:val="clear" w:color="auto" w:fill="DBE5F1" w:themeFill="accent1" w:themeFillTint="33"/>
            <w:noWrap/>
            <w:vAlign w:val="center"/>
            <w:hideMark/>
          </w:tcPr>
          <w:p w14:paraId="093493E4" w14:textId="77777777" w:rsidR="00B7540A" w:rsidRPr="00586097" w:rsidRDefault="00B7540A" w:rsidP="00B7540A">
            <w:pPr>
              <w:spacing w:line="276" w:lineRule="auto"/>
              <w:ind w:firstLine="0"/>
              <w:jc w:val="center"/>
            </w:pPr>
            <w:r w:rsidRPr="00586097">
              <w:t>2022</w:t>
            </w:r>
          </w:p>
        </w:tc>
        <w:tc>
          <w:tcPr>
            <w:tcW w:w="1530" w:type="dxa"/>
            <w:shd w:val="clear" w:color="auto" w:fill="DBE5F1" w:themeFill="accent1" w:themeFillTint="33"/>
            <w:vAlign w:val="center"/>
            <w:hideMark/>
          </w:tcPr>
          <w:p w14:paraId="411A3E90" w14:textId="77777777" w:rsidR="00B7540A" w:rsidRPr="00586097" w:rsidRDefault="00B7540A" w:rsidP="00B7540A">
            <w:pPr>
              <w:spacing w:line="276" w:lineRule="auto"/>
              <w:ind w:firstLine="0"/>
              <w:jc w:val="center"/>
            </w:pPr>
            <w:r w:rsidRPr="00586097">
              <w:t>2023</w:t>
            </w:r>
          </w:p>
        </w:tc>
        <w:tc>
          <w:tcPr>
            <w:tcW w:w="1440" w:type="dxa"/>
            <w:shd w:val="clear" w:color="auto" w:fill="DBE5F1" w:themeFill="accent1" w:themeFillTint="33"/>
            <w:noWrap/>
            <w:vAlign w:val="center"/>
            <w:hideMark/>
          </w:tcPr>
          <w:p w14:paraId="26DEDEA6" w14:textId="77777777" w:rsidR="00B7540A" w:rsidRPr="00586097" w:rsidRDefault="00B7540A" w:rsidP="00B7540A">
            <w:pPr>
              <w:spacing w:line="276" w:lineRule="auto"/>
              <w:ind w:firstLine="0"/>
              <w:jc w:val="center"/>
            </w:pPr>
            <w:r w:rsidRPr="00586097">
              <w:t>2024</w:t>
            </w:r>
          </w:p>
        </w:tc>
      </w:tr>
      <w:tr w:rsidR="00B7540A" w:rsidRPr="00586097" w14:paraId="037F60AE" w14:textId="77777777" w:rsidTr="00B7540A">
        <w:trPr>
          <w:trHeight w:val="170"/>
        </w:trPr>
        <w:tc>
          <w:tcPr>
            <w:tcW w:w="1480" w:type="dxa"/>
            <w:shd w:val="clear" w:color="auto" w:fill="auto"/>
            <w:noWrap/>
            <w:vAlign w:val="center"/>
            <w:hideMark/>
          </w:tcPr>
          <w:p w14:paraId="404B53E0" w14:textId="77777777" w:rsidR="00B7540A" w:rsidRPr="00586097" w:rsidRDefault="00B7540A" w:rsidP="00B7540A">
            <w:pPr>
              <w:spacing w:line="276" w:lineRule="auto"/>
              <w:ind w:firstLine="0"/>
              <w:jc w:val="center"/>
            </w:pPr>
            <w:r w:rsidRPr="00586097">
              <w:t>1.5 - 3.5</w:t>
            </w:r>
          </w:p>
        </w:tc>
        <w:tc>
          <w:tcPr>
            <w:tcW w:w="1530" w:type="dxa"/>
            <w:shd w:val="clear" w:color="auto" w:fill="auto"/>
            <w:noWrap/>
            <w:vAlign w:val="center"/>
            <w:hideMark/>
          </w:tcPr>
          <w:p w14:paraId="24DD8E2B" w14:textId="77777777" w:rsidR="00B7540A" w:rsidRPr="00586097" w:rsidRDefault="00B7540A" w:rsidP="00B7540A">
            <w:pPr>
              <w:spacing w:line="276" w:lineRule="auto"/>
              <w:ind w:firstLine="0"/>
              <w:jc w:val="center"/>
              <w:rPr>
                <w:rFonts w:cs="Calibri"/>
                <w:color w:val="000000"/>
              </w:rPr>
            </w:pPr>
            <w:r w:rsidRPr="00586097">
              <w:t>11.6</w:t>
            </w:r>
          </w:p>
        </w:tc>
        <w:tc>
          <w:tcPr>
            <w:tcW w:w="1440" w:type="dxa"/>
            <w:tcBorders>
              <w:bottom w:val="double" w:sz="4" w:space="0" w:color="4F81BD" w:themeColor="accent1"/>
            </w:tcBorders>
            <w:shd w:val="clear" w:color="auto" w:fill="auto"/>
            <w:noWrap/>
            <w:vAlign w:val="center"/>
            <w:hideMark/>
          </w:tcPr>
          <w:p w14:paraId="62A3E0A2" w14:textId="77777777" w:rsidR="00B7540A" w:rsidRPr="00586097" w:rsidRDefault="00B7540A" w:rsidP="00B7540A">
            <w:pPr>
              <w:spacing w:line="276" w:lineRule="auto"/>
              <w:ind w:firstLine="0"/>
              <w:jc w:val="center"/>
              <w:rPr>
                <w:rFonts w:cs="Calibri"/>
                <w:color w:val="000000"/>
              </w:rPr>
            </w:pPr>
            <w:r w:rsidRPr="00586097">
              <w:t>18.0</w:t>
            </w:r>
          </w:p>
        </w:tc>
        <w:tc>
          <w:tcPr>
            <w:tcW w:w="1530" w:type="dxa"/>
            <w:tcBorders>
              <w:bottom w:val="double" w:sz="4" w:space="0" w:color="4F81BD" w:themeColor="accent1"/>
            </w:tcBorders>
            <w:shd w:val="clear" w:color="auto" w:fill="auto"/>
            <w:noWrap/>
            <w:vAlign w:val="center"/>
            <w:hideMark/>
          </w:tcPr>
          <w:p w14:paraId="43ED9EF6" w14:textId="77777777" w:rsidR="00B7540A" w:rsidRPr="00586097" w:rsidRDefault="00B7540A" w:rsidP="00B7540A">
            <w:pPr>
              <w:spacing w:line="276" w:lineRule="auto"/>
              <w:ind w:firstLine="0"/>
              <w:jc w:val="center"/>
              <w:rPr>
                <w:rFonts w:cs="Calibri"/>
                <w:color w:val="000000"/>
              </w:rPr>
            </w:pPr>
            <w:r w:rsidRPr="00586097">
              <w:t>25.4</w:t>
            </w:r>
          </w:p>
        </w:tc>
        <w:tc>
          <w:tcPr>
            <w:tcW w:w="1440" w:type="dxa"/>
            <w:tcBorders>
              <w:bottom w:val="double" w:sz="4" w:space="0" w:color="4F81BD" w:themeColor="accent1"/>
            </w:tcBorders>
            <w:shd w:val="clear" w:color="auto" w:fill="auto"/>
            <w:noWrap/>
            <w:vAlign w:val="center"/>
            <w:hideMark/>
          </w:tcPr>
          <w:p w14:paraId="0DF823BA" w14:textId="77777777" w:rsidR="00B7540A" w:rsidRPr="00586097" w:rsidRDefault="00B7540A" w:rsidP="00B7540A">
            <w:pPr>
              <w:spacing w:line="276" w:lineRule="auto"/>
              <w:ind w:firstLine="0"/>
              <w:jc w:val="center"/>
              <w:rPr>
                <w:rFonts w:cs="Calibri"/>
                <w:color w:val="000000"/>
              </w:rPr>
            </w:pPr>
            <w:r w:rsidRPr="00586097">
              <w:t>23.9</w:t>
            </w:r>
          </w:p>
        </w:tc>
      </w:tr>
      <w:tr w:rsidR="00B7540A" w:rsidRPr="00586097" w14:paraId="2A21B211" w14:textId="77777777" w:rsidTr="007309DA">
        <w:trPr>
          <w:trHeight w:val="170"/>
        </w:trPr>
        <w:tc>
          <w:tcPr>
            <w:tcW w:w="1480" w:type="dxa"/>
            <w:shd w:val="clear" w:color="auto" w:fill="auto"/>
            <w:noWrap/>
            <w:vAlign w:val="center"/>
            <w:hideMark/>
          </w:tcPr>
          <w:p w14:paraId="48AC98F9" w14:textId="77777777" w:rsidR="00B7540A" w:rsidRPr="00586097" w:rsidRDefault="00B7540A" w:rsidP="00B7540A">
            <w:pPr>
              <w:spacing w:line="276" w:lineRule="auto"/>
              <w:ind w:firstLine="0"/>
              <w:jc w:val="center"/>
              <w:rPr>
                <w:color w:val="C00000"/>
              </w:rPr>
            </w:pPr>
            <w:r w:rsidRPr="00586097">
              <w:rPr>
                <w:color w:val="C00000"/>
              </w:rPr>
              <w:t>3.5 - 5.5</w:t>
            </w:r>
          </w:p>
        </w:tc>
        <w:tc>
          <w:tcPr>
            <w:tcW w:w="1530" w:type="dxa"/>
            <w:tcBorders>
              <w:bottom w:val="double" w:sz="4" w:space="0" w:color="4F81BD" w:themeColor="accent1"/>
              <w:right w:val="double" w:sz="4" w:space="0" w:color="4F81BD" w:themeColor="accent1"/>
            </w:tcBorders>
            <w:shd w:val="clear" w:color="auto" w:fill="auto"/>
            <w:noWrap/>
            <w:vAlign w:val="center"/>
            <w:hideMark/>
          </w:tcPr>
          <w:p w14:paraId="20757747" w14:textId="77777777" w:rsidR="00B7540A" w:rsidRPr="00586097" w:rsidRDefault="00B7540A" w:rsidP="00B7540A">
            <w:pPr>
              <w:spacing w:line="276" w:lineRule="auto"/>
              <w:ind w:firstLine="0"/>
              <w:jc w:val="center"/>
              <w:rPr>
                <w:rFonts w:cs="Calibri"/>
                <w:b/>
                <w:bCs/>
                <w:color w:val="000000"/>
              </w:rPr>
            </w:pPr>
            <w:r w:rsidRPr="00586097">
              <w:t>27.4</w:t>
            </w:r>
          </w:p>
        </w:tc>
        <w:tc>
          <w:tcPr>
            <w:tcW w:w="14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C6D9F1" w:themeFill="text2" w:themeFillTint="33"/>
            <w:noWrap/>
            <w:vAlign w:val="center"/>
            <w:hideMark/>
          </w:tcPr>
          <w:p w14:paraId="556DAB12" w14:textId="77777777" w:rsidR="00B7540A" w:rsidRPr="00586097" w:rsidRDefault="00B7540A" w:rsidP="00B7540A">
            <w:pPr>
              <w:spacing w:line="276" w:lineRule="auto"/>
              <w:ind w:firstLine="0"/>
              <w:jc w:val="center"/>
            </w:pPr>
            <w:r w:rsidRPr="00586097">
              <w:t>27.6</w:t>
            </w:r>
          </w:p>
        </w:tc>
        <w:tc>
          <w:tcPr>
            <w:tcW w:w="1530" w:type="dxa"/>
            <w:tcBorders>
              <w:top w:val="double" w:sz="4" w:space="0" w:color="4F81BD" w:themeColor="accent1"/>
              <w:left w:val="double" w:sz="4" w:space="0" w:color="4F81BD" w:themeColor="accent1"/>
              <w:bottom w:val="double" w:sz="4" w:space="0" w:color="4F81BD" w:themeColor="accent1"/>
            </w:tcBorders>
            <w:shd w:val="clear" w:color="auto" w:fill="C6D9F1" w:themeFill="text2" w:themeFillTint="33"/>
            <w:noWrap/>
            <w:vAlign w:val="center"/>
            <w:hideMark/>
          </w:tcPr>
          <w:p w14:paraId="6B48A7EE" w14:textId="77777777" w:rsidR="00B7540A" w:rsidRPr="00586097" w:rsidRDefault="00B7540A" w:rsidP="00B7540A">
            <w:pPr>
              <w:spacing w:line="276" w:lineRule="auto"/>
              <w:ind w:firstLine="0"/>
              <w:jc w:val="center"/>
            </w:pPr>
            <w:r w:rsidRPr="00586097">
              <w:t>26.5</w:t>
            </w:r>
          </w:p>
        </w:tc>
        <w:tc>
          <w:tcPr>
            <w:tcW w:w="1440" w:type="dxa"/>
            <w:tcBorders>
              <w:top w:val="double" w:sz="4" w:space="0" w:color="4F81BD" w:themeColor="accent1"/>
              <w:bottom w:val="double" w:sz="4" w:space="0" w:color="4F81BD" w:themeColor="accent1"/>
              <w:right w:val="double" w:sz="4" w:space="0" w:color="4F81BD" w:themeColor="accent1"/>
            </w:tcBorders>
            <w:shd w:val="clear" w:color="auto" w:fill="C6D9F1" w:themeFill="text2" w:themeFillTint="33"/>
            <w:noWrap/>
            <w:vAlign w:val="center"/>
            <w:hideMark/>
          </w:tcPr>
          <w:p w14:paraId="5D5F3FDC" w14:textId="77777777" w:rsidR="00B7540A" w:rsidRPr="00586097" w:rsidRDefault="00B7540A" w:rsidP="00B7540A">
            <w:pPr>
              <w:spacing w:line="276" w:lineRule="auto"/>
              <w:ind w:firstLine="0"/>
              <w:jc w:val="center"/>
            </w:pPr>
            <w:r w:rsidRPr="00586097">
              <w:t>27.1</w:t>
            </w:r>
          </w:p>
        </w:tc>
      </w:tr>
      <w:tr w:rsidR="00B7540A" w:rsidRPr="00586097" w14:paraId="2A6019BB" w14:textId="77777777" w:rsidTr="007309DA">
        <w:trPr>
          <w:trHeight w:val="170"/>
        </w:trPr>
        <w:tc>
          <w:tcPr>
            <w:tcW w:w="1480" w:type="dxa"/>
            <w:tcBorders>
              <w:right w:val="double" w:sz="4" w:space="0" w:color="4F81BD" w:themeColor="accent1"/>
            </w:tcBorders>
            <w:shd w:val="clear" w:color="auto" w:fill="auto"/>
            <w:noWrap/>
            <w:vAlign w:val="center"/>
            <w:hideMark/>
          </w:tcPr>
          <w:p w14:paraId="69B8F32A" w14:textId="77777777" w:rsidR="00B7540A" w:rsidRPr="00586097" w:rsidRDefault="00B7540A" w:rsidP="00B7540A">
            <w:pPr>
              <w:spacing w:line="276" w:lineRule="auto"/>
              <w:ind w:firstLine="0"/>
              <w:jc w:val="center"/>
              <w:rPr>
                <w:color w:val="C00000"/>
              </w:rPr>
            </w:pPr>
            <w:r w:rsidRPr="00586097">
              <w:rPr>
                <w:color w:val="C00000"/>
              </w:rPr>
              <w:t>5.5 - 7.5</w:t>
            </w:r>
          </w:p>
        </w:tc>
        <w:tc>
          <w:tcPr>
            <w:tcW w:w="153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C6D9F1" w:themeFill="text2" w:themeFillTint="33"/>
            <w:noWrap/>
            <w:vAlign w:val="center"/>
            <w:hideMark/>
          </w:tcPr>
          <w:p w14:paraId="77558CEA" w14:textId="77777777" w:rsidR="00B7540A" w:rsidRPr="00586097" w:rsidRDefault="00B7540A" w:rsidP="00B7540A">
            <w:pPr>
              <w:spacing w:line="276" w:lineRule="auto"/>
              <w:ind w:firstLine="0"/>
              <w:jc w:val="center"/>
              <w:rPr>
                <w:rFonts w:cs="Calibri"/>
                <w:color w:val="000000"/>
              </w:rPr>
            </w:pPr>
            <w:r w:rsidRPr="00586097">
              <w:t>32.4</w:t>
            </w:r>
          </w:p>
        </w:tc>
        <w:tc>
          <w:tcPr>
            <w:tcW w:w="1440" w:type="dxa"/>
            <w:tcBorders>
              <w:top w:val="double" w:sz="4" w:space="0" w:color="4F81BD" w:themeColor="accent1"/>
              <w:left w:val="double" w:sz="4" w:space="0" w:color="4F81BD" w:themeColor="accent1"/>
            </w:tcBorders>
            <w:shd w:val="clear" w:color="auto" w:fill="auto"/>
            <w:noWrap/>
            <w:vAlign w:val="center"/>
            <w:hideMark/>
          </w:tcPr>
          <w:p w14:paraId="280BD41C" w14:textId="77777777" w:rsidR="00B7540A" w:rsidRPr="00586097" w:rsidRDefault="00B7540A" w:rsidP="00B7540A">
            <w:pPr>
              <w:spacing w:line="276" w:lineRule="auto"/>
              <w:ind w:firstLine="0"/>
              <w:jc w:val="center"/>
              <w:rPr>
                <w:rFonts w:cs="Calibri"/>
                <w:b/>
                <w:bCs/>
                <w:color w:val="000000"/>
              </w:rPr>
            </w:pPr>
            <w:r w:rsidRPr="00586097">
              <w:t>25.5</w:t>
            </w:r>
          </w:p>
        </w:tc>
        <w:tc>
          <w:tcPr>
            <w:tcW w:w="1530" w:type="dxa"/>
            <w:tcBorders>
              <w:top w:val="double" w:sz="4" w:space="0" w:color="4F81BD" w:themeColor="accent1"/>
            </w:tcBorders>
            <w:shd w:val="clear" w:color="auto" w:fill="auto"/>
            <w:noWrap/>
            <w:vAlign w:val="center"/>
            <w:hideMark/>
          </w:tcPr>
          <w:p w14:paraId="68D50D9C" w14:textId="77777777" w:rsidR="00B7540A" w:rsidRPr="00586097" w:rsidRDefault="00B7540A" w:rsidP="00B7540A">
            <w:pPr>
              <w:spacing w:line="276" w:lineRule="auto"/>
              <w:ind w:firstLine="0"/>
              <w:jc w:val="center"/>
              <w:rPr>
                <w:rFonts w:cs="Calibri"/>
                <w:b/>
                <w:bCs/>
                <w:color w:val="000000"/>
              </w:rPr>
            </w:pPr>
            <w:r w:rsidRPr="00586097">
              <w:t>17.2</w:t>
            </w:r>
          </w:p>
        </w:tc>
        <w:tc>
          <w:tcPr>
            <w:tcW w:w="1440" w:type="dxa"/>
            <w:tcBorders>
              <w:top w:val="double" w:sz="4" w:space="0" w:color="4F81BD" w:themeColor="accent1"/>
            </w:tcBorders>
            <w:shd w:val="clear" w:color="auto" w:fill="auto"/>
            <w:noWrap/>
            <w:vAlign w:val="center"/>
            <w:hideMark/>
          </w:tcPr>
          <w:p w14:paraId="507818E6" w14:textId="77777777" w:rsidR="00B7540A" w:rsidRPr="00586097" w:rsidRDefault="00B7540A" w:rsidP="00B7540A">
            <w:pPr>
              <w:spacing w:line="276" w:lineRule="auto"/>
              <w:ind w:firstLine="0"/>
              <w:jc w:val="center"/>
              <w:rPr>
                <w:rFonts w:cs="Calibri"/>
                <w:b/>
                <w:bCs/>
                <w:color w:val="000000"/>
              </w:rPr>
            </w:pPr>
            <w:r w:rsidRPr="00586097">
              <w:t>19.1</w:t>
            </w:r>
          </w:p>
        </w:tc>
      </w:tr>
      <w:tr w:rsidR="00B7540A" w:rsidRPr="00586097" w14:paraId="03FD84A8" w14:textId="77777777" w:rsidTr="00B7540A">
        <w:trPr>
          <w:trHeight w:val="170"/>
        </w:trPr>
        <w:tc>
          <w:tcPr>
            <w:tcW w:w="1480" w:type="dxa"/>
            <w:shd w:val="clear" w:color="auto" w:fill="auto"/>
            <w:noWrap/>
            <w:vAlign w:val="center"/>
            <w:hideMark/>
          </w:tcPr>
          <w:p w14:paraId="43C7DD2C" w14:textId="77777777" w:rsidR="00B7540A" w:rsidRPr="00586097" w:rsidRDefault="00B7540A" w:rsidP="00B7540A">
            <w:pPr>
              <w:spacing w:line="276" w:lineRule="auto"/>
              <w:ind w:firstLine="0"/>
              <w:jc w:val="center"/>
            </w:pPr>
            <w:r w:rsidRPr="00586097">
              <w:t>7.5 - 9.5</w:t>
            </w:r>
          </w:p>
        </w:tc>
        <w:tc>
          <w:tcPr>
            <w:tcW w:w="1530" w:type="dxa"/>
            <w:tcBorders>
              <w:top w:val="double" w:sz="4" w:space="0" w:color="4F81BD" w:themeColor="accent1"/>
            </w:tcBorders>
            <w:shd w:val="clear" w:color="auto" w:fill="auto"/>
            <w:noWrap/>
            <w:vAlign w:val="center"/>
            <w:hideMark/>
          </w:tcPr>
          <w:p w14:paraId="657CAA56" w14:textId="77777777" w:rsidR="00B7540A" w:rsidRPr="00586097" w:rsidRDefault="00B7540A" w:rsidP="00B7540A">
            <w:pPr>
              <w:spacing w:line="276" w:lineRule="auto"/>
              <w:ind w:firstLine="0"/>
              <w:jc w:val="center"/>
              <w:rPr>
                <w:rFonts w:cs="Calibri"/>
                <w:color w:val="000000"/>
              </w:rPr>
            </w:pPr>
            <w:r w:rsidRPr="00586097">
              <w:t>19.2</w:t>
            </w:r>
          </w:p>
        </w:tc>
        <w:tc>
          <w:tcPr>
            <w:tcW w:w="1440" w:type="dxa"/>
            <w:shd w:val="clear" w:color="auto" w:fill="auto"/>
            <w:noWrap/>
            <w:vAlign w:val="center"/>
            <w:hideMark/>
          </w:tcPr>
          <w:p w14:paraId="7A9F9EC6" w14:textId="77777777" w:rsidR="00B7540A" w:rsidRPr="00586097" w:rsidRDefault="00B7540A" w:rsidP="00B7540A">
            <w:pPr>
              <w:spacing w:line="276" w:lineRule="auto"/>
              <w:ind w:firstLine="0"/>
              <w:jc w:val="center"/>
              <w:rPr>
                <w:rFonts w:cs="Calibri"/>
                <w:color w:val="000000"/>
              </w:rPr>
            </w:pPr>
            <w:r w:rsidRPr="00586097">
              <w:t>14.2</w:t>
            </w:r>
          </w:p>
        </w:tc>
        <w:tc>
          <w:tcPr>
            <w:tcW w:w="1530" w:type="dxa"/>
            <w:shd w:val="clear" w:color="auto" w:fill="auto"/>
            <w:noWrap/>
            <w:vAlign w:val="center"/>
            <w:hideMark/>
          </w:tcPr>
          <w:p w14:paraId="589B0398" w14:textId="77777777" w:rsidR="00B7540A" w:rsidRPr="00586097" w:rsidRDefault="00B7540A" w:rsidP="00B7540A">
            <w:pPr>
              <w:spacing w:line="276" w:lineRule="auto"/>
              <w:ind w:firstLine="0"/>
              <w:jc w:val="center"/>
              <w:rPr>
                <w:rFonts w:cs="Calibri"/>
                <w:color w:val="000000"/>
              </w:rPr>
            </w:pPr>
            <w:r w:rsidRPr="00586097">
              <w:t>6.9</w:t>
            </w:r>
          </w:p>
        </w:tc>
        <w:tc>
          <w:tcPr>
            <w:tcW w:w="1440" w:type="dxa"/>
            <w:shd w:val="clear" w:color="auto" w:fill="auto"/>
            <w:noWrap/>
            <w:vAlign w:val="center"/>
            <w:hideMark/>
          </w:tcPr>
          <w:p w14:paraId="4DE5CD30" w14:textId="77777777" w:rsidR="00B7540A" w:rsidRPr="00586097" w:rsidRDefault="00B7540A" w:rsidP="00B7540A">
            <w:pPr>
              <w:spacing w:line="276" w:lineRule="auto"/>
              <w:ind w:firstLine="0"/>
              <w:jc w:val="center"/>
              <w:rPr>
                <w:rFonts w:cs="Calibri"/>
                <w:color w:val="000000"/>
              </w:rPr>
            </w:pPr>
            <w:r w:rsidRPr="00586097">
              <w:t>8.4</w:t>
            </w:r>
          </w:p>
        </w:tc>
      </w:tr>
    </w:tbl>
    <w:p w14:paraId="5DE2E512" w14:textId="77777777" w:rsidR="00B7540A" w:rsidRPr="00586097" w:rsidRDefault="00B7540A" w:rsidP="006F3B91">
      <w:pPr>
        <w:spacing w:before="120" w:line="276" w:lineRule="auto"/>
        <w:ind w:firstLine="562"/>
        <w:rPr>
          <w:rFonts w:eastAsia="Calibri"/>
        </w:rPr>
      </w:pPr>
      <w:r w:rsidRPr="00586097">
        <w:rPr>
          <w:rFonts w:eastAsia="Calibri"/>
        </w:rPr>
        <w:t>Ինչպես</w:t>
      </w:r>
      <w:r w:rsidRPr="00586097">
        <w:rPr>
          <w:rFonts w:eastAsia="Calibri"/>
          <w:lang w:val="it-IT"/>
        </w:rPr>
        <w:t xml:space="preserve"> </w:t>
      </w:r>
      <w:r w:rsidRPr="00586097">
        <w:rPr>
          <w:rFonts w:eastAsia="Calibri"/>
        </w:rPr>
        <w:t>երևում</w:t>
      </w:r>
      <w:r w:rsidRPr="00586097">
        <w:rPr>
          <w:rFonts w:eastAsia="Calibri"/>
          <w:lang w:val="it-IT"/>
        </w:rPr>
        <w:t xml:space="preserve"> </w:t>
      </w:r>
      <w:r w:rsidRPr="00586097">
        <w:rPr>
          <w:rFonts w:eastAsia="Calibri"/>
        </w:rPr>
        <w:t>է</w:t>
      </w:r>
      <w:r w:rsidRPr="00586097">
        <w:rPr>
          <w:rFonts w:eastAsia="Calibri"/>
          <w:lang w:val="it-IT"/>
        </w:rPr>
        <w:t xml:space="preserve"> </w:t>
      </w:r>
      <w:r w:rsidRPr="00586097">
        <w:rPr>
          <w:rFonts w:eastAsia="Calibri"/>
        </w:rPr>
        <w:t>Գծապատկեր</w:t>
      </w:r>
      <w:r w:rsidRPr="00586097">
        <w:rPr>
          <w:rFonts w:eastAsia="Calibri"/>
          <w:lang w:val="it-IT"/>
        </w:rPr>
        <w:t xml:space="preserve"> </w:t>
      </w:r>
      <w:r w:rsidRPr="00586097">
        <w:rPr>
          <w:rFonts w:eastAsia="Calibri"/>
        </w:rPr>
        <w:t>1.29-ից, իրական ՀՆԱ-ի տարեկան աճի կենտրոնական կանխատեսումներից շեղման ռիսկերը հավասարակշռված են: 2022-2024թթ.</w:t>
      </w:r>
      <w:r w:rsidRPr="00586097" w:rsidDel="00301E27">
        <w:rPr>
          <w:rFonts w:eastAsia="Calibri"/>
        </w:rPr>
        <w:t xml:space="preserve"> </w:t>
      </w:r>
      <w:r w:rsidRPr="00586097">
        <w:rPr>
          <w:rFonts w:eastAsia="Calibri"/>
        </w:rPr>
        <w:t xml:space="preserve">տնտեսական աճի ձևավորման ամենաբարձր հավանականությունը գտնվում է կենտրոնական կանխատեսումները պարունակող համապատասխան միջակայքում (Գծապատկեր 1.29-ում այն մուգ կարմիր է, իսկ Աղյուսակ 1.3-ում՝ հոծ նշումով), իսկ դեպի ներքև և վերև ռիսկերը հավասարակշռված են։ </w:t>
      </w:r>
    </w:p>
    <w:p w14:paraId="647ADA00" w14:textId="77777777" w:rsidR="00B7540A" w:rsidRPr="007309DA" w:rsidRDefault="007309DA" w:rsidP="007309DA">
      <w:pPr>
        <w:pStyle w:val="Heading3"/>
        <w:shd w:val="clear" w:color="auto" w:fill="FFFFFF" w:themeFill="background1"/>
        <w:rPr>
          <w:rFonts w:cs="Sylfaen"/>
          <w:bCs/>
          <w:caps w:val="0"/>
          <w:color w:val="1F497D" w:themeColor="text2"/>
          <w:sz w:val="28"/>
          <w:szCs w:val="28"/>
        </w:rPr>
      </w:pPr>
      <w:bookmarkStart w:id="469" w:name="_Toc77249733"/>
      <w:bookmarkStart w:id="470" w:name="_Toc77451200"/>
      <w:bookmarkStart w:id="471" w:name="_Toc78536693"/>
      <w:r w:rsidRPr="007309DA">
        <w:rPr>
          <w:rFonts w:cs="Sylfaen"/>
          <w:bCs/>
          <w:caps w:val="0"/>
          <w:color w:val="1F497D" w:themeColor="text2"/>
          <w:sz w:val="28"/>
          <w:szCs w:val="28"/>
        </w:rPr>
        <w:t xml:space="preserve">1.6. </w:t>
      </w:r>
      <w:r w:rsidR="00B7540A" w:rsidRPr="007309DA">
        <w:rPr>
          <w:rFonts w:cs="Sylfaen"/>
          <w:bCs/>
          <w:caps w:val="0"/>
          <w:color w:val="1F497D" w:themeColor="text2"/>
          <w:sz w:val="28"/>
          <w:szCs w:val="28"/>
        </w:rPr>
        <w:t>ՀԱՄԵՄԱՏՈՒԹՅՈՒՆ ՆԱԽՈՐԴ ԿԱՆԽԱՏԵՍՈՒՄՆԵՐԻ ՀԵՏ</w:t>
      </w:r>
      <w:bookmarkEnd w:id="469"/>
      <w:bookmarkEnd w:id="470"/>
      <w:bookmarkEnd w:id="471"/>
    </w:p>
    <w:p w14:paraId="580A1282" w14:textId="77777777" w:rsidR="00B7540A" w:rsidRPr="00586097" w:rsidRDefault="00B7540A" w:rsidP="00B7540A">
      <w:pPr>
        <w:pStyle w:val="afa"/>
        <w:spacing w:line="276" w:lineRule="auto"/>
        <w:ind w:firstLine="0"/>
        <w:rPr>
          <w:color w:val="4F81BD"/>
        </w:rPr>
      </w:pPr>
      <w:r w:rsidRPr="00586097">
        <w:t>Աղյուսակ 1.</w:t>
      </w:r>
      <w:r w:rsidRPr="00586097">
        <w:rPr>
          <w:lang w:val="en-US"/>
        </w:rPr>
        <w:t>5</w:t>
      </w:r>
      <w:r w:rsidRPr="00586097">
        <w:t>. ՀՆԱ-ի կանխատեսումները</w:t>
      </w:r>
    </w:p>
    <w:tbl>
      <w:tblPr>
        <w:tblW w:w="9918"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632"/>
        <w:gridCol w:w="1810"/>
        <w:gridCol w:w="1724"/>
        <w:gridCol w:w="1280"/>
        <w:gridCol w:w="1021"/>
        <w:gridCol w:w="1230"/>
        <w:gridCol w:w="1221"/>
      </w:tblGrid>
      <w:tr w:rsidR="00B7540A" w:rsidRPr="00586097" w14:paraId="656482A5" w14:textId="77777777" w:rsidTr="00B7540A">
        <w:trPr>
          <w:trHeight w:val="316"/>
        </w:trPr>
        <w:tc>
          <w:tcPr>
            <w:tcW w:w="1548" w:type="dxa"/>
            <w:vMerge w:val="restart"/>
            <w:shd w:val="clear" w:color="auto" w:fill="9CC2E5"/>
            <w:noWrap/>
            <w:vAlign w:val="center"/>
            <w:hideMark/>
          </w:tcPr>
          <w:p w14:paraId="1574DD45" w14:textId="77777777" w:rsidR="00B7540A" w:rsidRPr="00586097" w:rsidRDefault="00B7540A" w:rsidP="00B7540A">
            <w:pPr>
              <w:spacing w:before="0" w:after="0" w:line="276" w:lineRule="auto"/>
              <w:ind w:firstLine="0"/>
              <w:jc w:val="center"/>
              <w:rPr>
                <w:rFonts w:cs="Calibri"/>
                <w:b/>
                <w:bCs/>
                <w:color w:val="000000"/>
              </w:rPr>
            </w:pPr>
            <w:r w:rsidRPr="00586097">
              <w:rPr>
                <w:rFonts w:cs="Calibri"/>
                <w:b/>
                <w:bCs/>
                <w:color w:val="000000"/>
              </w:rPr>
              <w:t>Ցուցանիշներ</w:t>
            </w:r>
          </w:p>
        </w:tc>
        <w:tc>
          <w:tcPr>
            <w:tcW w:w="2124" w:type="dxa"/>
            <w:vMerge w:val="restart"/>
            <w:shd w:val="clear" w:color="auto" w:fill="9CC2E5"/>
            <w:vAlign w:val="center"/>
            <w:hideMark/>
          </w:tcPr>
          <w:p w14:paraId="3F5963F4" w14:textId="77777777" w:rsidR="00B7540A" w:rsidRPr="00586097" w:rsidRDefault="00B7540A" w:rsidP="00B7540A">
            <w:pPr>
              <w:spacing w:before="0" w:after="0" w:line="276" w:lineRule="auto"/>
              <w:ind w:firstLine="0"/>
              <w:jc w:val="center"/>
              <w:rPr>
                <w:rFonts w:cs="Calibri"/>
                <w:b/>
                <w:bCs/>
                <w:color w:val="000000"/>
              </w:rPr>
            </w:pPr>
            <w:r w:rsidRPr="00586097">
              <w:rPr>
                <w:rFonts w:cs="Calibri"/>
                <w:b/>
                <w:bCs/>
                <w:color w:val="000000"/>
              </w:rPr>
              <w:t>Ծրագիր</w:t>
            </w:r>
          </w:p>
        </w:tc>
        <w:tc>
          <w:tcPr>
            <w:tcW w:w="1450" w:type="dxa"/>
            <w:shd w:val="clear" w:color="auto" w:fill="9CC2E5"/>
            <w:vAlign w:val="center"/>
          </w:tcPr>
          <w:p w14:paraId="635C50D8" w14:textId="77777777" w:rsidR="00B7540A" w:rsidRPr="00586097" w:rsidRDefault="00B7540A" w:rsidP="00B7540A">
            <w:pPr>
              <w:spacing w:before="0" w:after="0" w:line="276" w:lineRule="auto"/>
              <w:ind w:firstLine="0"/>
              <w:jc w:val="center"/>
              <w:rPr>
                <w:rFonts w:cs="Calibri"/>
                <w:b/>
                <w:bCs/>
                <w:color w:val="000000"/>
              </w:rPr>
            </w:pPr>
            <w:r w:rsidRPr="00586097">
              <w:rPr>
                <w:rFonts w:cs="Calibri"/>
                <w:b/>
                <w:bCs/>
                <w:color w:val="000000"/>
              </w:rPr>
              <w:t>2020</w:t>
            </w:r>
          </w:p>
        </w:tc>
        <w:tc>
          <w:tcPr>
            <w:tcW w:w="1280" w:type="dxa"/>
            <w:shd w:val="clear" w:color="auto" w:fill="9CC2E5"/>
            <w:vAlign w:val="center"/>
            <w:hideMark/>
          </w:tcPr>
          <w:p w14:paraId="67965A10" w14:textId="77777777" w:rsidR="00B7540A" w:rsidRPr="00586097" w:rsidRDefault="00B7540A" w:rsidP="00B7540A">
            <w:pPr>
              <w:spacing w:before="0" w:after="0" w:line="276" w:lineRule="auto"/>
              <w:ind w:firstLine="0"/>
              <w:jc w:val="center"/>
              <w:rPr>
                <w:rFonts w:cs="Calibri"/>
                <w:b/>
                <w:bCs/>
                <w:color w:val="000000"/>
              </w:rPr>
            </w:pPr>
            <w:r w:rsidRPr="00586097">
              <w:rPr>
                <w:rFonts w:cs="Calibri"/>
                <w:b/>
                <w:bCs/>
                <w:color w:val="000000"/>
              </w:rPr>
              <w:t>2021</w:t>
            </w:r>
          </w:p>
        </w:tc>
        <w:tc>
          <w:tcPr>
            <w:tcW w:w="1065" w:type="dxa"/>
            <w:shd w:val="clear" w:color="auto" w:fill="9CC2E5"/>
            <w:vAlign w:val="center"/>
            <w:hideMark/>
          </w:tcPr>
          <w:p w14:paraId="0E0A11B9" w14:textId="77777777" w:rsidR="00B7540A" w:rsidRPr="00586097" w:rsidRDefault="00B7540A" w:rsidP="00B7540A">
            <w:pPr>
              <w:spacing w:before="0" w:after="0" w:line="276" w:lineRule="auto"/>
              <w:ind w:firstLine="0"/>
              <w:jc w:val="center"/>
              <w:rPr>
                <w:rFonts w:cs="Calibri"/>
                <w:b/>
                <w:bCs/>
                <w:color w:val="000000"/>
              </w:rPr>
            </w:pPr>
            <w:r w:rsidRPr="00586097">
              <w:rPr>
                <w:rFonts w:cs="Calibri"/>
                <w:b/>
                <w:bCs/>
                <w:color w:val="000000"/>
              </w:rPr>
              <w:t>2022</w:t>
            </w:r>
          </w:p>
        </w:tc>
        <w:tc>
          <w:tcPr>
            <w:tcW w:w="1230" w:type="dxa"/>
            <w:shd w:val="clear" w:color="auto" w:fill="9CC2E5"/>
            <w:vAlign w:val="center"/>
            <w:hideMark/>
          </w:tcPr>
          <w:p w14:paraId="3356ADFD" w14:textId="77777777" w:rsidR="00B7540A" w:rsidRPr="00586097" w:rsidRDefault="00B7540A" w:rsidP="00B7540A">
            <w:pPr>
              <w:spacing w:before="0" w:after="0" w:line="276" w:lineRule="auto"/>
              <w:ind w:firstLine="0"/>
              <w:jc w:val="center"/>
              <w:rPr>
                <w:rFonts w:cs="Calibri"/>
                <w:b/>
                <w:bCs/>
                <w:color w:val="000000"/>
              </w:rPr>
            </w:pPr>
            <w:r w:rsidRPr="00586097">
              <w:rPr>
                <w:rFonts w:cs="Calibri"/>
                <w:b/>
                <w:bCs/>
                <w:color w:val="000000"/>
              </w:rPr>
              <w:t>2023</w:t>
            </w:r>
          </w:p>
        </w:tc>
        <w:tc>
          <w:tcPr>
            <w:tcW w:w="1221" w:type="dxa"/>
            <w:shd w:val="clear" w:color="auto" w:fill="9CC2E5"/>
            <w:vAlign w:val="center"/>
            <w:hideMark/>
          </w:tcPr>
          <w:p w14:paraId="1F5D9D33" w14:textId="77777777" w:rsidR="00B7540A" w:rsidRPr="00586097" w:rsidRDefault="00B7540A" w:rsidP="00B7540A">
            <w:pPr>
              <w:spacing w:before="0" w:after="0" w:line="276" w:lineRule="auto"/>
              <w:ind w:firstLine="0"/>
              <w:jc w:val="center"/>
              <w:rPr>
                <w:rFonts w:cs="Calibri"/>
                <w:b/>
                <w:bCs/>
                <w:color w:val="000000"/>
              </w:rPr>
            </w:pPr>
            <w:r w:rsidRPr="00586097">
              <w:rPr>
                <w:rFonts w:cs="Calibri"/>
                <w:b/>
                <w:bCs/>
                <w:color w:val="000000"/>
              </w:rPr>
              <w:t>2024</w:t>
            </w:r>
          </w:p>
        </w:tc>
      </w:tr>
      <w:tr w:rsidR="00B7540A" w:rsidRPr="00586097" w14:paraId="774CA946" w14:textId="77777777" w:rsidTr="00B7540A">
        <w:trPr>
          <w:trHeight w:val="316"/>
        </w:trPr>
        <w:tc>
          <w:tcPr>
            <w:tcW w:w="1548" w:type="dxa"/>
            <w:vMerge/>
            <w:vAlign w:val="center"/>
            <w:hideMark/>
          </w:tcPr>
          <w:p w14:paraId="5BF4DAF7" w14:textId="77777777" w:rsidR="00B7540A" w:rsidRPr="00586097" w:rsidRDefault="00B7540A" w:rsidP="00B7540A">
            <w:pPr>
              <w:spacing w:before="0" w:after="0" w:line="276" w:lineRule="auto"/>
              <w:ind w:firstLine="0"/>
              <w:jc w:val="left"/>
              <w:rPr>
                <w:rFonts w:cs="Calibri"/>
                <w:b/>
                <w:bCs/>
                <w:color w:val="000000"/>
              </w:rPr>
            </w:pPr>
          </w:p>
        </w:tc>
        <w:tc>
          <w:tcPr>
            <w:tcW w:w="2124" w:type="dxa"/>
            <w:vMerge/>
            <w:vAlign w:val="center"/>
            <w:hideMark/>
          </w:tcPr>
          <w:p w14:paraId="5B812C91" w14:textId="77777777" w:rsidR="00B7540A" w:rsidRPr="00586097" w:rsidRDefault="00B7540A" w:rsidP="00B7540A">
            <w:pPr>
              <w:spacing w:before="0" w:after="0" w:line="276" w:lineRule="auto"/>
              <w:ind w:firstLine="0"/>
              <w:jc w:val="left"/>
              <w:rPr>
                <w:rFonts w:cs="Calibri"/>
                <w:b/>
                <w:bCs/>
                <w:color w:val="000000"/>
              </w:rPr>
            </w:pPr>
          </w:p>
        </w:tc>
        <w:tc>
          <w:tcPr>
            <w:tcW w:w="1450" w:type="dxa"/>
            <w:shd w:val="clear" w:color="auto" w:fill="9CC2E5"/>
            <w:vAlign w:val="center"/>
          </w:tcPr>
          <w:p w14:paraId="059793AA" w14:textId="77777777" w:rsidR="00B7540A" w:rsidRPr="00586097" w:rsidRDefault="00B7540A" w:rsidP="00B7540A">
            <w:pPr>
              <w:spacing w:before="0" w:after="0" w:line="276" w:lineRule="auto"/>
              <w:ind w:firstLine="0"/>
              <w:jc w:val="center"/>
              <w:rPr>
                <w:rFonts w:cs="Calibri"/>
                <w:i/>
                <w:iCs/>
                <w:color w:val="000000"/>
              </w:rPr>
            </w:pPr>
            <w:r w:rsidRPr="00586097">
              <w:rPr>
                <w:rFonts w:cs="Calibri"/>
                <w:i/>
                <w:iCs/>
                <w:color w:val="000000"/>
              </w:rPr>
              <w:t>փաստ*/կանխ.</w:t>
            </w:r>
          </w:p>
        </w:tc>
        <w:tc>
          <w:tcPr>
            <w:tcW w:w="1280" w:type="dxa"/>
            <w:shd w:val="clear" w:color="auto" w:fill="9CC2E5"/>
            <w:vAlign w:val="center"/>
            <w:hideMark/>
          </w:tcPr>
          <w:p w14:paraId="2308A432" w14:textId="77777777" w:rsidR="00B7540A" w:rsidRPr="00586097" w:rsidRDefault="00B7540A" w:rsidP="00B7540A">
            <w:pPr>
              <w:spacing w:before="0" w:after="0" w:line="276" w:lineRule="auto"/>
              <w:ind w:firstLine="0"/>
              <w:jc w:val="center"/>
              <w:rPr>
                <w:rFonts w:cs="Calibri"/>
                <w:i/>
                <w:iCs/>
                <w:color w:val="000000"/>
              </w:rPr>
            </w:pPr>
            <w:r w:rsidRPr="00586097">
              <w:rPr>
                <w:rFonts w:cs="Calibri"/>
                <w:i/>
                <w:iCs/>
                <w:color w:val="000000"/>
              </w:rPr>
              <w:t>կանխ.</w:t>
            </w:r>
          </w:p>
        </w:tc>
        <w:tc>
          <w:tcPr>
            <w:tcW w:w="1065" w:type="dxa"/>
            <w:shd w:val="clear" w:color="auto" w:fill="9CC2E5"/>
            <w:vAlign w:val="center"/>
            <w:hideMark/>
          </w:tcPr>
          <w:p w14:paraId="1D8FD7ED" w14:textId="77777777" w:rsidR="00B7540A" w:rsidRPr="00586097" w:rsidRDefault="00B7540A" w:rsidP="00B7540A">
            <w:pPr>
              <w:spacing w:before="0" w:after="0" w:line="276" w:lineRule="auto"/>
              <w:ind w:firstLine="0"/>
              <w:jc w:val="center"/>
              <w:rPr>
                <w:rFonts w:cs="Calibri"/>
                <w:i/>
                <w:iCs/>
                <w:color w:val="000000"/>
              </w:rPr>
            </w:pPr>
            <w:r w:rsidRPr="00586097">
              <w:rPr>
                <w:rFonts w:cs="Calibri"/>
                <w:i/>
                <w:iCs/>
                <w:color w:val="000000"/>
              </w:rPr>
              <w:t>կանխ.</w:t>
            </w:r>
          </w:p>
        </w:tc>
        <w:tc>
          <w:tcPr>
            <w:tcW w:w="1230" w:type="dxa"/>
            <w:shd w:val="clear" w:color="auto" w:fill="9CC2E5"/>
            <w:vAlign w:val="center"/>
            <w:hideMark/>
          </w:tcPr>
          <w:p w14:paraId="325B56B2" w14:textId="77777777" w:rsidR="00B7540A" w:rsidRPr="00586097" w:rsidRDefault="00B7540A" w:rsidP="00B7540A">
            <w:pPr>
              <w:spacing w:before="0" w:after="0" w:line="276" w:lineRule="auto"/>
              <w:ind w:firstLine="0"/>
              <w:jc w:val="center"/>
              <w:rPr>
                <w:rFonts w:cs="Calibri"/>
                <w:i/>
                <w:iCs/>
                <w:color w:val="000000"/>
              </w:rPr>
            </w:pPr>
            <w:r w:rsidRPr="00586097">
              <w:rPr>
                <w:rFonts w:cs="Calibri"/>
                <w:i/>
                <w:iCs/>
                <w:color w:val="000000"/>
              </w:rPr>
              <w:t>կանխ.</w:t>
            </w:r>
          </w:p>
        </w:tc>
        <w:tc>
          <w:tcPr>
            <w:tcW w:w="1221" w:type="dxa"/>
            <w:shd w:val="clear" w:color="auto" w:fill="9CC2E5"/>
            <w:vAlign w:val="center"/>
            <w:hideMark/>
          </w:tcPr>
          <w:p w14:paraId="7519BBF5" w14:textId="77777777" w:rsidR="00B7540A" w:rsidRPr="00586097" w:rsidRDefault="00B7540A" w:rsidP="00B7540A">
            <w:pPr>
              <w:spacing w:before="0" w:after="0" w:line="276" w:lineRule="auto"/>
              <w:ind w:firstLine="0"/>
              <w:jc w:val="center"/>
              <w:rPr>
                <w:rFonts w:cs="Calibri"/>
                <w:i/>
                <w:iCs/>
                <w:color w:val="000000"/>
              </w:rPr>
            </w:pPr>
            <w:r w:rsidRPr="00586097">
              <w:rPr>
                <w:rFonts w:cs="Calibri"/>
                <w:i/>
                <w:iCs/>
                <w:color w:val="000000"/>
              </w:rPr>
              <w:t>կանխ.</w:t>
            </w:r>
          </w:p>
        </w:tc>
      </w:tr>
      <w:tr w:rsidR="00B7540A" w:rsidRPr="00586097" w14:paraId="36DE91C6" w14:textId="77777777" w:rsidTr="00B7540A">
        <w:trPr>
          <w:trHeight w:val="316"/>
        </w:trPr>
        <w:tc>
          <w:tcPr>
            <w:tcW w:w="1548" w:type="dxa"/>
            <w:vMerge w:val="restart"/>
            <w:shd w:val="clear" w:color="auto" w:fill="auto"/>
            <w:vAlign w:val="center"/>
          </w:tcPr>
          <w:p w14:paraId="5306EB9F" w14:textId="77777777" w:rsidR="00B7540A" w:rsidRPr="00586097" w:rsidRDefault="00B7540A" w:rsidP="00B7540A">
            <w:pPr>
              <w:spacing w:before="0" w:after="0" w:line="276" w:lineRule="auto"/>
              <w:ind w:firstLine="0"/>
              <w:jc w:val="left"/>
              <w:rPr>
                <w:rFonts w:cs="Calibri"/>
                <w:b/>
                <w:bCs/>
                <w:color w:val="000000"/>
              </w:rPr>
            </w:pPr>
            <w:r w:rsidRPr="00586097">
              <w:rPr>
                <w:rFonts w:cs="Calibri"/>
                <w:b/>
                <w:bCs/>
                <w:color w:val="000000"/>
              </w:rPr>
              <w:t>Անվանական ՀՆԱ, մլրդ դրամ</w:t>
            </w:r>
          </w:p>
        </w:tc>
        <w:tc>
          <w:tcPr>
            <w:tcW w:w="2124" w:type="dxa"/>
            <w:shd w:val="clear" w:color="auto" w:fill="auto"/>
            <w:vAlign w:val="center"/>
          </w:tcPr>
          <w:p w14:paraId="4B8A2314" w14:textId="77777777" w:rsidR="00B7540A" w:rsidRPr="00586097" w:rsidRDefault="00B7540A" w:rsidP="00B7540A">
            <w:pPr>
              <w:spacing w:before="0" w:after="0" w:line="276" w:lineRule="auto"/>
              <w:ind w:firstLine="0"/>
              <w:jc w:val="left"/>
              <w:rPr>
                <w:rFonts w:cs="Calibri"/>
                <w:i/>
                <w:iCs/>
                <w:color w:val="000000"/>
              </w:rPr>
            </w:pPr>
            <w:r w:rsidRPr="00586097">
              <w:rPr>
                <w:rFonts w:cs="Calibri"/>
                <w:i/>
                <w:iCs/>
                <w:color w:val="000000"/>
              </w:rPr>
              <w:t>Թիրախային սցենար</w:t>
            </w:r>
          </w:p>
        </w:tc>
        <w:tc>
          <w:tcPr>
            <w:tcW w:w="1450" w:type="dxa"/>
            <w:vAlign w:val="center"/>
          </w:tcPr>
          <w:p w14:paraId="0D709AD3"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6,181.7</w:t>
            </w:r>
          </w:p>
        </w:tc>
        <w:tc>
          <w:tcPr>
            <w:tcW w:w="1280" w:type="dxa"/>
            <w:shd w:val="clear" w:color="auto" w:fill="auto"/>
            <w:noWrap/>
            <w:vAlign w:val="center"/>
          </w:tcPr>
          <w:p w14:paraId="33F03AFD" w14:textId="77777777" w:rsidR="00B7540A" w:rsidRPr="00586097" w:rsidRDefault="00B7540A" w:rsidP="00B7540A">
            <w:pPr>
              <w:spacing w:before="0" w:after="0" w:line="276" w:lineRule="auto"/>
              <w:ind w:firstLine="0"/>
              <w:jc w:val="center"/>
              <w:rPr>
                <w:rFonts w:cs="Calibri"/>
              </w:rPr>
            </w:pPr>
            <w:r w:rsidRPr="00586097">
              <w:rPr>
                <w:rFonts w:cs="Calibri"/>
              </w:rPr>
              <w:t>6,880.2</w:t>
            </w:r>
          </w:p>
        </w:tc>
        <w:tc>
          <w:tcPr>
            <w:tcW w:w="1065" w:type="dxa"/>
            <w:shd w:val="clear" w:color="auto" w:fill="auto"/>
            <w:vAlign w:val="center"/>
          </w:tcPr>
          <w:p w14:paraId="2213C771" w14:textId="77777777" w:rsidR="00B7540A" w:rsidRPr="00586097" w:rsidRDefault="00B7540A" w:rsidP="00B7540A">
            <w:pPr>
              <w:spacing w:before="0" w:after="0" w:line="276" w:lineRule="auto"/>
              <w:ind w:firstLine="0"/>
              <w:jc w:val="center"/>
              <w:rPr>
                <w:rFonts w:cs="Calibri"/>
              </w:rPr>
            </w:pPr>
            <w:r w:rsidRPr="00586097">
              <w:t>7,707.6</w:t>
            </w:r>
          </w:p>
        </w:tc>
        <w:tc>
          <w:tcPr>
            <w:tcW w:w="1230" w:type="dxa"/>
            <w:shd w:val="clear" w:color="auto" w:fill="auto"/>
            <w:noWrap/>
            <w:vAlign w:val="center"/>
          </w:tcPr>
          <w:p w14:paraId="6BD6F11F" w14:textId="77777777" w:rsidR="00B7540A" w:rsidRPr="00586097" w:rsidRDefault="00B7540A" w:rsidP="00B7540A">
            <w:pPr>
              <w:spacing w:before="0" w:after="0" w:line="276" w:lineRule="auto"/>
              <w:ind w:firstLine="0"/>
              <w:jc w:val="center"/>
              <w:rPr>
                <w:rFonts w:cs="Calibri"/>
              </w:rPr>
            </w:pPr>
            <w:r w:rsidRPr="00586097">
              <w:t>8,584.9</w:t>
            </w:r>
          </w:p>
        </w:tc>
        <w:tc>
          <w:tcPr>
            <w:tcW w:w="1221" w:type="dxa"/>
            <w:shd w:val="clear" w:color="auto" w:fill="auto"/>
            <w:noWrap/>
            <w:vAlign w:val="center"/>
          </w:tcPr>
          <w:p w14:paraId="2FED1F82" w14:textId="77777777" w:rsidR="00B7540A" w:rsidRPr="00586097" w:rsidRDefault="00B7540A" w:rsidP="00B7540A">
            <w:pPr>
              <w:spacing w:before="0" w:after="0" w:line="276" w:lineRule="auto"/>
              <w:ind w:firstLine="0"/>
              <w:jc w:val="center"/>
              <w:rPr>
                <w:rFonts w:cs="Calibri"/>
              </w:rPr>
            </w:pPr>
            <w:r w:rsidRPr="00586097">
              <w:t>9,553.1</w:t>
            </w:r>
          </w:p>
        </w:tc>
      </w:tr>
      <w:tr w:rsidR="00B7540A" w:rsidRPr="00586097" w14:paraId="0B512BE2" w14:textId="77777777" w:rsidTr="00B7540A">
        <w:trPr>
          <w:trHeight w:val="316"/>
        </w:trPr>
        <w:tc>
          <w:tcPr>
            <w:tcW w:w="1548" w:type="dxa"/>
            <w:vMerge/>
            <w:shd w:val="clear" w:color="auto" w:fill="auto"/>
            <w:vAlign w:val="center"/>
            <w:hideMark/>
          </w:tcPr>
          <w:p w14:paraId="138B20B7" w14:textId="77777777" w:rsidR="00B7540A" w:rsidRPr="00586097" w:rsidRDefault="00B7540A" w:rsidP="00B7540A">
            <w:pPr>
              <w:spacing w:before="0" w:after="0" w:line="276" w:lineRule="auto"/>
              <w:ind w:firstLine="0"/>
              <w:jc w:val="left"/>
              <w:rPr>
                <w:rFonts w:cs="Calibri"/>
                <w:b/>
                <w:bCs/>
                <w:color w:val="000000"/>
              </w:rPr>
            </w:pPr>
          </w:p>
        </w:tc>
        <w:tc>
          <w:tcPr>
            <w:tcW w:w="2124" w:type="dxa"/>
            <w:shd w:val="clear" w:color="auto" w:fill="auto"/>
            <w:vAlign w:val="center"/>
            <w:hideMark/>
          </w:tcPr>
          <w:p w14:paraId="5B72C068" w14:textId="77777777" w:rsidR="00B7540A" w:rsidRPr="00586097" w:rsidRDefault="00B7540A" w:rsidP="00B7540A">
            <w:pPr>
              <w:spacing w:before="0" w:after="0" w:line="276" w:lineRule="auto"/>
              <w:ind w:firstLine="0"/>
              <w:jc w:val="left"/>
              <w:rPr>
                <w:rFonts w:cs="Calibri"/>
                <w:i/>
                <w:iCs/>
                <w:color w:val="000000"/>
              </w:rPr>
            </w:pPr>
            <w:r w:rsidRPr="00586097">
              <w:rPr>
                <w:rFonts w:cs="Calibri"/>
                <w:i/>
                <w:iCs/>
                <w:color w:val="000000"/>
              </w:rPr>
              <w:t>2022-2024 ՄԺԾԾ</w:t>
            </w:r>
          </w:p>
        </w:tc>
        <w:tc>
          <w:tcPr>
            <w:tcW w:w="1450" w:type="dxa"/>
            <w:vAlign w:val="center"/>
          </w:tcPr>
          <w:p w14:paraId="5C4C2AE6"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6,181.7</w:t>
            </w:r>
          </w:p>
        </w:tc>
        <w:tc>
          <w:tcPr>
            <w:tcW w:w="1280" w:type="dxa"/>
            <w:shd w:val="clear" w:color="auto" w:fill="auto"/>
            <w:noWrap/>
            <w:vAlign w:val="center"/>
          </w:tcPr>
          <w:p w14:paraId="7116A094" w14:textId="77777777" w:rsidR="00B7540A" w:rsidRPr="00586097" w:rsidRDefault="00B7540A" w:rsidP="00B7540A">
            <w:pPr>
              <w:spacing w:before="0" w:after="0" w:line="276" w:lineRule="auto"/>
              <w:ind w:firstLine="0"/>
              <w:jc w:val="center"/>
              <w:rPr>
                <w:rFonts w:cs="Calibri"/>
              </w:rPr>
            </w:pPr>
            <w:r w:rsidRPr="00586097">
              <w:rPr>
                <w:rFonts w:cs="Calibri"/>
              </w:rPr>
              <w:t>6,880.2</w:t>
            </w:r>
          </w:p>
        </w:tc>
        <w:tc>
          <w:tcPr>
            <w:tcW w:w="1065" w:type="dxa"/>
            <w:shd w:val="clear" w:color="auto" w:fill="auto"/>
            <w:vAlign w:val="center"/>
          </w:tcPr>
          <w:p w14:paraId="0C1B449B" w14:textId="77777777" w:rsidR="00B7540A" w:rsidRPr="00586097" w:rsidRDefault="00B7540A" w:rsidP="00B7540A">
            <w:pPr>
              <w:spacing w:before="0" w:after="0" w:line="276" w:lineRule="auto"/>
              <w:ind w:firstLine="0"/>
              <w:jc w:val="center"/>
              <w:rPr>
                <w:rFonts w:cs="Calibri"/>
              </w:rPr>
            </w:pPr>
            <w:r w:rsidRPr="00586097">
              <w:rPr>
                <w:rFonts w:cs="Calibri"/>
              </w:rPr>
              <w:t>7,570.8</w:t>
            </w:r>
          </w:p>
        </w:tc>
        <w:tc>
          <w:tcPr>
            <w:tcW w:w="1230" w:type="dxa"/>
            <w:shd w:val="clear" w:color="auto" w:fill="auto"/>
            <w:noWrap/>
            <w:vAlign w:val="center"/>
          </w:tcPr>
          <w:p w14:paraId="0D23A516" w14:textId="77777777" w:rsidR="00B7540A" w:rsidRPr="00586097" w:rsidRDefault="00B7540A" w:rsidP="00B7540A">
            <w:pPr>
              <w:spacing w:before="0" w:after="0" w:line="276" w:lineRule="auto"/>
              <w:ind w:firstLine="0"/>
              <w:jc w:val="center"/>
              <w:rPr>
                <w:rFonts w:cs="Calibri"/>
              </w:rPr>
            </w:pPr>
            <w:r w:rsidRPr="00586097">
              <w:rPr>
                <w:rFonts w:cs="Calibri"/>
              </w:rPr>
              <w:t>8,171.1</w:t>
            </w:r>
          </w:p>
        </w:tc>
        <w:tc>
          <w:tcPr>
            <w:tcW w:w="1221" w:type="dxa"/>
            <w:shd w:val="clear" w:color="auto" w:fill="auto"/>
            <w:noWrap/>
            <w:vAlign w:val="center"/>
          </w:tcPr>
          <w:p w14:paraId="2B80E801" w14:textId="77777777" w:rsidR="00B7540A" w:rsidRPr="00586097" w:rsidRDefault="00B7540A" w:rsidP="00B7540A">
            <w:pPr>
              <w:spacing w:before="0" w:after="0" w:line="276" w:lineRule="auto"/>
              <w:ind w:firstLine="0"/>
              <w:jc w:val="center"/>
              <w:rPr>
                <w:rFonts w:cs="Calibri"/>
              </w:rPr>
            </w:pPr>
            <w:r w:rsidRPr="00586097">
              <w:rPr>
                <w:rFonts w:cs="Calibri"/>
              </w:rPr>
              <w:t>8,835.4</w:t>
            </w:r>
          </w:p>
        </w:tc>
      </w:tr>
      <w:tr w:rsidR="00B7540A" w:rsidRPr="00586097" w14:paraId="0DFDBD8D" w14:textId="77777777" w:rsidTr="00B7540A">
        <w:trPr>
          <w:trHeight w:val="316"/>
        </w:trPr>
        <w:tc>
          <w:tcPr>
            <w:tcW w:w="1548" w:type="dxa"/>
            <w:vMerge/>
            <w:vAlign w:val="center"/>
            <w:hideMark/>
          </w:tcPr>
          <w:p w14:paraId="440D3573" w14:textId="77777777" w:rsidR="00B7540A" w:rsidRPr="00586097" w:rsidRDefault="00B7540A" w:rsidP="00B7540A">
            <w:pPr>
              <w:spacing w:before="0" w:after="0" w:line="276" w:lineRule="auto"/>
              <w:ind w:firstLine="0"/>
              <w:jc w:val="left"/>
              <w:rPr>
                <w:rFonts w:cs="Calibri"/>
                <w:b/>
                <w:bCs/>
                <w:color w:val="000000"/>
              </w:rPr>
            </w:pPr>
          </w:p>
        </w:tc>
        <w:tc>
          <w:tcPr>
            <w:tcW w:w="2124" w:type="dxa"/>
            <w:shd w:val="clear" w:color="auto" w:fill="auto"/>
            <w:vAlign w:val="center"/>
            <w:hideMark/>
          </w:tcPr>
          <w:p w14:paraId="49C84708" w14:textId="77777777" w:rsidR="00B7540A" w:rsidRPr="00586097" w:rsidRDefault="00B7540A" w:rsidP="00B7540A">
            <w:pPr>
              <w:spacing w:before="0" w:after="0" w:line="276" w:lineRule="auto"/>
              <w:ind w:firstLine="0"/>
              <w:jc w:val="left"/>
              <w:rPr>
                <w:rFonts w:cs="Calibri"/>
                <w:i/>
                <w:iCs/>
                <w:color w:val="000000"/>
              </w:rPr>
            </w:pPr>
            <w:r w:rsidRPr="00586097">
              <w:rPr>
                <w:rFonts w:cs="Calibri"/>
                <w:i/>
                <w:iCs/>
                <w:color w:val="000000"/>
              </w:rPr>
              <w:t>2021 Պետական բյուջե</w:t>
            </w:r>
          </w:p>
        </w:tc>
        <w:tc>
          <w:tcPr>
            <w:tcW w:w="1450" w:type="dxa"/>
            <w:vAlign w:val="center"/>
          </w:tcPr>
          <w:p w14:paraId="2359D7F9" w14:textId="77777777" w:rsidR="00B7540A" w:rsidRPr="00586097" w:rsidRDefault="00B7540A" w:rsidP="00B7540A">
            <w:pPr>
              <w:spacing w:before="0" w:after="0" w:line="276" w:lineRule="auto"/>
              <w:ind w:firstLine="0"/>
              <w:jc w:val="center"/>
              <w:rPr>
                <w:rFonts w:cs="Calibri"/>
                <w:color w:val="000000"/>
                <w:highlight w:val="yellow"/>
              </w:rPr>
            </w:pPr>
            <w:r w:rsidRPr="00586097">
              <w:rPr>
                <w:rFonts w:cs="Calibri"/>
                <w:color w:val="000000"/>
              </w:rPr>
              <w:t>6,075.9</w:t>
            </w:r>
          </w:p>
        </w:tc>
        <w:tc>
          <w:tcPr>
            <w:tcW w:w="1280" w:type="dxa"/>
            <w:shd w:val="clear" w:color="auto" w:fill="auto"/>
            <w:noWrap/>
            <w:vAlign w:val="center"/>
          </w:tcPr>
          <w:p w14:paraId="48BF2BAC" w14:textId="77777777" w:rsidR="00B7540A" w:rsidRPr="00586097" w:rsidRDefault="00B7540A" w:rsidP="00B7540A">
            <w:pPr>
              <w:spacing w:before="0" w:after="0" w:line="276" w:lineRule="auto"/>
              <w:ind w:firstLine="0"/>
              <w:jc w:val="center"/>
              <w:rPr>
                <w:rFonts w:cs="Calibri"/>
                <w:color w:val="000000"/>
                <w:highlight w:val="yellow"/>
              </w:rPr>
            </w:pPr>
            <w:r w:rsidRPr="00586097">
              <w:rPr>
                <w:rFonts w:cs="Calibri"/>
                <w:color w:val="000000"/>
              </w:rPr>
              <w:t>6,395.3</w:t>
            </w:r>
          </w:p>
        </w:tc>
        <w:tc>
          <w:tcPr>
            <w:tcW w:w="1065" w:type="dxa"/>
            <w:shd w:val="clear" w:color="auto" w:fill="auto"/>
            <w:vAlign w:val="center"/>
            <w:hideMark/>
          </w:tcPr>
          <w:p w14:paraId="68FB3282"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w:t>
            </w:r>
          </w:p>
        </w:tc>
        <w:tc>
          <w:tcPr>
            <w:tcW w:w="1230" w:type="dxa"/>
            <w:shd w:val="clear" w:color="auto" w:fill="auto"/>
            <w:noWrap/>
            <w:vAlign w:val="center"/>
            <w:hideMark/>
          </w:tcPr>
          <w:p w14:paraId="07CD9AF1"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w:t>
            </w:r>
          </w:p>
        </w:tc>
        <w:tc>
          <w:tcPr>
            <w:tcW w:w="1221" w:type="dxa"/>
            <w:shd w:val="clear" w:color="auto" w:fill="auto"/>
            <w:noWrap/>
            <w:vAlign w:val="center"/>
            <w:hideMark/>
          </w:tcPr>
          <w:p w14:paraId="75BDD0BC"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w:t>
            </w:r>
          </w:p>
        </w:tc>
      </w:tr>
      <w:tr w:rsidR="00B7540A" w:rsidRPr="00586097" w14:paraId="7A4E8F04" w14:textId="77777777" w:rsidTr="00B7540A">
        <w:trPr>
          <w:trHeight w:val="316"/>
        </w:trPr>
        <w:tc>
          <w:tcPr>
            <w:tcW w:w="1548" w:type="dxa"/>
            <w:vMerge/>
            <w:vAlign w:val="center"/>
            <w:hideMark/>
          </w:tcPr>
          <w:p w14:paraId="5A5D8A6F" w14:textId="77777777" w:rsidR="00B7540A" w:rsidRPr="00586097" w:rsidRDefault="00B7540A" w:rsidP="00B7540A">
            <w:pPr>
              <w:spacing w:before="0" w:after="0" w:line="276" w:lineRule="auto"/>
              <w:ind w:firstLine="0"/>
              <w:jc w:val="left"/>
              <w:rPr>
                <w:rFonts w:cs="Calibri"/>
                <w:b/>
                <w:bCs/>
                <w:color w:val="000000"/>
              </w:rPr>
            </w:pPr>
          </w:p>
        </w:tc>
        <w:tc>
          <w:tcPr>
            <w:tcW w:w="2124" w:type="dxa"/>
            <w:shd w:val="clear" w:color="auto" w:fill="auto"/>
            <w:vAlign w:val="center"/>
            <w:hideMark/>
          </w:tcPr>
          <w:p w14:paraId="5194B7B7" w14:textId="77777777" w:rsidR="00B7540A" w:rsidRPr="00586097" w:rsidRDefault="00B7540A" w:rsidP="00B7540A">
            <w:pPr>
              <w:spacing w:before="0" w:after="0" w:line="276" w:lineRule="auto"/>
              <w:ind w:firstLine="0"/>
              <w:jc w:val="left"/>
              <w:rPr>
                <w:rFonts w:cs="Calibri"/>
                <w:i/>
                <w:iCs/>
                <w:color w:val="000000"/>
              </w:rPr>
            </w:pPr>
            <w:r w:rsidRPr="00586097">
              <w:rPr>
                <w:rFonts w:cs="Calibri"/>
                <w:i/>
                <w:iCs/>
                <w:color w:val="000000"/>
              </w:rPr>
              <w:t>2021-2023 ՄԺԾԾ</w:t>
            </w:r>
          </w:p>
        </w:tc>
        <w:tc>
          <w:tcPr>
            <w:tcW w:w="1450" w:type="dxa"/>
            <w:vAlign w:val="center"/>
          </w:tcPr>
          <w:p w14:paraId="5158B6D4"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6,505.1</w:t>
            </w:r>
          </w:p>
        </w:tc>
        <w:tc>
          <w:tcPr>
            <w:tcW w:w="1280" w:type="dxa"/>
            <w:shd w:val="clear" w:color="auto" w:fill="auto"/>
            <w:noWrap/>
            <w:vAlign w:val="center"/>
            <w:hideMark/>
          </w:tcPr>
          <w:p w14:paraId="536ACA91"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7,143.0</w:t>
            </w:r>
          </w:p>
        </w:tc>
        <w:tc>
          <w:tcPr>
            <w:tcW w:w="1065" w:type="dxa"/>
            <w:shd w:val="clear" w:color="auto" w:fill="auto"/>
            <w:vAlign w:val="center"/>
            <w:hideMark/>
          </w:tcPr>
          <w:p w14:paraId="42E9F790"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7,853.5</w:t>
            </w:r>
          </w:p>
        </w:tc>
        <w:tc>
          <w:tcPr>
            <w:tcW w:w="1230" w:type="dxa"/>
            <w:shd w:val="clear" w:color="auto" w:fill="auto"/>
            <w:noWrap/>
            <w:vAlign w:val="center"/>
            <w:hideMark/>
          </w:tcPr>
          <w:p w14:paraId="24CB35D1"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8,582.5</w:t>
            </w:r>
          </w:p>
        </w:tc>
        <w:tc>
          <w:tcPr>
            <w:tcW w:w="1221" w:type="dxa"/>
            <w:shd w:val="clear" w:color="auto" w:fill="auto"/>
            <w:noWrap/>
            <w:vAlign w:val="center"/>
            <w:hideMark/>
          </w:tcPr>
          <w:p w14:paraId="22DC58FC"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w:t>
            </w:r>
          </w:p>
        </w:tc>
      </w:tr>
      <w:tr w:rsidR="00B7540A" w:rsidRPr="00586097" w14:paraId="54B966AD" w14:textId="77777777" w:rsidTr="00B7540A">
        <w:trPr>
          <w:trHeight w:val="316"/>
        </w:trPr>
        <w:tc>
          <w:tcPr>
            <w:tcW w:w="1548" w:type="dxa"/>
            <w:vMerge w:val="restart"/>
            <w:shd w:val="clear" w:color="auto" w:fill="auto"/>
            <w:vAlign w:val="center"/>
          </w:tcPr>
          <w:p w14:paraId="32D173A1" w14:textId="77777777" w:rsidR="00B7540A" w:rsidRPr="00586097" w:rsidRDefault="00B7540A" w:rsidP="00B7540A">
            <w:pPr>
              <w:spacing w:before="0" w:after="0" w:line="276" w:lineRule="auto"/>
              <w:ind w:firstLine="0"/>
              <w:jc w:val="left"/>
              <w:rPr>
                <w:rFonts w:cs="Calibri"/>
                <w:b/>
                <w:bCs/>
                <w:color w:val="000000"/>
              </w:rPr>
            </w:pPr>
            <w:r w:rsidRPr="00586097">
              <w:rPr>
                <w:rFonts w:cs="Calibri"/>
                <w:b/>
                <w:bCs/>
                <w:color w:val="000000"/>
              </w:rPr>
              <w:t>Տնտեսական (իրական ՀՆԱ-ի) աճ, %</w:t>
            </w:r>
          </w:p>
        </w:tc>
        <w:tc>
          <w:tcPr>
            <w:tcW w:w="2124" w:type="dxa"/>
            <w:shd w:val="clear" w:color="auto" w:fill="auto"/>
            <w:vAlign w:val="center"/>
          </w:tcPr>
          <w:p w14:paraId="284DC5FA" w14:textId="77777777" w:rsidR="00B7540A" w:rsidRPr="00586097" w:rsidRDefault="00B7540A" w:rsidP="00B7540A">
            <w:pPr>
              <w:spacing w:before="0" w:after="0" w:line="276" w:lineRule="auto"/>
              <w:ind w:firstLine="0"/>
              <w:jc w:val="left"/>
              <w:rPr>
                <w:rFonts w:cs="Calibri"/>
                <w:i/>
                <w:iCs/>
                <w:color w:val="000000"/>
              </w:rPr>
            </w:pPr>
            <w:r w:rsidRPr="00586097">
              <w:rPr>
                <w:rFonts w:cs="Calibri"/>
                <w:i/>
                <w:iCs/>
                <w:color w:val="000000"/>
              </w:rPr>
              <w:t>Թիրախային սցենար</w:t>
            </w:r>
          </w:p>
        </w:tc>
        <w:tc>
          <w:tcPr>
            <w:tcW w:w="1450" w:type="dxa"/>
            <w:vAlign w:val="center"/>
          </w:tcPr>
          <w:p w14:paraId="4AB0BD2B"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-7.4</w:t>
            </w:r>
          </w:p>
        </w:tc>
        <w:tc>
          <w:tcPr>
            <w:tcW w:w="1280" w:type="dxa"/>
            <w:shd w:val="clear" w:color="auto" w:fill="auto"/>
            <w:noWrap/>
            <w:vAlign w:val="center"/>
          </w:tcPr>
          <w:p w14:paraId="7956010B"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6.0</w:t>
            </w:r>
          </w:p>
        </w:tc>
        <w:tc>
          <w:tcPr>
            <w:tcW w:w="1065" w:type="dxa"/>
            <w:shd w:val="clear" w:color="auto" w:fill="auto"/>
            <w:vAlign w:val="center"/>
          </w:tcPr>
          <w:p w14:paraId="73730ECF"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7.1</w:t>
            </w:r>
          </w:p>
        </w:tc>
        <w:tc>
          <w:tcPr>
            <w:tcW w:w="1230" w:type="dxa"/>
            <w:shd w:val="clear" w:color="auto" w:fill="auto"/>
            <w:noWrap/>
            <w:vAlign w:val="center"/>
          </w:tcPr>
          <w:p w14:paraId="200C194E"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7.1</w:t>
            </w:r>
          </w:p>
        </w:tc>
        <w:tc>
          <w:tcPr>
            <w:tcW w:w="1221" w:type="dxa"/>
            <w:shd w:val="clear" w:color="auto" w:fill="auto"/>
            <w:noWrap/>
            <w:vAlign w:val="center"/>
          </w:tcPr>
          <w:p w14:paraId="0B3393CA"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7.0</w:t>
            </w:r>
          </w:p>
        </w:tc>
      </w:tr>
      <w:tr w:rsidR="00B7540A" w:rsidRPr="00586097" w14:paraId="40035D76" w14:textId="77777777" w:rsidTr="00B7540A">
        <w:trPr>
          <w:trHeight w:val="316"/>
        </w:trPr>
        <w:tc>
          <w:tcPr>
            <w:tcW w:w="1548" w:type="dxa"/>
            <w:vMerge/>
            <w:shd w:val="clear" w:color="auto" w:fill="auto"/>
            <w:vAlign w:val="center"/>
            <w:hideMark/>
          </w:tcPr>
          <w:p w14:paraId="67A4E0D3" w14:textId="77777777" w:rsidR="00B7540A" w:rsidRPr="00586097" w:rsidRDefault="00B7540A" w:rsidP="00B7540A">
            <w:pPr>
              <w:spacing w:before="0" w:after="0" w:line="276" w:lineRule="auto"/>
              <w:ind w:firstLine="0"/>
              <w:jc w:val="left"/>
              <w:rPr>
                <w:rFonts w:cs="Calibri"/>
                <w:b/>
                <w:bCs/>
                <w:color w:val="000000"/>
              </w:rPr>
            </w:pPr>
          </w:p>
        </w:tc>
        <w:tc>
          <w:tcPr>
            <w:tcW w:w="2124" w:type="dxa"/>
            <w:shd w:val="clear" w:color="auto" w:fill="auto"/>
            <w:vAlign w:val="center"/>
            <w:hideMark/>
          </w:tcPr>
          <w:p w14:paraId="3B51E0A9" w14:textId="77777777" w:rsidR="00B7540A" w:rsidRPr="00586097" w:rsidRDefault="00B7540A" w:rsidP="00B7540A">
            <w:pPr>
              <w:spacing w:before="0" w:after="0" w:line="276" w:lineRule="auto"/>
              <w:ind w:firstLine="0"/>
              <w:jc w:val="left"/>
              <w:rPr>
                <w:rFonts w:cs="Calibri"/>
                <w:i/>
                <w:iCs/>
                <w:color w:val="000000"/>
              </w:rPr>
            </w:pPr>
            <w:r w:rsidRPr="00586097">
              <w:rPr>
                <w:rFonts w:cs="Calibri"/>
                <w:i/>
                <w:iCs/>
                <w:color w:val="000000"/>
              </w:rPr>
              <w:t>2022-2024 ՄԺԾԾ</w:t>
            </w:r>
          </w:p>
        </w:tc>
        <w:tc>
          <w:tcPr>
            <w:tcW w:w="1450" w:type="dxa"/>
            <w:vAlign w:val="center"/>
          </w:tcPr>
          <w:p w14:paraId="4F247D59"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-7.4</w:t>
            </w:r>
          </w:p>
        </w:tc>
        <w:tc>
          <w:tcPr>
            <w:tcW w:w="1280" w:type="dxa"/>
            <w:shd w:val="clear" w:color="auto" w:fill="auto"/>
            <w:noWrap/>
            <w:vAlign w:val="center"/>
            <w:hideMark/>
          </w:tcPr>
          <w:p w14:paraId="45E9A3E3"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6.0</w:t>
            </w:r>
          </w:p>
        </w:tc>
        <w:tc>
          <w:tcPr>
            <w:tcW w:w="1065" w:type="dxa"/>
            <w:shd w:val="clear" w:color="auto" w:fill="auto"/>
            <w:vAlign w:val="center"/>
            <w:hideMark/>
          </w:tcPr>
          <w:p w14:paraId="2F410C2A"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5.2</w:t>
            </w:r>
          </w:p>
        </w:tc>
        <w:tc>
          <w:tcPr>
            <w:tcW w:w="1230" w:type="dxa"/>
            <w:shd w:val="clear" w:color="auto" w:fill="auto"/>
            <w:noWrap/>
            <w:vAlign w:val="center"/>
            <w:hideMark/>
          </w:tcPr>
          <w:p w14:paraId="6D7C72C8"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3.7</w:t>
            </w:r>
          </w:p>
        </w:tc>
        <w:tc>
          <w:tcPr>
            <w:tcW w:w="1221" w:type="dxa"/>
            <w:shd w:val="clear" w:color="auto" w:fill="auto"/>
            <w:noWrap/>
            <w:vAlign w:val="center"/>
            <w:hideMark/>
          </w:tcPr>
          <w:p w14:paraId="5A4C6674"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4.0</w:t>
            </w:r>
          </w:p>
        </w:tc>
      </w:tr>
      <w:tr w:rsidR="00B7540A" w:rsidRPr="00586097" w14:paraId="522476B7" w14:textId="77777777" w:rsidTr="00B7540A">
        <w:trPr>
          <w:trHeight w:val="316"/>
        </w:trPr>
        <w:tc>
          <w:tcPr>
            <w:tcW w:w="1548" w:type="dxa"/>
            <w:vMerge/>
            <w:vAlign w:val="center"/>
            <w:hideMark/>
          </w:tcPr>
          <w:p w14:paraId="5C25523B" w14:textId="77777777" w:rsidR="00B7540A" w:rsidRPr="00586097" w:rsidRDefault="00B7540A" w:rsidP="00B7540A">
            <w:pPr>
              <w:spacing w:before="0" w:after="0" w:line="276" w:lineRule="auto"/>
              <w:ind w:firstLine="0"/>
              <w:jc w:val="left"/>
              <w:rPr>
                <w:rFonts w:cs="Calibri"/>
                <w:b/>
                <w:bCs/>
                <w:color w:val="000000"/>
              </w:rPr>
            </w:pPr>
          </w:p>
        </w:tc>
        <w:tc>
          <w:tcPr>
            <w:tcW w:w="2124" w:type="dxa"/>
            <w:shd w:val="clear" w:color="auto" w:fill="auto"/>
            <w:vAlign w:val="center"/>
            <w:hideMark/>
          </w:tcPr>
          <w:p w14:paraId="1ED07D86" w14:textId="77777777" w:rsidR="00B7540A" w:rsidRPr="00586097" w:rsidRDefault="00B7540A" w:rsidP="00B7540A">
            <w:pPr>
              <w:spacing w:before="0" w:after="0" w:line="276" w:lineRule="auto"/>
              <w:ind w:firstLine="0"/>
              <w:jc w:val="left"/>
              <w:rPr>
                <w:rFonts w:cs="Calibri"/>
                <w:i/>
                <w:iCs/>
                <w:color w:val="000000"/>
              </w:rPr>
            </w:pPr>
            <w:r w:rsidRPr="00586097">
              <w:rPr>
                <w:rFonts w:cs="Calibri"/>
                <w:i/>
                <w:iCs/>
                <w:color w:val="000000"/>
              </w:rPr>
              <w:t>2021 Պետական բյուջե</w:t>
            </w:r>
          </w:p>
        </w:tc>
        <w:tc>
          <w:tcPr>
            <w:tcW w:w="1450" w:type="dxa"/>
            <w:vAlign w:val="center"/>
          </w:tcPr>
          <w:p w14:paraId="3F6C3A39" w14:textId="77777777" w:rsidR="00B7540A" w:rsidRPr="00586097" w:rsidRDefault="00B7540A" w:rsidP="00B7540A">
            <w:pPr>
              <w:spacing w:before="0" w:after="0" w:line="276" w:lineRule="auto"/>
              <w:ind w:firstLine="0"/>
              <w:jc w:val="center"/>
              <w:rPr>
                <w:rFonts w:cs="Calibri"/>
                <w:color w:val="000000"/>
                <w:highlight w:val="yellow"/>
              </w:rPr>
            </w:pPr>
            <w:r w:rsidRPr="00586097">
              <w:rPr>
                <w:rFonts w:cs="Calibri"/>
                <w:color w:val="000000"/>
              </w:rPr>
              <w:t>-7.9</w:t>
            </w:r>
          </w:p>
        </w:tc>
        <w:tc>
          <w:tcPr>
            <w:tcW w:w="1280" w:type="dxa"/>
            <w:shd w:val="clear" w:color="auto" w:fill="auto"/>
            <w:noWrap/>
            <w:vAlign w:val="center"/>
            <w:hideMark/>
          </w:tcPr>
          <w:p w14:paraId="36026D8E" w14:textId="77777777" w:rsidR="00B7540A" w:rsidRPr="00586097" w:rsidRDefault="00B7540A" w:rsidP="00B7540A">
            <w:pPr>
              <w:spacing w:before="0" w:after="0" w:line="276" w:lineRule="auto"/>
              <w:ind w:firstLine="0"/>
              <w:jc w:val="center"/>
              <w:rPr>
                <w:rFonts w:cs="Calibri"/>
                <w:color w:val="000000"/>
                <w:highlight w:val="yellow"/>
              </w:rPr>
            </w:pPr>
            <w:r w:rsidRPr="00586097">
              <w:rPr>
                <w:rFonts w:cs="Calibri"/>
                <w:color w:val="000000"/>
              </w:rPr>
              <w:t>3.2</w:t>
            </w:r>
          </w:p>
        </w:tc>
        <w:tc>
          <w:tcPr>
            <w:tcW w:w="1065" w:type="dxa"/>
            <w:shd w:val="clear" w:color="auto" w:fill="auto"/>
            <w:vAlign w:val="center"/>
            <w:hideMark/>
          </w:tcPr>
          <w:p w14:paraId="1631BA0E"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w:t>
            </w:r>
          </w:p>
        </w:tc>
        <w:tc>
          <w:tcPr>
            <w:tcW w:w="1230" w:type="dxa"/>
            <w:shd w:val="clear" w:color="auto" w:fill="auto"/>
            <w:noWrap/>
            <w:vAlign w:val="center"/>
            <w:hideMark/>
          </w:tcPr>
          <w:p w14:paraId="0CBB59EB"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w:t>
            </w:r>
          </w:p>
        </w:tc>
        <w:tc>
          <w:tcPr>
            <w:tcW w:w="1221" w:type="dxa"/>
            <w:shd w:val="clear" w:color="auto" w:fill="auto"/>
            <w:noWrap/>
            <w:vAlign w:val="center"/>
            <w:hideMark/>
          </w:tcPr>
          <w:p w14:paraId="0A755402"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w:t>
            </w:r>
          </w:p>
        </w:tc>
      </w:tr>
      <w:tr w:rsidR="00B7540A" w:rsidRPr="00586097" w14:paraId="07503586" w14:textId="77777777" w:rsidTr="00B7540A">
        <w:trPr>
          <w:trHeight w:val="316"/>
        </w:trPr>
        <w:tc>
          <w:tcPr>
            <w:tcW w:w="1548" w:type="dxa"/>
            <w:vMerge/>
            <w:vAlign w:val="center"/>
            <w:hideMark/>
          </w:tcPr>
          <w:p w14:paraId="5BEB27D7" w14:textId="77777777" w:rsidR="00B7540A" w:rsidRPr="00586097" w:rsidRDefault="00B7540A" w:rsidP="00B7540A">
            <w:pPr>
              <w:spacing w:before="0" w:after="0" w:line="276" w:lineRule="auto"/>
              <w:ind w:firstLine="0"/>
              <w:jc w:val="left"/>
              <w:rPr>
                <w:rFonts w:cs="Calibri"/>
                <w:b/>
                <w:bCs/>
                <w:color w:val="000000"/>
              </w:rPr>
            </w:pPr>
          </w:p>
        </w:tc>
        <w:tc>
          <w:tcPr>
            <w:tcW w:w="2124" w:type="dxa"/>
            <w:shd w:val="clear" w:color="auto" w:fill="auto"/>
            <w:vAlign w:val="center"/>
            <w:hideMark/>
          </w:tcPr>
          <w:p w14:paraId="67644961" w14:textId="77777777" w:rsidR="00B7540A" w:rsidRPr="00586097" w:rsidRDefault="00B7540A" w:rsidP="00B7540A">
            <w:pPr>
              <w:spacing w:before="0" w:after="0" w:line="276" w:lineRule="auto"/>
              <w:ind w:firstLine="0"/>
              <w:jc w:val="left"/>
              <w:rPr>
                <w:rFonts w:cs="Calibri"/>
                <w:i/>
                <w:iCs/>
                <w:color w:val="000000"/>
              </w:rPr>
            </w:pPr>
            <w:r w:rsidRPr="00586097">
              <w:rPr>
                <w:rFonts w:cs="Calibri"/>
                <w:i/>
                <w:iCs/>
                <w:color w:val="000000"/>
              </w:rPr>
              <w:t>2021-2023 ՄԺԾԾ</w:t>
            </w:r>
          </w:p>
        </w:tc>
        <w:tc>
          <w:tcPr>
            <w:tcW w:w="1450" w:type="dxa"/>
            <w:vAlign w:val="center"/>
          </w:tcPr>
          <w:p w14:paraId="0D600C1F"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-2.6</w:t>
            </w:r>
          </w:p>
        </w:tc>
        <w:tc>
          <w:tcPr>
            <w:tcW w:w="1280" w:type="dxa"/>
            <w:shd w:val="clear" w:color="auto" w:fill="auto"/>
            <w:noWrap/>
            <w:vAlign w:val="center"/>
          </w:tcPr>
          <w:p w14:paraId="38BDBABC"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7.0</w:t>
            </w:r>
          </w:p>
        </w:tc>
        <w:tc>
          <w:tcPr>
            <w:tcW w:w="1065" w:type="dxa"/>
            <w:shd w:val="clear" w:color="auto" w:fill="auto"/>
            <w:vAlign w:val="center"/>
          </w:tcPr>
          <w:p w14:paraId="61B17DFC"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6.4</w:t>
            </w:r>
          </w:p>
        </w:tc>
        <w:tc>
          <w:tcPr>
            <w:tcW w:w="1230" w:type="dxa"/>
            <w:shd w:val="clear" w:color="auto" w:fill="auto"/>
            <w:noWrap/>
            <w:vAlign w:val="center"/>
          </w:tcPr>
          <w:p w14:paraId="713B1585"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5.1</w:t>
            </w:r>
          </w:p>
        </w:tc>
        <w:tc>
          <w:tcPr>
            <w:tcW w:w="1221" w:type="dxa"/>
            <w:shd w:val="clear" w:color="auto" w:fill="auto"/>
            <w:noWrap/>
            <w:vAlign w:val="center"/>
            <w:hideMark/>
          </w:tcPr>
          <w:p w14:paraId="02B57B84"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w:t>
            </w:r>
          </w:p>
        </w:tc>
      </w:tr>
      <w:tr w:rsidR="00B7540A" w:rsidRPr="00586097" w14:paraId="437151C3" w14:textId="77777777" w:rsidTr="00B7540A">
        <w:trPr>
          <w:trHeight w:val="316"/>
        </w:trPr>
        <w:tc>
          <w:tcPr>
            <w:tcW w:w="1548" w:type="dxa"/>
            <w:vMerge w:val="restart"/>
            <w:shd w:val="clear" w:color="auto" w:fill="auto"/>
            <w:vAlign w:val="center"/>
          </w:tcPr>
          <w:p w14:paraId="2B21FC7F" w14:textId="77777777" w:rsidR="00B7540A" w:rsidRPr="00586097" w:rsidRDefault="00B7540A" w:rsidP="00B7540A">
            <w:pPr>
              <w:spacing w:before="0" w:after="0" w:line="276" w:lineRule="auto"/>
              <w:ind w:firstLine="0"/>
              <w:jc w:val="left"/>
              <w:rPr>
                <w:rFonts w:cs="Calibri"/>
                <w:b/>
                <w:bCs/>
                <w:color w:val="000000"/>
              </w:rPr>
            </w:pPr>
            <w:r w:rsidRPr="00586097">
              <w:rPr>
                <w:rFonts w:cs="Calibri"/>
                <w:b/>
                <w:bCs/>
                <w:color w:val="000000"/>
              </w:rPr>
              <w:t>ՀՆԱ-ի դեֆլյատորի աճ, %</w:t>
            </w:r>
          </w:p>
        </w:tc>
        <w:tc>
          <w:tcPr>
            <w:tcW w:w="2124" w:type="dxa"/>
            <w:shd w:val="clear" w:color="auto" w:fill="auto"/>
            <w:vAlign w:val="center"/>
          </w:tcPr>
          <w:p w14:paraId="51E0620D" w14:textId="77777777" w:rsidR="00B7540A" w:rsidRPr="00586097" w:rsidRDefault="00B7540A" w:rsidP="00B7540A">
            <w:pPr>
              <w:spacing w:before="0" w:after="0" w:line="276" w:lineRule="auto"/>
              <w:ind w:firstLine="0"/>
              <w:jc w:val="left"/>
              <w:rPr>
                <w:rFonts w:cs="Calibri"/>
                <w:i/>
                <w:iCs/>
                <w:color w:val="000000"/>
              </w:rPr>
            </w:pPr>
            <w:r w:rsidRPr="00586097">
              <w:rPr>
                <w:rFonts w:cs="Calibri"/>
                <w:i/>
                <w:iCs/>
                <w:color w:val="000000"/>
              </w:rPr>
              <w:t>Թիրախային սցենար</w:t>
            </w:r>
          </w:p>
        </w:tc>
        <w:tc>
          <w:tcPr>
            <w:tcW w:w="1450" w:type="dxa"/>
            <w:vAlign w:val="center"/>
          </w:tcPr>
          <w:p w14:paraId="281E7A15"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2.0</w:t>
            </w:r>
          </w:p>
        </w:tc>
        <w:tc>
          <w:tcPr>
            <w:tcW w:w="1280" w:type="dxa"/>
            <w:shd w:val="clear" w:color="auto" w:fill="auto"/>
            <w:noWrap/>
            <w:vAlign w:val="center"/>
          </w:tcPr>
          <w:p w14:paraId="343E4242" w14:textId="77777777" w:rsidR="00B7540A" w:rsidRPr="00586097" w:rsidRDefault="00B7540A" w:rsidP="00B7540A">
            <w:pPr>
              <w:spacing w:before="0" w:after="0" w:line="276" w:lineRule="auto"/>
              <w:ind w:firstLine="0"/>
              <w:jc w:val="center"/>
              <w:rPr>
                <w:rFonts w:cs="Calibri"/>
              </w:rPr>
            </w:pPr>
            <w:r w:rsidRPr="00586097">
              <w:rPr>
                <w:rFonts w:cs="Calibri"/>
              </w:rPr>
              <w:t>5.0</w:t>
            </w:r>
          </w:p>
        </w:tc>
        <w:tc>
          <w:tcPr>
            <w:tcW w:w="1065" w:type="dxa"/>
            <w:shd w:val="clear" w:color="auto" w:fill="auto"/>
            <w:vAlign w:val="center"/>
          </w:tcPr>
          <w:p w14:paraId="5380B485" w14:textId="77777777" w:rsidR="00B7540A" w:rsidRPr="00586097" w:rsidRDefault="00B7540A" w:rsidP="00B7540A">
            <w:pPr>
              <w:spacing w:before="0" w:after="0" w:line="276" w:lineRule="auto"/>
              <w:ind w:firstLine="0"/>
              <w:jc w:val="center"/>
              <w:rPr>
                <w:rFonts w:cs="Calibri"/>
              </w:rPr>
            </w:pPr>
            <w:r w:rsidRPr="00586097">
              <w:rPr>
                <w:rFonts w:cs="Calibri"/>
              </w:rPr>
              <w:t>4.6</w:t>
            </w:r>
          </w:p>
        </w:tc>
        <w:tc>
          <w:tcPr>
            <w:tcW w:w="1230" w:type="dxa"/>
            <w:shd w:val="clear" w:color="auto" w:fill="auto"/>
            <w:noWrap/>
            <w:vAlign w:val="center"/>
          </w:tcPr>
          <w:p w14:paraId="0B9A244B" w14:textId="77777777" w:rsidR="00B7540A" w:rsidRPr="00586097" w:rsidRDefault="00B7540A" w:rsidP="00B7540A">
            <w:pPr>
              <w:spacing w:before="0" w:after="0" w:line="276" w:lineRule="auto"/>
              <w:ind w:firstLine="0"/>
              <w:jc w:val="center"/>
              <w:rPr>
                <w:rFonts w:cs="Calibri"/>
              </w:rPr>
            </w:pPr>
            <w:r w:rsidRPr="00586097">
              <w:rPr>
                <w:rFonts w:cs="Calibri"/>
              </w:rPr>
              <w:t>4.0</w:t>
            </w:r>
          </w:p>
        </w:tc>
        <w:tc>
          <w:tcPr>
            <w:tcW w:w="1221" w:type="dxa"/>
            <w:tcBorders>
              <w:bottom w:val="single" w:sz="4" w:space="0" w:color="4472C4"/>
            </w:tcBorders>
            <w:shd w:val="clear" w:color="auto" w:fill="auto"/>
            <w:noWrap/>
            <w:vAlign w:val="center"/>
          </w:tcPr>
          <w:p w14:paraId="336EF9C9" w14:textId="77777777" w:rsidR="00B7540A" w:rsidRPr="00586097" w:rsidRDefault="00B7540A" w:rsidP="00B7540A">
            <w:pPr>
              <w:spacing w:before="0" w:after="0" w:line="276" w:lineRule="auto"/>
              <w:ind w:firstLine="0"/>
              <w:jc w:val="center"/>
              <w:rPr>
                <w:rFonts w:cs="Calibri"/>
              </w:rPr>
            </w:pPr>
            <w:r w:rsidRPr="00586097">
              <w:rPr>
                <w:rFonts w:cs="Calibri"/>
              </w:rPr>
              <w:t>4.0</w:t>
            </w:r>
          </w:p>
        </w:tc>
      </w:tr>
      <w:tr w:rsidR="00B7540A" w:rsidRPr="00586097" w14:paraId="43466369" w14:textId="77777777" w:rsidTr="00B7540A">
        <w:trPr>
          <w:trHeight w:val="316"/>
        </w:trPr>
        <w:tc>
          <w:tcPr>
            <w:tcW w:w="1548" w:type="dxa"/>
            <w:vMerge/>
            <w:shd w:val="clear" w:color="auto" w:fill="auto"/>
            <w:vAlign w:val="center"/>
            <w:hideMark/>
          </w:tcPr>
          <w:p w14:paraId="6D5A7317" w14:textId="77777777" w:rsidR="00B7540A" w:rsidRPr="00586097" w:rsidRDefault="00B7540A" w:rsidP="00B7540A">
            <w:pPr>
              <w:spacing w:before="0" w:after="0" w:line="276" w:lineRule="auto"/>
              <w:ind w:firstLine="0"/>
              <w:jc w:val="left"/>
              <w:rPr>
                <w:rFonts w:cs="Calibri"/>
                <w:b/>
                <w:bCs/>
                <w:color w:val="000000"/>
              </w:rPr>
            </w:pPr>
          </w:p>
        </w:tc>
        <w:tc>
          <w:tcPr>
            <w:tcW w:w="2124" w:type="dxa"/>
            <w:shd w:val="clear" w:color="auto" w:fill="auto"/>
            <w:vAlign w:val="center"/>
            <w:hideMark/>
          </w:tcPr>
          <w:p w14:paraId="41FE1D9C" w14:textId="77777777" w:rsidR="00B7540A" w:rsidRPr="00586097" w:rsidRDefault="00B7540A" w:rsidP="00B7540A">
            <w:pPr>
              <w:spacing w:before="0" w:after="0" w:line="276" w:lineRule="auto"/>
              <w:ind w:firstLine="0"/>
              <w:jc w:val="left"/>
              <w:rPr>
                <w:rFonts w:cs="Calibri"/>
                <w:i/>
                <w:iCs/>
                <w:color w:val="000000"/>
              </w:rPr>
            </w:pPr>
            <w:r w:rsidRPr="00586097">
              <w:rPr>
                <w:rFonts w:cs="Calibri"/>
                <w:i/>
                <w:iCs/>
                <w:color w:val="000000"/>
              </w:rPr>
              <w:t>2022-2024 ՄԺԾԾ</w:t>
            </w:r>
          </w:p>
        </w:tc>
        <w:tc>
          <w:tcPr>
            <w:tcW w:w="1450" w:type="dxa"/>
            <w:vAlign w:val="center"/>
          </w:tcPr>
          <w:p w14:paraId="4CC2C502"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2.0</w:t>
            </w:r>
          </w:p>
        </w:tc>
        <w:tc>
          <w:tcPr>
            <w:tcW w:w="1280" w:type="dxa"/>
            <w:shd w:val="clear" w:color="auto" w:fill="auto"/>
            <w:noWrap/>
            <w:vAlign w:val="center"/>
            <w:hideMark/>
          </w:tcPr>
          <w:p w14:paraId="670CC7AC" w14:textId="77777777" w:rsidR="00B7540A" w:rsidRPr="00586097" w:rsidRDefault="00B7540A" w:rsidP="00B7540A">
            <w:pPr>
              <w:spacing w:before="0" w:after="0" w:line="276" w:lineRule="auto"/>
              <w:ind w:firstLine="0"/>
              <w:jc w:val="center"/>
              <w:rPr>
                <w:rFonts w:cs="Calibri"/>
              </w:rPr>
            </w:pPr>
            <w:r w:rsidRPr="00586097">
              <w:rPr>
                <w:rFonts w:cs="Calibri"/>
              </w:rPr>
              <w:t>5.0</w:t>
            </w:r>
          </w:p>
        </w:tc>
        <w:tc>
          <w:tcPr>
            <w:tcW w:w="1065" w:type="dxa"/>
            <w:shd w:val="clear" w:color="auto" w:fill="auto"/>
            <w:vAlign w:val="center"/>
            <w:hideMark/>
          </w:tcPr>
          <w:p w14:paraId="70550B8A" w14:textId="77777777" w:rsidR="00B7540A" w:rsidRPr="00586097" w:rsidRDefault="00B7540A" w:rsidP="00B7540A">
            <w:pPr>
              <w:spacing w:before="0" w:after="0" w:line="276" w:lineRule="auto"/>
              <w:ind w:firstLine="0"/>
              <w:jc w:val="center"/>
              <w:rPr>
                <w:rFonts w:cs="Calibri"/>
              </w:rPr>
            </w:pPr>
            <w:r w:rsidRPr="00586097">
              <w:rPr>
                <w:rFonts w:cs="Calibri"/>
              </w:rPr>
              <w:t>4.6</w:t>
            </w:r>
          </w:p>
        </w:tc>
        <w:tc>
          <w:tcPr>
            <w:tcW w:w="1230" w:type="dxa"/>
            <w:shd w:val="clear" w:color="auto" w:fill="auto"/>
            <w:noWrap/>
            <w:vAlign w:val="center"/>
            <w:hideMark/>
          </w:tcPr>
          <w:p w14:paraId="09A8A938" w14:textId="77777777" w:rsidR="00B7540A" w:rsidRPr="00586097" w:rsidRDefault="00B7540A" w:rsidP="00B7540A">
            <w:pPr>
              <w:spacing w:before="0" w:after="0" w:line="276" w:lineRule="auto"/>
              <w:ind w:firstLine="0"/>
              <w:jc w:val="center"/>
              <w:rPr>
                <w:rFonts w:cs="Calibri"/>
              </w:rPr>
            </w:pPr>
            <w:r w:rsidRPr="00586097">
              <w:rPr>
                <w:rFonts w:cs="Calibri"/>
              </w:rPr>
              <w:t>4.0</w:t>
            </w:r>
          </w:p>
        </w:tc>
        <w:tc>
          <w:tcPr>
            <w:tcW w:w="1221" w:type="dxa"/>
            <w:tcBorders>
              <w:bottom w:val="single" w:sz="4" w:space="0" w:color="4472C4"/>
            </w:tcBorders>
            <w:shd w:val="clear" w:color="auto" w:fill="auto"/>
            <w:noWrap/>
            <w:vAlign w:val="center"/>
            <w:hideMark/>
          </w:tcPr>
          <w:p w14:paraId="26707507" w14:textId="77777777" w:rsidR="00B7540A" w:rsidRPr="00586097" w:rsidRDefault="00B7540A" w:rsidP="00B7540A">
            <w:pPr>
              <w:spacing w:before="0" w:after="0" w:line="276" w:lineRule="auto"/>
              <w:ind w:firstLine="0"/>
              <w:jc w:val="center"/>
              <w:rPr>
                <w:rFonts w:cs="Calibri"/>
              </w:rPr>
            </w:pPr>
            <w:r w:rsidRPr="00586097">
              <w:rPr>
                <w:rFonts w:cs="Calibri"/>
              </w:rPr>
              <w:t>4.0</w:t>
            </w:r>
          </w:p>
        </w:tc>
      </w:tr>
      <w:tr w:rsidR="00B7540A" w:rsidRPr="00586097" w14:paraId="6862FCC6" w14:textId="77777777" w:rsidTr="00B7540A">
        <w:trPr>
          <w:trHeight w:val="316"/>
        </w:trPr>
        <w:tc>
          <w:tcPr>
            <w:tcW w:w="1548" w:type="dxa"/>
            <w:vMerge/>
            <w:vAlign w:val="center"/>
            <w:hideMark/>
          </w:tcPr>
          <w:p w14:paraId="7E609320" w14:textId="77777777" w:rsidR="00B7540A" w:rsidRPr="00586097" w:rsidRDefault="00B7540A" w:rsidP="00B7540A">
            <w:pPr>
              <w:spacing w:before="0" w:after="0" w:line="276" w:lineRule="auto"/>
              <w:ind w:firstLine="0"/>
              <w:jc w:val="left"/>
              <w:rPr>
                <w:rFonts w:cs="Calibri"/>
                <w:b/>
                <w:bCs/>
                <w:color w:val="000000"/>
              </w:rPr>
            </w:pPr>
          </w:p>
        </w:tc>
        <w:tc>
          <w:tcPr>
            <w:tcW w:w="2124" w:type="dxa"/>
            <w:shd w:val="clear" w:color="auto" w:fill="auto"/>
            <w:vAlign w:val="center"/>
            <w:hideMark/>
          </w:tcPr>
          <w:p w14:paraId="59F9269D" w14:textId="77777777" w:rsidR="00B7540A" w:rsidRPr="00586097" w:rsidRDefault="00B7540A" w:rsidP="00B7540A">
            <w:pPr>
              <w:spacing w:before="0" w:after="0" w:line="276" w:lineRule="auto"/>
              <w:ind w:firstLine="0"/>
              <w:jc w:val="left"/>
              <w:rPr>
                <w:rFonts w:cs="Calibri"/>
                <w:i/>
                <w:iCs/>
                <w:color w:val="000000"/>
              </w:rPr>
            </w:pPr>
            <w:r w:rsidRPr="00586097">
              <w:rPr>
                <w:rFonts w:cs="Calibri"/>
                <w:i/>
                <w:iCs/>
                <w:color w:val="000000"/>
              </w:rPr>
              <w:t>2021 Պետական բյուջե</w:t>
            </w:r>
          </w:p>
        </w:tc>
        <w:tc>
          <w:tcPr>
            <w:tcW w:w="1450" w:type="dxa"/>
            <w:vAlign w:val="center"/>
          </w:tcPr>
          <w:p w14:paraId="464B35C4" w14:textId="77777777" w:rsidR="00B7540A" w:rsidRPr="00586097" w:rsidRDefault="00B7540A" w:rsidP="00B7540A">
            <w:pPr>
              <w:spacing w:before="0" w:after="0" w:line="276" w:lineRule="auto"/>
              <w:ind w:firstLine="0"/>
              <w:jc w:val="center"/>
              <w:rPr>
                <w:rFonts w:cs="Calibri"/>
                <w:color w:val="000000"/>
                <w:highlight w:val="yellow"/>
              </w:rPr>
            </w:pPr>
            <w:r w:rsidRPr="00586097">
              <w:rPr>
                <w:rFonts w:cs="Calibri"/>
                <w:color w:val="000000"/>
              </w:rPr>
              <w:t>0.4</w:t>
            </w:r>
          </w:p>
        </w:tc>
        <w:tc>
          <w:tcPr>
            <w:tcW w:w="1280" w:type="dxa"/>
            <w:shd w:val="clear" w:color="auto" w:fill="auto"/>
            <w:noWrap/>
            <w:vAlign w:val="center"/>
            <w:hideMark/>
          </w:tcPr>
          <w:p w14:paraId="4E5A8D26" w14:textId="77777777" w:rsidR="00B7540A" w:rsidRPr="00586097" w:rsidRDefault="00B7540A" w:rsidP="00B7540A">
            <w:pPr>
              <w:spacing w:before="0" w:after="0" w:line="276" w:lineRule="auto"/>
              <w:ind w:firstLine="0"/>
              <w:jc w:val="center"/>
              <w:rPr>
                <w:rFonts w:cs="Calibri"/>
                <w:color w:val="000000"/>
                <w:highlight w:val="yellow"/>
              </w:rPr>
            </w:pPr>
            <w:r w:rsidRPr="00586097">
              <w:rPr>
                <w:rFonts w:cs="Calibri"/>
                <w:color w:val="000000"/>
              </w:rPr>
              <w:t>2.0</w:t>
            </w:r>
          </w:p>
        </w:tc>
        <w:tc>
          <w:tcPr>
            <w:tcW w:w="1065" w:type="dxa"/>
            <w:shd w:val="clear" w:color="auto" w:fill="auto"/>
            <w:vAlign w:val="center"/>
            <w:hideMark/>
          </w:tcPr>
          <w:p w14:paraId="02E5C8B2"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w:t>
            </w:r>
          </w:p>
        </w:tc>
        <w:tc>
          <w:tcPr>
            <w:tcW w:w="1230" w:type="dxa"/>
            <w:shd w:val="clear" w:color="auto" w:fill="auto"/>
            <w:noWrap/>
            <w:vAlign w:val="center"/>
            <w:hideMark/>
          </w:tcPr>
          <w:p w14:paraId="4450F8A1"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w:t>
            </w:r>
          </w:p>
        </w:tc>
        <w:tc>
          <w:tcPr>
            <w:tcW w:w="1221" w:type="dxa"/>
            <w:tcBorders>
              <w:top w:val="single" w:sz="4" w:space="0" w:color="4472C4"/>
            </w:tcBorders>
            <w:shd w:val="clear" w:color="auto" w:fill="auto"/>
            <w:noWrap/>
            <w:vAlign w:val="center"/>
            <w:hideMark/>
          </w:tcPr>
          <w:p w14:paraId="715F1985"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w:t>
            </w:r>
          </w:p>
        </w:tc>
      </w:tr>
      <w:tr w:rsidR="00B7540A" w:rsidRPr="00586097" w14:paraId="2DEC1630" w14:textId="77777777" w:rsidTr="00B7540A">
        <w:trPr>
          <w:trHeight w:val="316"/>
        </w:trPr>
        <w:tc>
          <w:tcPr>
            <w:tcW w:w="1548" w:type="dxa"/>
            <w:vMerge/>
            <w:vAlign w:val="center"/>
            <w:hideMark/>
          </w:tcPr>
          <w:p w14:paraId="388822B4" w14:textId="77777777" w:rsidR="00B7540A" w:rsidRPr="00586097" w:rsidRDefault="00B7540A" w:rsidP="00B7540A">
            <w:pPr>
              <w:spacing w:before="0" w:after="0" w:line="276" w:lineRule="auto"/>
              <w:ind w:firstLine="0"/>
              <w:jc w:val="left"/>
              <w:rPr>
                <w:rFonts w:cs="Calibri"/>
                <w:b/>
                <w:bCs/>
                <w:color w:val="000000"/>
              </w:rPr>
            </w:pPr>
          </w:p>
        </w:tc>
        <w:tc>
          <w:tcPr>
            <w:tcW w:w="2124" w:type="dxa"/>
            <w:shd w:val="clear" w:color="auto" w:fill="auto"/>
            <w:vAlign w:val="center"/>
            <w:hideMark/>
          </w:tcPr>
          <w:p w14:paraId="59A82702" w14:textId="77777777" w:rsidR="00B7540A" w:rsidRPr="00586097" w:rsidRDefault="00B7540A" w:rsidP="00B7540A">
            <w:pPr>
              <w:spacing w:before="0" w:after="0" w:line="276" w:lineRule="auto"/>
              <w:ind w:firstLine="0"/>
              <w:jc w:val="left"/>
              <w:rPr>
                <w:rFonts w:cs="Calibri"/>
                <w:i/>
                <w:iCs/>
                <w:color w:val="000000"/>
              </w:rPr>
            </w:pPr>
            <w:r w:rsidRPr="00586097">
              <w:rPr>
                <w:rFonts w:cs="Calibri"/>
                <w:i/>
                <w:iCs/>
                <w:color w:val="000000"/>
              </w:rPr>
              <w:t>2021-2023 ՄԺԾԾ</w:t>
            </w:r>
          </w:p>
        </w:tc>
        <w:tc>
          <w:tcPr>
            <w:tcW w:w="1450" w:type="dxa"/>
            <w:vAlign w:val="center"/>
          </w:tcPr>
          <w:p w14:paraId="22ED6CD7"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1.7</w:t>
            </w:r>
          </w:p>
        </w:tc>
        <w:tc>
          <w:tcPr>
            <w:tcW w:w="1280" w:type="dxa"/>
            <w:shd w:val="clear" w:color="auto" w:fill="auto"/>
            <w:noWrap/>
            <w:vAlign w:val="center"/>
          </w:tcPr>
          <w:p w14:paraId="09754A47"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2.7</w:t>
            </w:r>
          </w:p>
        </w:tc>
        <w:tc>
          <w:tcPr>
            <w:tcW w:w="1065" w:type="dxa"/>
            <w:shd w:val="clear" w:color="auto" w:fill="auto"/>
            <w:vAlign w:val="center"/>
          </w:tcPr>
          <w:p w14:paraId="73AF34EC"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3.4</w:t>
            </w:r>
          </w:p>
        </w:tc>
        <w:tc>
          <w:tcPr>
            <w:tcW w:w="1230" w:type="dxa"/>
            <w:shd w:val="clear" w:color="auto" w:fill="auto"/>
            <w:noWrap/>
            <w:vAlign w:val="center"/>
          </w:tcPr>
          <w:p w14:paraId="238E253E"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4.0</w:t>
            </w:r>
          </w:p>
        </w:tc>
        <w:tc>
          <w:tcPr>
            <w:tcW w:w="1221" w:type="dxa"/>
            <w:shd w:val="clear" w:color="auto" w:fill="auto"/>
            <w:noWrap/>
            <w:vAlign w:val="center"/>
            <w:hideMark/>
          </w:tcPr>
          <w:p w14:paraId="1F377765"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w:t>
            </w:r>
          </w:p>
        </w:tc>
      </w:tr>
    </w:tbl>
    <w:p w14:paraId="551C07A1" w14:textId="77777777" w:rsidR="00B7540A" w:rsidRPr="00586097" w:rsidRDefault="00B7540A" w:rsidP="0027114B">
      <w:pPr>
        <w:pStyle w:val="afd"/>
      </w:pPr>
      <w:r w:rsidRPr="00586097">
        <w:t xml:space="preserve">* 2022-2024 ՄԺԾԾ համար 2020թ. ցուցանիշները փաստացի են </w:t>
      </w:r>
    </w:p>
    <w:p w14:paraId="2F5D7D50" w14:textId="77777777" w:rsidR="00B7540A" w:rsidRPr="00110C23" w:rsidRDefault="00B7540A" w:rsidP="0027114B">
      <w:pPr>
        <w:pStyle w:val="afd"/>
        <w:rPr>
          <w:rFonts w:cs="Sylfaen"/>
          <w:b/>
          <w:bCs/>
          <w:color w:val="4F81BD"/>
        </w:rPr>
      </w:pPr>
      <w:r w:rsidRPr="00110C23">
        <w:t>Աղբյուրը ՝ ՀՀ ՖՆ կանխատեսումներ</w:t>
      </w:r>
    </w:p>
    <w:p w14:paraId="309D2707" w14:textId="77777777" w:rsidR="00B7540A" w:rsidRPr="005849E3" w:rsidRDefault="00B7540A" w:rsidP="00B7540A">
      <w:pPr>
        <w:spacing w:before="0" w:after="0" w:line="276" w:lineRule="auto"/>
        <w:ind w:firstLine="0"/>
        <w:rPr>
          <w:rFonts w:eastAsia="Calibri" w:cs="Sylfaen"/>
          <w:b/>
          <w:bCs/>
          <w:i/>
          <w:iCs/>
          <w:color w:val="4F81BD"/>
          <w:lang w:val="hy-AM"/>
        </w:rPr>
      </w:pPr>
    </w:p>
    <w:p w14:paraId="17EEFD87" w14:textId="77777777" w:rsidR="00B7540A" w:rsidRPr="005849E3" w:rsidRDefault="00B7540A" w:rsidP="00B7540A">
      <w:pPr>
        <w:spacing w:before="0" w:after="0" w:line="276" w:lineRule="auto"/>
        <w:ind w:firstLine="0"/>
        <w:rPr>
          <w:rFonts w:eastAsia="Calibri" w:cs="Sylfaen"/>
          <w:b/>
          <w:bCs/>
          <w:i/>
          <w:iCs/>
          <w:color w:val="4F81BD"/>
          <w:lang w:val="hy-AM"/>
        </w:rPr>
      </w:pPr>
    </w:p>
    <w:p w14:paraId="4680F08B" w14:textId="77777777" w:rsidR="007309DA" w:rsidRPr="005849E3" w:rsidRDefault="007309DA" w:rsidP="00B7540A">
      <w:pPr>
        <w:spacing w:before="0" w:after="0" w:line="276" w:lineRule="auto"/>
        <w:ind w:firstLine="0"/>
        <w:rPr>
          <w:rFonts w:eastAsia="Calibri" w:cs="Sylfaen"/>
          <w:b/>
          <w:bCs/>
          <w:i/>
          <w:iCs/>
          <w:color w:val="4F81BD"/>
          <w:lang w:val="hy-AM"/>
        </w:rPr>
      </w:pPr>
    </w:p>
    <w:p w14:paraId="5B98EFCB" w14:textId="77777777" w:rsidR="007309DA" w:rsidRPr="005849E3" w:rsidRDefault="007309DA" w:rsidP="00B7540A">
      <w:pPr>
        <w:spacing w:before="0" w:after="0" w:line="276" w:lineRule="auto"/>
        <w:ind w:firstLine="0"/>
        <w:rPr>
          <w:rFonts w:eastAsia="Calibri" w:cs="Sylfaen"/>
          <w:b/>
          <w:bCs/>
          <w:i/>
          <w:iCs/>
          <w:color w:val="4F81BD"/>
          <w:lang w:val="hy-AM"/>
        </w:rPr>
      </w:pPr>
    </w:p>
    <w:p w14:paraId="15341CC9" w14:textId="77777777" w:rsidR="007309DA" w:rsidRPr="005849E3" w:rsidRDefault="007309DA" w:rsidP="00B7540A">
      <w:pPr>
        <w:spacing w:before="0" w:after="0" w:line="276" w:lineRule="auto"/>
        <w:ind w:firstLine="0"/>
        <w:rPr>
          <w:rFonts w:eastAsia="Calibri" w:cs="Sylfaen"/>
          <w:b/>
          <w:bCs/>
          <w:i/>
          <w:iCs/>
          <w:color w:val="4F81BD"/>
          <w:lang w:val="hy-AM"/>
        </w:rPr>
      </w:pPr>
    </w:p>
    <w:p w14:paraId="0B40FCED" w14:textId="77777777" w:rsidR="00B7540A" w:rsidRPr="00586097" w:rsidRDefault="00B7540A" w:rsidP="00B7540A">
      <w:pPr>
        <w:pStyle w:val="afa"/>
        <w:spacing w:line="276" w:lineRule="auto"/>
        <w:ind w:firstLine="0"/>
      </w:pPr>
      <w:r w:rsidRPr="00586097">
        <w:t>Աղյուսակ 1.6. Ընթացիկ հաշվի կանխատեսումները</w:t>
      </w:r>
    </w:p>
    <w:tbl>
      <w:tblPr>
        <w:tblW w:w="9936"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925"/>
        <w:gridCol w:w="2044"/>
        <w:gridCol w:w="1657"/>
        <w:gridCol w:w="1056"/>
        <w:gridCol w:w="973"/>
        <w:gridCol w:w="1132"/>
        <w:gridCol w:w="1149"/>
      </w:tblGrid>
      <w:tr w:rsidR="00B7540A" w:rsidRPr="00586097" w14:paraId="3ACEF7E9" w14:textId="77777777" w:rsidTr="00B7540A">
        <w:trPr>
          <w:trHeight w:val="309"/>
        </w:trPr>
        <w:tc>
          <w:tcPr>
            <w:tcW w:w="1925" w:type="dxa"/>
            <w:vMerge w:val="restart"/>
            <w:shd w:val="clear" w:color="auto" w:fill="9CC2E5"/>
            <w:noWrap/>
            <w:vAlign w:val="center"/>
            <w:hideMark/>
          </w:tcPr>
          <w:p w14:paraId="5733C286" w14:textId="77777777" w:rsidR="00B7540A" w:rsidRPr="00586097" w:rsidRDefault="00B7540A" w:rsidP="00B7540A">
            <w:pPr>
              <w:spacing w:before="0" w:after="0" w:line="276" w:lineRule="auto"/>
              <w:ind w:firstLine="0"/>
              <w:jc w:val="center"/>
              <w:rPr>
                <w:rFonts w:cs="Calibri"/>
                <w:b/>
                <w:bCs/>
                <w:color w:val="000000"/>
              </w:rPr>
            </w:pPr>
            <w:r w:rsidRPr="00586097">
              <w:rPr>
                <w:rFonts w:cs="Calibri"/>
                <w:b/>
                <w:bCs/>
                <w:color w:val="000000"/>
              </w:rPr>
              <w:t>Ցուցանիշներ</w:t>
            </w:r>
          </w:p>
        </w:tc>
        <w:tc>
          <w:tcPr>
            <w:tcW w:w="2223" w:type="dxa"/>
            <w:vMerge w:val="restart"/>
            <w:shd w:val="clear" w:color="auto" w:fill="9CC2E5"/>
            <w:vAlign w:val="center"/>
            <w:hideMark/>
          </w:tcPr>
          <w:p w14:paraId="77BA71E2" w14:textId="77777777" w:rsidR="00B7540A" w:rsidRPr="00586097" w:rsidRDefault="00B7540A" w:rsidP="00B7540A">
            <w:pPr>
              <w:spacing w:before="0" w:after="0" w:line="276" w:lineRule="auto"/>
              <w:ind w:firstLine="0"/>
              <w:jc w:val="center"/>
              <w:rPr>
                <w:rFonts w:cs="Calibri"/>
                <w:b/>
                <w:bCs/>
                <w:color w:val="000000"/>
              </w:rPr>
            </w:pPr>
            <w:r w:rsidRPr="00586097">
              <w:rPr>
                <w:rFonts w:cs="Calibri"/>
                <w:b/>
                <w:bCs/>
                <w:color w:val="000000"/>
              </w:rPr>
              <w:t>Ծրագիր</w:t>
            </w:r>
          </w:p>
        </w:tc>
        <w:tc>
          <w:tcPr>
            <w:tcW w:w="1450" w:type="dxa"/>
            <w:shd w:val="clear" w:color="auto" w:fill="9CC2E5"/>
            <w:vAlign w:val="center"/>
          </w:tcPr>
          <w:p w14:paraId="46AFD7D3" w14:textId="77777777" w:rsidR="00B7540A" w:rsidRPr="00586097" w:rsidRDefault="00B7540A" w:rsidP="00B7540A">
            <w:pPr>
              <w:spacing w:before="0" w:after="0" w:line="276" w:lineRule="auto"/>
              <w:ind w:firstLine="0"/>
              <w:jc w:val="center"/>
              <w:rPr>
                <w:rFonts w:cs="Calibri"/>
                <w:b/>
                <w:bCs/>
                <w:color w:val="000000"/>
              </w:rPr>
            </w:pPr>
            <w:r w:rsidRPr="00586097">
              <w:rPr>
                <w:rFonts w:cs="Calibri"/>
                <w:b/>
                <w:bCs/>
                <w:color w:val="000000"/>
              </w:rPr>
              <w:t>2020</w:t>
            </w:r>
          </w:p>
        </w:tc>
        <w:tc>
          <w:tcPr>
            <w:tcW w:w="1056" w:type="dxa"/>
            <w:shd w:val="clear" w:color="auto" w:fill="9CC2E5"/>
            <w:vAlign w:val="center"/>
            <w:hideMark/>
          </w:tcPr>
          <w:p w14:paraId="62F782B5" w14:textId="77777777" w:rsidR="00B7540A" w:rsidRPr="00586097" w:rsidRDefault="00B7540A" w:rsidP="00B7540A">
            <w:pPr>
              <w:spacing w:before="0" w:after="0" w:line="276" w:lineRule="auto"/>
              <w:ind w:firstLine="0"/>
              <w:jc w:val="center"/>
              <w:rPr>
                <w:rFonts w:cs="Calibri"/>
                <w:b/>
                <w:bCs/>
                <w:color w:val="000000"/>
              </w:rPr>
            </w:pPr>
            <w:r w:rsidRPr="00586097">
              <w:rPr>
                <w:rFonts w:cs="Calibri"/>
                <w:b/>
                <w:bCs/>
                <w:color w:val="000000"/>
              </w:rPr>
              <w:t>2021</w:t>
            </w:r>
          </w:p>
        </w:tc>
        <w:tc>
          <w:tcPr>
            <w:tcW w:w="1001" w:type="dxa"/>
            <w:shd w:val="clear" w:color="auto" w:fill="9CC2E5"/>
            <w:vAlign w:val="center"/>
            <w:hideMark/>
          </w:tcPr>
          <w:p w14:paraId="4C5E376A" w14:textId="77777777" w:rsidR="00B7540A" w:rsidRPr="00586097" w:rsidRDefault="00B7540A" w:rsidP="00B7540A">
            <w:pPr>
              <w:spacing w:before="0" w:after="0" w:line="276" w:lineRule="auto"/>
              <w:ind w:firstLine="0"/>
              <w:jc w:val="center"/>
              <w:rPr>
                <w:rFonts w:cs="Calibri"/>
                <w:b/>
                <w:bCs/>
                <w:color w:val="000000"/>
              </w:rPr>
            </w:pPr>
            <w:r w:rsidRPr="00586097">
              <w:rPr>
                <w:rFonts w:cs="Calibri"/>
                <w:b/>
                <w:bCs/>
                <w:color w:val="000000"/>
              </w:rPr>
              <w:t>2022</w:t>
            </w:r>
          </w:p>
        </w:tc>
        <w:tc>
          <w:tcPr>
            <w:tcW w:w="1132" w:type="dxa"/>
            <w:shd w:val="clear" w:color="auto" w:fill="9CC2E5"/>
            <w:vAlign w:val="center"/>
            <w:hideMark/>
          </w:tcPr>
          <w:p w14:paraId="5580B94B" w14:textId="77777777" w:rsidR="00B7540A" w:rsidRPr="00586097" w:rsidRDefault="00B7540A" w:rsidP="00B7540A">
            <w:pPr>
              <w:spacing w:before="0" w:after="0" w:line="276" w:lineRule="auto"/>
              <w:ind w:firstLine="0"/>
              <w:jc w:val="center"/>
              <w:rPr>
                <w:rFonts w:cs="Calibri"/>
                <w:b/>
                <w:bCs/>
                <w:color w:val="000000"/>
              </w:rPr>
            </w:pPr>
            <w:r w:rsidRPr="00586097">
              <w:rPr>
                <w:rFonts w:cs="Calibri"/>
                <w:b/>
                <w:bCs/>
                <w:color w:val="000000"/>
              </w:rPr>
              <w:t>2023</w:t>
            </w:r>
          </w:p>
        </w:tc>
        <w:tc>
          <w:tcPr>
            <w:tcW w:w="1149" w:type="dxa"/>
            <w:shd w:val="clear" w:color="auto" w:fill="9CC2E5"/>
            <w:vAlign w:val="center"/>
            <w:hideMark/>
          </w:tcPr>
          <w:p w14:paraId="46515FA4" w14:textId="77777777" w:rsidR="00B7540A" w:rsidRPr="00586097" w:rsidRDefault="00B7540A" w:rsidP="00B7540A">
            <w:pPr>
              <w:spacing w:before="0" w:after="0" w:line="276" w:lineRule="auto"/>
              <w:ind w:firstLine="0"/>
              <w:jc w:val="center"/>
              <w:rPr>
                <w:rFonts w:cs="Calibri"/>
                <w:b/>
                <w:bCs/>
                <w:color w:val="000000"/>
              </w:rPr>
            </w:pPr>
            <w:r w:rsidRPr="00586097">
              <w:rPr>
                <w:rFonts w:cs="Calibri"/>
                <w:b/>
                <w:bCs/>
                <w:color w:val="000000"/>
              </w:rPr>
              <w:t>2024</w:t>
            </w:r>
          </w:p>
        </w:tc>
      </w:tr>
      <w:tr w:rsidR="00B7540A" w:rsidRPr="00586097" w14:paraId="13870381" w14:textId="77777777" w:rsidTr="00B7540A">
        <w:trPr>
          <w:trHeight w:val="309"/>
        </w:trPr>
        <w:tc>
          <w:tcPr>
            <w:tcW w:w="1925" w:type="dxa"/>
            <w:vMerge/>
            <w:shd w:val="clear" w:color="auto" w:fill="9CC2E5"/>
            <w:vAlign w:val="center"/>
            <w:hideMark/>
          </w:tcPr>
          <w:p w14:paraId="31097D9D" w14:textId="77777777" w:rsidR="00B7540A" w:rsidRPr="00586097" w:rsidRDefault="00B7540A" w:rsidP="00B7540A">
            <w:pPr>
              <w:spacing w:before="0" w:after="0" w:line="276" w:lineRule="auto"/>
              <w:ind w:firstLine="0"/>
              <w:jc w:val="left"/>
              <w:rPr>
                <w:rFonts w:cs="Calibri"/>
                <w:b/>
                <w:bCs/>
                <w:color w:val="000000"/>
              </w:rPr>
            </w:pPr>
          </w:p>
        </w:tc>
        <w:tc>
          <w:tcPr>
            <w:tcW w:w="2223" w:type="dxa"/>
            <w:vMerge/>
            <w:shd w:val="clear" w:color="auto" w:fill="9CC2E5"/>
            <w:vAlign w:val="center"/>
            <w:hideMark/>
          </w:tcPr>
          <w:p w14:paraId="5424ACF3" w14:textId="77777777" w:rsidR="00B7540A" w:rsidRPr="00586097" w:rsidRDefault="00B7540A" w:rsidP="00B7540A">
            <w:pPr>
              <w:spacing w:before="0" w:after="0" w:line="276" w:lineRule="auto"/>
              <w:ind w:firstLine="0"/>
              <w:jc w:val="left"/>
              <w:rPr>
                <w:rFonts w:cs="Calibri"/>
                <w:b/>
                <w:bCs/>
                <w:color w:val="000000"/>
              </w:rPr>
            </w:pPr>
          </w:p>
        </w:tc>
        <w:tc>
          <w:tcPr>
            <w:tcW w:w="1450" w:type="dxa"/>
            <w:shd w:val="clear" w:color="auto" w:fill="9CC2E5"/>
            <w:vAlign w:val="center"/>
          </w:tcPr>
          <w:p w14:paraId="1E0BD9F8" w14:textId="77777777" w:rsidR="00B7540A" w:rsidRPr="00586097" w:rsidRDefault="00B7540A" w:rsidP="00B7540A">
            <w:pPr>
              <w:spacing w:before="0" w:after="0" w:line="276" w:lineRule="auto"/>
              <w:ind w:firstLine="0"/>
              <w:jc w:val="center"/>
              <w:rPr>
                <w:rFonts w:cs="Calibri"/>
                <w:i/>
                <w:iCs/>
                <w:color w:val="000000"/>
              </w:rPr>
            </w:pPr>
            <w:r w:rsidRPr="00586097">
              <w:rPr>
                <w:rFonts w:cs="Calibri"/>
                <w:i/>
                <w:iCs/>
                <w:color w:val="000000"/>
              </w:rPr>
              <w:t>փաստ*կանխ.</w:t>
            </w:r>
          </w:p>
        </w:tc>
        <w:tc>
          <w:tcPr>
            <w:tcW w:w="1056" w:type="dxa"/>
            <w:shd w:val="clear" w:color="auto" w:fill="9CC2E5"/>
            <w:vAlign w:val="center"/>
            <w:hideMark/>
          </w:tcPr>
          <w:p w14:paraId="47B5C3F4" w14:textId="77777777" w:rsidR="00B7540A" w:rsidRPr="00586097" w:rsidRDefault="00B7540A" w:rsidP="00B7540A">
            <w:pPr>
              <w:spacing w:before="0" w:after="0" w:line="276" w:lineRule="auto"/>
              <w:ind w:firstLine="0"/>
              <w:jc w:val="center"/>
              <w:rPr>
                <w:rFonts w:cs="Calibri"/>
                <w:i/>
                <w:iCs/>
                <w:color w:val="000000"/>
              </w:rPr>
            </w:pPr>
            <w:r w:rsidRPr="00586097">
              <w:rPr>
                <w:rFonts w:cs="Calibri"/>
                <w:i/>
                <w:iCs/>
                <w:color w:val="000000"/>
              </w:rPr>
              <w:t>կանխ.</w:t>
            </w:r>
          </w:p>
        </w:tc>
        <w:tc>
          <w:tcPr>
            <w:tcW w:w="1001" w:type="dxa"/>
            <w:shd w:val="clear" w:color="auto" w:fill="9CC2E5"/>
            <w:vAlign w:val="center"/>
            <w:hideMark/>
          </w:tcPr>
          <w:p w14:paraId="232B3EB6" w14:textId="77777777" w:rsidR="00B7540A" w:rsidRPr="00586097" w:rsidRDefault="00B7540A" w:rsidP="00B7540A">
            <w:pPr>
              <w:spacing w:before="0" w:after="0" w:line="276" w:lineRule="auto"/>
              <w:ind w:firstLine="0"/>
              <w:jc w:val="center"/>
              <w:rPr>
                <w:rFonts w:cs="Calibri"/>
                <w:i/>
                <w:iCs/>
                <w:color w:val="000000"/>
              </w:rPr>
            </w:pPr>
            <w:r w:rsidRPr="00586097">
              <w:rPr>
                <w:rFonts w:cs="Calibri"/>
                <w:i/>
                <w:iCs/>
                <w:color w:val="000000"/>
              </w:rPr>
              <w:t>կանխ.</w:t>
            </w:r>
          </w:p>
        </w:tc>
        <w:tc>
          <w:tcPr>
            <w:tcW w:w="1132" w:type="dxa"/>
            <w:shd w:val="clear" w:color="auto" w:fill="9CC2E5"/>
            <w:vAlign w:val="center"/>
            <w:hideMark/>
          </w:tcPr>
          <w:p w14:paraId="4D118224" w14:textId="77777777" w:rsidR="00B7540A" w:rsidRPr="00586097" w:rsidRDefault="00B7540A" w:rsidP="00B7540A">
            <w:pPr>
              <w:spacing w:before="0" w:after="0" w:line="276" w:lineRule="auto"/>
              <w:ind w:firstLine="0"/>
              <w:jc w:val="center"/>
              <w:rPr>
                <w:rFonts w:cs="Calibri"/>
                <w:i/>
                <w:iCs/>
                <w:color w:val="000000"/>
              </w:rPr>
            </w:pPr>
            <w:r w:rsidRPr="00586097">
              <w:rPr>
                <w:rFonts w:cs="Calibri"/>
                <w:i/>
                <w:iCs/>
                <w:color w:val="000000"/>
              </w:rPr>
              <w:t>կանխ.</w:t>
            </w:r>
          </w:p>
        </w:tc>
        <w:tc>
          <w:tcPr>
            <w:tcW w:w="1149" w:type="dxa"/>
            <w:shd w:val="clear" w:color="auto" w:fill="9CC2E5"/>
            <w:vAlign w:val="center"/>
            <w:hideMark/>
          </w:tcPr>
          <w:p w14:paraId="33BA777F" w14:textId="77777777" w:rsidR="00B7540A" w:rsidRPr="00586097" w:rsidRDefault="00B7540A" w:rsidP="00B7540A">
            <w:pPr>
              <w:spacing w:before="0" w:after="0" w:line="276" w:lineRule="auto"/>
              <w:ind w:firstLine="0"/>
              <w:jc w:val="center"/>
              <w:rPr>
                <w:rFonts w:cs="Calibri"/>
                <w:i/>
                <w:iCs/>
                <w:color w:val="000000"/>
              </w:rPr>
            </w:pPr>
            <w:r w:rsidRPr="00586097">
              <w:rPr>
                <w:rFonts w:cs="Calibri"/>
                <w:i/>
                <w:iCs/>
                <w:color w:val="000000"/>
              </w:rPr>
              <w:t>կանխ.</w:t>
            </w:r>
          </w:p>
        </w:tc>
      </w:tr>
      <w:tr w:rsidR="00B7540A" w:rsidRPr="00586097" w14:paraId="374C0A98" w14:textId="77777777" w:rsidTr="00B7540A">
        <w:trPr>
          <w:trHeight w:val="309"/>
        </w:trPr>
        <w:tc>
          <w:tcPr>
            <w:tcW w:w="1925" w:type="dxa"/>
            <w:vMerge w:val="restart"/>
            <w:shd w:val="clear" w:color="auto" w:fill="auto"/>
            <w:vAlign w:val="center"/>
          </w:tcPr>
          <w:p w14:paraId="3D9E2077" w14:textId="77777777" w:rsidR="00B7540A" w:rsidRPr="00586097" w:rsidRDefault="00B7540A" w:rsidP="00B7540A">
            <w:pPr>
              <w:spacing w:before="0" w:after="0" w:line="276" w:lineRule="auto"/>
              <w:ind w:firstLine="0"/>
              <w:jc w:val="left"/>
              <w:rPr>
                <w:rFonts w:cs="Calibri"/>
                <w:b/>
                <w:bCs/>
                <w:color w:val="000000"/>
              </w:rPr>
            </w:pPr>
            <w:r w:rsidRPr="00586097">
              <w:rPr>
                <w:rFonts w:cs="Calibri"/>
                <w:b/>
                <w:bCs/>
                <w:color w:val="000000"/>
              </w:rPr>
              <w:t>Ընթացիկ հաշիվ, մլն ԱՄՆ դոլար</w:t>
            </w:r>
          </w:p>
        </w:tc>
        <w:tc>
          <w:tcPr>
            <w:tcW w:w="2223" w:type="dxa"/>
            <w:shd w:val="clear" w:color="auto" w:fill="auto"/>
            <w:vAlign w:val="center"/>
          </w:tcPr>
          <w:p w14:paraId="76503C56" w14:textId="77777777" w:rsidR="00B7540A" w:rsidRPr="00586097" w:rsidRDefault="00B7540A" w:rsidP="00B7540A">
            <w:pPr>
              <w:spacing w:before="0" w:after="0" w:line="276" w:lineRule="auto"/>
              <w:ind w:firstLine="0"/>
              <w:jc w:val="left"/>
              <w:rPr>
                <w:rFonts w:cs="Calibri"/>
                <w:i/>
                <w:iCs/>
                <w:color w:val="000000"/>
              </w:rPr>
            </w:pPr>
            <w:r w:rsidRPr="00586097">
              <w:rPr>
                <w:rFonts w:cs="Calibri"/>
                <w:i/>
                <w:iCs/>
                <w:color w:val="000000"/>
              </w:rPr>
              <w:t>Թիրախային սցենար</w:t>
            </w:r>
          </w:p>
        </w:tc>
        <w:tc>
          <w:tcPr>
            <w:tcW w:w="1450" w:type="dxa"/>
            <w:vAlign w:val="center"/>
          </w:tcPr>
          <w:p w14:paraId="7F27978A"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-478.7</w:t>
            </w:r>
          </w:p>
        </w:tc>
        <w:tc>
          <w:tcPr>
            <w:tcW w:w="1056" w:type="dxa"/>
            <w:shd w:val="clear" w:color="auto" w:fill="auto"/>
            <w:noWrap/>
            <w:vAlign w:val="center"/>
          </w:tcPr>
          <w:p w14:paraId="2CED8358"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-281.3</w:t>
            </w:r>
          </w:p>
        </w:tc>
        <w:tc>
          <w:tcPr>
            <w:tcW w:w="1001" w:type="dxa"/>
            <w:shd w:val="clear" w:color="auto" w:fill="auto"/>
            <w:vAlign w:val="center"/>
          </w:tcPr>
          <w:p w14:paraId="2ED48456" w14:textId="77777777" w:rsidR="00B7540A" w:rsidRPr="00586097" w:rsidRDefault="00B7540A" w:rsidP="00B7540A">
            <w:pPr>
              <w:spacing w:before="0" w:after="0" w:line="276" w:lineRule="auto"/>
              <w:ind w:firstLine="0"/>
              <w:jc w:val="center"/>
              <w:rPr>
                <w:rFonts w:cs="Calibri"/>
                <w:color w:val="000000"/>
              </w:rPr>
            </w:pPr>
            <w:r w:rsidRPr="00586097">
              <w:rPr>
                <w:rFonts w:eastAsia="Calibri" w:cs="Arial"/>
                <w:bCs/>
              </w:rPr>
              <w:t>-629.1</w:t>
            </w:r>
          </w:p>
        </w:tc>
        <w:tc>
          <w:tcPr>
            <w:tcW w:w="1132" w:type="dxa"/>
            <w:shd w:val="clear" w:color="auto" w:fill="auto"/>
            <w:noWrap/>
            <w:vAlign w:val="center"/>
          </w:tcPr>
          <w:p w14:paraId="29E5A804" w14:textId="77777777" w:rsidR="00B7540A" w:rsidRPr="00586097" w:rsidRDefault="00B7540A" w:rsidP="00B7540A">
            <w:pPr>
              <w:spacing w:before="0" w:after="0" w:line="276" w:lineRule="auto"/>
              <w:ind w:firstLine="0"/>
              <w:jc w:val="center"/>
              <w:rPr>
                <w:rFonts w:cs="Calibri"/>
                <w:color w:val="000000"/>
              </w:rPr>
            </w:pPr>
            <w:r w:rsidRPr="00586097">
              <w:rPr>
                <w:rFonts w:eastAsia="Calibri" w:cs="Arial"/>
                <w:bCs/>
              </w:rPr>
              <w:t>-847.2</w:t>
            </w:r>
          </w:p>
        </w:tc>
        <w:tc>
          <w:tcPr>
            <w:tcW w:w="1149" w:type="dxa"/>
            <w:shd w:val="clear" w:color="auto" w:fill="auto"/>
            <w:noWrap/>
            <w:vAlign w:val="center"/>
          </w:tcPr>
          <w:p w14:paraId="6A6B73F2" w14:textId="77777777" w:rsidR="00B7540A" w:rsidRPr="00586097" w:rsidRDefault="00B7540A" w:rsidP="00B7540A">
            <w:pPr>
              <w:spacing w:before="0" w:after="0" w:line="276" w:lineRule="auto"/>
              <w:ind w:firstLine="0"/>
              <w:jc w:val="center"/>
              <w:rPr>
                <w:rFonts w:cs="Calibri"/>
                <w:color w:val="000000"/>
              </w:rPr>
            </w:pPr>
            <w:r w:rsidRPr="00586097">
              <w:rPr>
                <w:rFonts w:eastAsia="Calibri" w:cs="Arial"/>
                <w:bCs/>
              </w:rPr>
              <w:t>-881.6</w:t>
            </w:r>
          </w:p>
        </w:tc>
      </w:tr>
      <w:tr w:rsidR="00B7540A" w:rsidRPr="00586097" w14:paraId="32389948" w14:textId="77777777" w:rsidTr="00B7540A">
        <w:trPr>
          <w:trHeight w:val="309"/>
        </w:trPr>
        <w:tc>
          <w:tcPr>
            <w:tcW w:w="1925" w:type="dxa"/>
            <w:vMerge/>
            <w:shd w:val="clear" w:color="auto" w:fill="auto"/>
            <w:vAlign w:val="center"/>
            <w:hideMark/>
          </w:tcPr>
          <w:p w14:paraId="7B3F3079" w14:textId="77777777" w:rsidR="00B7540A" w:rsidRPr="00586097" w:rsidRDefault="00B7540A" w:rsidP="00B7540A">
            <w:pPr>
              <w:spacing w:before="0" w:after="0" w:line="276" w:lineRule="auto"/>
              <w:ind w:firstLine="0"/>
              <w:jc w:val="left"/>
              <w:rPr>
                <w:rFonts w:cs="Calibri"/>
                <w:b/>
                <w:bCs/>
                <w:color w:val="000000"/>
              </w:rPr>
            </w:pPr>
          </w:p>
        </w:tc>
        <w:tc>
          <w:tcPr>
            <w:tcW w:w="2223" w:type="dxa"/>
            <w:shd w:val="clear" w:color="auto" w:fill="auto"/>
            <w:vAlign w:val="center"/>
            <w:hideMark/>
          </w:tcPr>
          <w:p w14:paraId="42338832" w14:textId="77777777" w:rsidR="00B7540A" w:rsidRPr="00586097" w:rsidRDefault="00B7540A" w:rsidP="00B7540A">
            <w:pPr>
              <w:spacing w:before="0" w:after="0" w:line="276" w:lineRule="auto"/>
              <w:ind w:firstLine="0"/>
              <w:jc w:val="left"/>
              <w:rPr>
                <w:rFonts w:cs="Calibri"/>
                <w:i/>
                <w:iCs/>
                <w:color w:val="000000"/>
              </w:rPr>
            </w:pPr>
            <w:r w:rsidRPr="00586097">
              <w:rPr>
                <w:rFonts w:cs="Calibri"/>
                <w:i/>
                <w:iCs/>
                <w:color w:val="000000"/>
              </w:rPr>
              <w:t>2022-2024 ՄԺԾԾ</w:t>
            </w:r>
          </w:p>
        </w:tc>
        <w:tc>
          <w:tcPr>
            <w:tcW w:w="1450" w:type="dxa"/>
            <w:vAlign w:val="center"/>
          </w:tcPr>
          <w:p w14:paraId="4DFCB1EB"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-478.7</w:t>
            </w:r>
          </w:p>
        </w:tc>
        <w:tc>
          <w:tcPr>
            <w:tcW w:w="1056" w:type="dxa"/>
            <w:shd w:val="clear" w:color="auto" w:fill="auto"/>
            <w:noWrap/>
            <w:vAlign w:val="center"/>
            <w:hideMark/>
          </w:tcPr>
          <w:p w14:paraId="72425058"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-281.3</w:t>
            </w:r>
          </w:p>
        </w:tc>
        <w:tc>
          <w:tcPr>
            <w:tcW w:w="1001" w:type="dxa"/>
            <w:shd w:val="clear" w:color="auto" w:fill="auto"/>
            <w:vAlign w:val="center"/>
            <w:hideMark/>
          </w:tcPr>
          <w:p w14:paraId="75114736"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-421.6</w:t>
            </w:r>
          </w:p>
        </w:tc>
        <w:tc>
          <w:tcPr>
            <w:tcW w:w="1132" w:type="dxa"/>
            <w:shd w:val="clear" w:color="auto" w:fill="auto"/>
            <w:noWrap/>
            <w:vAlign w:val="center"/>
            <w:hideMark/>
          </w:tcPr>
          <w:p w14:paraId="32E5DD93"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-556.9</w:t>
            </w:r>
          </w:p>
        </w:tc>
        <w:tc>
          <w:tcPr>
            <w:tcW w:w="1149" w:type="dxa"/>
            <w:shd w:val="clear" w:color="auto" w:fill="auto"/>
            <w:noWrap/>
            <w:vAlign w:val="center"/>
            <w:hideMark/>
          </w:tcPr>
          <w:p w14:paraId="37722D17"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-641.3</w:t>
            </w:r>
          </w:p>
        </w:tc>
      </w:tr>
      <w:tr w:rsidR="00B7540A" w:rsidRPr="00586097" w14:paraId="29C1DEC2" w14:textId="77777777" w:rsidTr="00B7540A">
        <w:trPr>
          <w:trHeight w:val="309"/>
        </w:trPr>
        <w:tc>
          <w:tcPr>
            <w:tcW w:w="1925" w:type="dxa"/>
            <w:vMerge/>
            <w:vAlign w:val="center"/>
            <w:hideMark/>
          </w:tcPr>
          <w:p w14:paraId="405D3566" w14:textId="77777777" w:rsidR="00B7540A" w:rsidRPr="00586097" w:rsidRDefault="00B7540A" w:rsidP="00B7540A">
            <w:pPr>
              <w:spacing w:before="0" w:after="0" w:line="276" w:lineRule="auto"/>
              <w:ind w:firstLine="0"/>
              <w:jc w:val="left"/>
              <w:rPr>
                <w:rFonts w:cs="Calibri"/>
                <w:b/>
                <w:bCs/>
                <w:color w:val="000000"/>
              </w:rPr>
            </w:pPr>
          </w:p>
        </w:tc>
        <w:tc>
          <w:tcPr>
            <w:tcW w:w="2223" w:type="dxa"/>
            <w:shd w:val="clear" w:color="auto" w:fill="auto"/>
            <w:vAlign w:val="center"/>
            <w:hideMark/>
          </w:tcPr>
          <w:p w14:paraId="52D66684" w14:textId="77777777" w:rsidR="00B7540A" w:rsidRPr="00586097" w:rsidRDefault="00B7540A" w:rsidP="00B7540A">
            <w:pPr>
              <w:spacing w:before="0" w:after="0" w:line="276" w:lineRule="auto"/>
              <w:ind w:firstLine="0"/>
              <w:jc w:val="left"/>
              <w:rPr>
                <w:rFonts w:cs="Calibri"/>
                <w:i/>
                <w:iCs/>
                <w:color w:val="000000"/>
              </w:rPr>
            </w:pPr>
            <w:r w:rsidRPr="00586097">
              <w:rPr>
                <w:rFonts w:cs="Calibri"/>
                <w:i/>
                <w:iCs/>
                <w:color w:val="000000"/>
              </w:rPr>
              <w:t>2021 Պետական բյուջե</w:t>
            </w:r>
          </w:p>
        </w:tc>
        <w:tc>
          <w:tcPr>
            <w:tcW w:w="1450" w:type="dxa"/>
          </w:tcPr>
          <w:p w14:paraId="0627B557"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-731.7</w:t>
            </w:r>
          </w:p>
        </w:tc>
        <w:tc>
          <w:tcPr>
            <w:tcW w:w="1056" w:type="dxa"/>
            <w:shd w:val="clear" w:color="auto" w:fill="auto"/>
            <w:noWrap/>
            <w:hideMark/>
          </w:tcPr>
          <w:p w14:paraId="3C6486D9"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-772.3</w:t>
            </w:r>
          </w:p>
        </w:tc>
        <w:tc>
          <w:tcPr>
            <w:tcW w:w="1001" w:type="dxa"/>
            <w:shd w:val="clear" w:color="auto" w:fill="auto"/>
            <w:vAlign w:val="center"/>
            <w:hideMark/>
          </w:tcPr>
          <w:p w14:paraId="77960E2B"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w:t>
            </w:r>
          </w:p>
        </w:tc>
        <w:tc>
          <w:tcPr>
            <w:tcW w:w="1132" w:type="dxa"/>
            <w:shd w:val="clear" w:color="auto" w:fill="auto"/>
            <w:noWrap/>
            <w:vAlign w:val="center"/>
            <w:hideMark/>
          </w:tcPr>
          <w:p w14:paraId="52AA7192"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w:t>
            </w:r>
          </w:p>
        </w:tc>
        <w:tc>
          <w:tcPr>
            <w:tcW w:w="1149" w:type="dxa"/>
            <w:shd w:val="clear" w:color="auto" w:fill="auto"/>
            <w:noWrap/>
            <w:vAlign w:val="center"/>
            <w:hideMark/>
          </w:tcPr>
          <w:p w14:paraId="6FD3C1E2"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w:t>
            </w:r>
          </w:p>
        </w:tc>
      </w:tr>
      <w:tr w:rsidR="00B7540A" w:rsidRPr="00586097" w14:paraId="010EF96E" w14:textId="77777777" w:rsidTr="00B7540A">
        <w:trPr>
          <w:trHeight w:val="309"/>
        </w:trPr>
        <w:tc>
          <w:tcPr>
            <w:tcW w:w="1925" w:type="dxa"/>
            <w:vMerge/>
            <w:vAlign w:val="center"/>
            <w:hideMark/>
          </w:tcPr>
          <w:p w14:paraId="0D8B826F" w14:textId="77777777" w:rsidR="00B7540A" w:rsidRPr="00586097" w:rsidRDefault="00B7540A" w:rsidP="00B7540A">
            <w:pPr>
              <w:spacing w:before="0" w:after="0" w:line="276" w:lineRule="auto"/>
              <w:ind w:firstLine="0"/>
              <w:jc w:val="left"/>
              <w:rPr>
                <w:rFonts w:cs="Calibri"/>
                <w:b/>
                <w:bCs/>
                <w:color w:val="000000"/>
              </w:rPr>
            </w:pPr>
          </w:p>
        </w:tc>
        <w:tc>
          <w:tcPr>
            <w:tcW w:w="2223" w:type="dxa"/>
            <w:shd w:val="clear" w:color="auto" w:fill="auto"/>
            <w:vAlign w:val="center"/>
            <w:hideMark/>
          </w:tcPr>
          <w:p w14:paraId="3C179A84" w14:textId="77777777" w:rsidR="00B7540A" w:rsidRPr="00586097" w:rsidRDefault="00B7540A" w:rsidP="00B7540A">
            <w:pPr>
              <w:spacing w:before="0" w:after="0" w:line="276" w:lineRule="auto"/>
              <w:ind w:firstLine="0"/>
              <w:jc w:val="left"/>
              <w:rPr>
                <w:rFonts w:cs="Calibri"/>
                <w:i/>
                <w:iCs/>
                <w:color w:val="000000"/>
              </w:rPr>
            </w:pPr>
            <w:r w:rsidRPr="00586097">
              <w:rPr>
                <w:rFonts w:cs="Calibri"/>
                <w:i/>
                <w:iCs/>
                <w:color w:val="000000"/>
              </w:rPr>
              <w:t>2021-2023 ՄԺԾԾ</w:t>
            </w:r>
          </w:p>
        </w:tc>
        <w:tc>
          <w:tcPr>
            <w:tcW w:w="1450" w:type="dxa"/>
          </w:tcPr>
          <w:p w14:paraId="708F8AA6"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-1,247.3</w:t>
            </w:r>
          </w:p>
        </w:tc>
        <w:tc>
          <w:tcPr>
            <w:tcW w:w="1056" w:type="dxa"/>
            <w:shd w:val="clear" w:color="auto" w:fill="auto"/>
            <w:noWrap/>
            <w:hideMark/>
          </w:tcPr>
          <w:p w14:paraId="4DC6F432"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-1,020.0</w:t>
            </w:r>
          </w:p>
        </w:tc>
        <w:tc>
          <w:tcPr>
            <w:tcW w:w="1001" w:type="dxa"/>
            <w:shd w:val="clear" w:color="auto" w:fill="auto"/>
            <w:hideMark/>
          </w:tcPr>
          <w:p w14:paraId="6492FF99"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-953.1</w:t>
            </w:r>
          </w:p>
        </w:tc>
        <w:tc>
          <w:tcPr>
            <w:tcW w:w="1132" w:type="dxa"/>
            <w:shd w:val="clear" w:color="auto" w:fill="auto"/>
            <w:noWrap/>
            <w:hideMark/>
          </w:tcPr>
          <w:p w14:paraId="76647DD3"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-917.7</w:t>
            </w:r>
          </w:p>
        </w:tc>
        <w:tc>
          <w:tcPr>
            <w:tcW w:w="1149" w:type="dxa"/>
            <w:shd w:val="clear" w:color="auto" w:fill="auto"/>
            <w:noWrap/>
            <w:vAlign w:val="center"/>
            <w:hideMark/>
          </w:tcPr>
          <w:p w14:paraId="083C016A"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w:t>
            </w:r>
          </w:p>
        </w:tc>
      </w:tr>
      <w:tr w:rsidR="00B7540A" w:rsidRPr="00586097" w14:paraId="2E063B94" w14:textId="77777777" w:rsidTr="00B7540A">
        <w:trPr>
          <w:trHeight w:val="309"/>
        </w:trPr>
        <w:tc>
          <w:tcPr>
            <w:tcW w:w="1925" w:type="dxa"/>
            <w:vMerge w:val="restart"/>
            <w:shd w:val="clear" w:color="auto" w:fill="auto"/>
            <w:vAlign w:val="center"/>
          </w:tcPr>
          <w:p w14:paraId="3683B419" w14:textId="77777777" w:rsidR="00B7540A" w:rsidRPr="00586097" w:rsidRDefault="00B7540A" w:rsidP="00B7540A">
            <w:pPr>
              <w:spacing w:before="0" w:after="0" w:line="276" w:lineRule="auto"/>
              <w:ind w:firstLine="0"/>
              <w:jc w:val="left"/>
              <w:rPr>
                <w:rFonts w:cs="Calibri"/>
                <w:b/>
                <w:bCs/>
                <w:color w:val="000000"/>
              </w:rPr>
            </w:pPr>
            <w:r w:rsidRPr="00586097">
              <w:rPr>
                <w:rFonts w:cs="Calibri"/>
                <w:b/>
                <w:bCs/>
                <w:color w:val="000000"/>
              </w:rPr>
              <w:t>Ընթացիկ հաշիվ, %-ով՝ ՀՆԱ-ի նկատմամբ</w:t>
            </w:r>
          </w:p>
        </w:tc>
        <w:tc>
          <w:tcPr>
            <w:tcW w:w="2223" w:type="dxa"/>
            <w:shd w:val="clear" w:color="auto" w:fill="auto"/>
            <w:vAlign w:val="center"/>
          </w:tcPr>
          <w:p w14:paraId="75A0F354" w14:textId="77777777" w:rsidR="00B7540A" w:rsidRPr="00586097" w:rsidRDefault="00B7540A" w:rsidP="00B7540A">
            <w:pPr>
              <w:spacing w:before="0" w:after="0" w:line="276" w:lineRule="auto"/>
              <w:ind w:firstLine="0"/>
              <w:jc w:val="left"/>
              <w:rPr>
                <w:rFonts w:cs="Calibri"/>
                <w:i/>
                <w:iCs/>
                <w:color w:val="000000"/>
              </w:rPr>
            </w:pPr>
            <w:r w:rsidRPr="00586097">
              <w:rPr>
                <w:rFonts w:cs="Calibri"/>
                <w:i/>
                <w:iCs/>
                <w:color w:val="000000"/>
              </w:rPr>
              <w:t>Թիրախային սցենար</w:t>
            </w:r>
          </w:p>
        </w:tc>
        <w:tc>
          <w:tcPr>
            <w:tcW w:w="1450" w:type="dxa"/>
            <w:vAlign w:val="center"/>
          </w:tcPr>
          <w:p w14:paraId="3AA3D76D"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-3.8</w:t>
            </w:r>
          </w:p>
        </w:tc>
        <w:tc>
          <w:tcPr>
            <w:tcW w:w="1056" w:type="dxa"/>
            <w:shd w:val="clear" w:color="auto" w:fill="auto"/>
            <w:noWrap/>
            <w:vAlign w:val="center"/>
          </w:tcPr>
          <w:p w14:paraId="3A8C3874"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-2.1</w:t>
            </w:r>
          </w:p>
        </w:tc>
        <w:tc>
          <w:tcPr>
            <w:tcW w:w="1001" w:type="dxa"/>
            <w:shd w:val="clear" w:color="auto" w:fill="auto"/>
            <w:vAlign w:val="center"/>
          </w:tcPr>
          <w:p w14:paraId="305E9B66"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-4.2</w:t>
            </w:r>
          </w:p>
        </w:tc>
        <w:tc>
          <w:tcPr>
            <w:tcW w:w="1132" w:type="dxa"/>
            <w:shd w:val="clear" w:color="auto" w:fill="auto"/>
            <w:noWrap/>
            <w:vAlign w:val="center"/>
          </w:tcPr>
          <w:p w14:paraId="387C690E"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-5.1</w:t>
            </w:r>
          </w:p>
        </w:tc>
        <w:tc>
          <w:tcPr>
            <w:tcW w:w="1149" w:type="dxa"/>
            <w:shd w:val="clear" w:color="auto" w:fill="auto"/>
            <w:noWrap/>
            <w:vAlign w:val="center"/>
          </w:tcPr>
          <w:p w14:paraId="17D6FF20"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-4.8</w:t>
            </w:r>
          </w:p>
        </w:tc>
      </w:tr>
      <w:tr w:rsidR="00B7540A" w:rsidRPr="00586097" w14:paraId="69175A09" w14:textId="77777777" w:rsidTr="00B7540A">
        <w:trPr>
          <w:trHeight w:val="309"/>
        </w:trPr>
        <w:tc>
          <w:tcPr>
            <w:tcW w:w="1925" w:type="dxa"/>
            <w:vMerge/>
            <w:shd w:val="clear" w:color="auto" w:fill="auto"/>
            <w:vAlign w:val="center"/>
            <w:hideMark/>
          </w:tcPr>
          <w:p w14:paraId="40286526" w14:textId="77777777" w:rsidR="00B7540A" w:rsidRPr="00586097" w:rsidRDefault="00B7540A" w:rsidP="00B7540A">
            <w:pPr>
              <w:spacing w:before="0" w:after="0" w:line="276" w:lineRule="auto"/>
              <w:ind w:firstLine="0"/>
              <w:jc w:val="left"/>
              <w:rPr>
                <w:rFonts w:cs="Calibri"/>
                <w:b/>
                <w:bCs/>
                <w:color w:val="000000"/>
              </w:rPr>
            </w:pPr>
          </w:p>
        </w:tc>
        <w:tc>
          <w:tcPr>
            <w:tcW w:w="2223" w:type="dxa"/>
            <w:shd w:val="clear" w:color="auto" w:fill="auto"/>
            <w:vAlign w:val="center"/>
            <w:hideMark/>
          </w:tcPr>
          <w:p w14:paraId="68BD281C" w14:textId="77777777" w:rsidR="00B7540A" w:rsidRPr="00586097" w:rsidRDefault="00B7540A" w:rsidP="00B7540A">
            <w:pPr>
              <w:spacing w:before="0" w:after="0" w:line="276" w:lineRule="auto"/>
              <w:ind w:firstLine="0"/>
              <w:jc w:val="left"/>
              <w:rPr>
                <w:rFonts w:cs="Calibri"/>
                <w:i/>
                <w:iCs/>
                <w:color w:val="000000"/>
              </w:rPr>
            </w:pPr>
            <w:r w:rsidRPr="00586097">
              <w:rPr>
                <w:rFonts w:cs="Calibri"/>
                <w:i/>
                <w:iCs/>
                <w:color w:val="000000"/>
              </w:rPr>
              <w:t>2022-2024 ՄԺԾԾ</w:t>
            </w:r>
          </w:p>
        </w:tc>
        <w:tc>
          <w:tcPr>
            <w:tcW w:w="1450" w:type="dxa"/>
            <w:vAlign w:val="center"/>
          </w:tcPr>
          <w:p w14:paraId="3BB8BB0D"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-3.8</w:t>
            </w:r>
          </w:p>
        </w:tc>
        <w:tc>
          <w:tcPr>
            <w:tcW w:w="1056" w:type="dxa"/>
            <w:shd w:val="clear" w:color="auto" w:fill="auto"/>
            <w:noWrap/>
            <w:vAlign w:val="center"/>
            <w:hideMark/>
          </w:tcPr>
          <w:p w14:paraId="38ECA562"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-2.1</w:t>
            </w:r>
          </w:p>
        </w:tc>
        <w:tc>
          <w:tcPr>
            <w:tcW w:w="1001" w:type="dxa"/>
            <w:shd w:val="clear" w:color="auto" w:fill="auto"/>
            <w:vAlign w:val="center"/>
            <w:hideMark/>
          </w:tcPr>
          <w:p w14:paraId="69917B43"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-2.9</w:t>
            </w:r>
          </w:p>
        </w:tc>
        <w:tc>
          <w:tcPr>
            <w:tcW w:w="1132" w:type="dxa"/>
            <w:shd w:val="clear" w:color="auto" w:fill="auto"/>
            <w:noWrap/>
            <w:vAlign w:val="center"/>
            <w:hideMark/>
          </w:tcPr>
          <w:p w14:paraId="0D32B14E"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-3.5</w:t>
            </w:r>
          </w:p>
        </w:tc>
        <w:tc>
          <w:tcPr>
            <w:tcW w:w="1149" w:type="dxa"/>
            <w:shd w:val="clear" w:color="auto" w:fill="auto"/>
            <w:noWrap/>
            <w:vAlign w:val="center"/>
            <w:hideMark/>
          </w:tcPr>
          <w:p w14:paraId="6CC8A964"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-3.8</w:t>
            </w:r>
          </w:p>
        </w:tc>
      </w:tr>
      <w:tr w:rsidR="00B7540A" w:rsidRPr="00586097" w14:paraId="6DB89B76" w14:textId="77777777" w:rsidTr="00B7540A">
        <w:trPr>
          <w:trHeight w:val="309"/>
        </w:trPr>
        <w:tc>
          <w:tcPr>
            <w:tcW w:w="1925" w:type="dxa"/>
            <w:vMerge/>
            <w:vAlign w:val="center"/>
            <w:hideMark/>
          </w:tcPr>
          <w:p w14:paraId="3FE5FD16" w14:textId="77777777" w:rsidR="00B7540A" w:rsidRPr="00586097" w:rsidRDefault="00B7540A" w:rsidP="00B7540A">
            <w:pPr>
              <w:spacing w:before="0" w:after="0" w:line="276" w:lineRule="auto"/>
              <w:ind w:firstLine="0"/>
              <w:jc w:val="left"/>
              <w:rPr>
                <w:rFonts w:cs="Calibri"/>
                <w:b/>
                <w:bCs/>
                <w:color w:val="000000"/>
              </w:rPr>
            </w:pPr>
          </w:p>
        </w:tc>
        <w:tc>
          <w:tcPr>
            <w:tcW w:w="2223" w:type="dxa"/>
            <w:shd w:val="clear" w:color="auto" w:fill="auto"/>
            <w:vAlign w:val="center"/>
            <w:hideMark/>
          </w:tcPr>
          <w:p w14:paraId="752B0B75" w14:textId="77777777" w:rsidR="00B7540A" w:rsidRPr="00586097" w:rsidRDefault="00B7540A" w:rsidP="00B7540A">
            <w:pPr>
              <w:spacing w:before="0" w:after="0" w:line="276" w:lineRule="auto"/>
              <w:ind w:firstLine="0"/>
              <w:jc w:val="left"/>
              <w:rPr>
                <w:rFonts w:cs="Calibri"/>
                <w:i/>
                <w:iCs/>
                <w:color w:val="000000"/>
              </w:rPr>
            </w:pPr>
            <w:r w:rsidRPr="00586097">
              <w:rPr>
                <w:rFonts w:cs="Calibri"/>
                <w:i/>
                <w:iCs/>
                <w:color w:val="000000"/>
              </w:rPr>
              <w:t>2021 Պետական բյուջե</w:t>
            </w:r>
          </w:p>
        </w:tc>
        <w:tc>
          <w:tcPr>
            <w:tcW w:w="1450" w:type="dxa"/>
          </w:tcPr>
          <w:p w14:paraId="0F6378E0"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-5.9</w:t>
            </w:r>
          </w:p>
        </w:tc>
        <w:tc>
          <w:tcPr>
            <w:tcW w:w="1056" w:type="dxa"/>
            <w:shd w:val="clear" w:color="auto" w:fill="auto"/>
            <w:noWrap/>
            <w:hideMark/>
          </w:tcPr>
          <w:p w14:paraId="7620D61B"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-6.1</w:t>
            </w:r>
          </w:p>
        </w:tc>
        <w:tc>
          <w:tcPr>
            <w:tcW w:w="1001" w:type="dxa"/>
            <w:shd w:val="clear" w:color="auto" w:fill="auto"/>
            <w:vAlign w:val="center"/>
            <w:hideMark/>
          </w:tcPr>
          <w:p w14:paraId="64C2B481"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w:t>
            </w:r>
          </w:p>
        </w:tc>
        <w:tc>
          <w:tcPr>
            <w:tcW w:w="1132" w:type="dxa"/>
            <w:shd w:val="clear" w:color="auto" w:fill="auto"/>
            <w:noWrap/>
            <w:vAlign w:val="center"/>
            <w:hideMark/>
          </w:tcPr>
          <w:p w14:paraId="1C93ABE1"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w:t>
            </w:r>
          </w:p>
        </w:tc>
        <w:tc>
          <w:tcPr>
            <w:tcW w:w="1149" w:type="dxa"/>
            <w:shd w:val="clear" w:color="auto" w:fill="auto"/>
            <w:noWrap/>
            <w:vAlign w:val="center"/>
            <w:hideMark/>
          </w:tcPr>
          <w:p w14:paraId="6835A99B"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w:t>
            </w:r>
          </w:p>
        </w:tc>
      </w:tr>
      <w:tr w:rsidR="00B7540A" w:rsidRPr="00586097" w14:paraId="63B30499" w14:textId="77777777" w:rsidTr="00B7540A">
        <w:trPr>
          <w:trHeight w:val="309"/>
        </w:trPr>
        <w:tc>
          <w:tcPr>
            <w:tcW w:w="1925" w:type="dxa"/>
            <w:vMerge/>
            <w:vAlign w:val="center"/>
            <w:hideMark/>
          </w:tcPr>
          <w:p w14:paraId="5E30FD3E" w14:textId="77777777" w:rsidR="00B7540A" w:rsidRPr="00586097" w:rsidRDefault="00B7540A" w:rsidP="00B7540A">
            <w:pPr>
              <w:spacing w:before="0" w:after="0" w:line="276" w:lineRule="auto"/>
              <w:ind w:firstLine="0"/>
              <w:jc w:val="left"/>
              <w:rPr>
                <w:rFonts w:cs="Calibri"/>
                <w:b/>
                <w:bCs/>
                <w:color w:val="000000"/>
              </w:rPr>
            </w:pPr>
          </w:p>
        </w:tc>
        <w:tc>
          <w:tcPr>
            <w:tcW w:w="2223" w:type="dxa"/>
            <w:shd w:val="clear" w:color="auto" w:fill="auto"/>
            <w:vAlign w:val="center"/>
            <w:hideMark/>
          </w:tcPr>
          <w:p w14:paraId="18702BA3" w14:textId="77777777" w:rsidR="00B7540A" w:rsidRPr="00586097" w:rsidRDefault="00B7540A" w:rsidP="00B7540A">
            <w:pPr>
              <w:spacing w:before="0" w:after="0" w:line="276" w:lineRule="auto"/>
              <w:ind w:firstLine="0"/>
              <w:jc w:val="left"/>
              <w:rPr>
                <w:rFonts w:cs="Calibri"/>
                <w:i/>
                <w:iCs/>
                <w:color w:val="000000"/>
              </w:rPr>
            </w:pPr>
            <w:r w:rsidRPr="00586097">
              <w:rPr>
                <w:rFonts w:cs="Calibri"/>
                <w:i/>
                <w:iCs/>
                <w:color w:val="000000"/>
              </w:rPr>
              <w:t>2021-2023 ՄԺԾԾ</w:t>
            </w:r>
          </w:p>
        </w:tc>
        <w:tc>
          <w:tcPr>
            <w:tcW w:w="1450" w:type="dxa"/>
          </w:tcPr>
          <w:p w14:paraId="2246C636"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-9.7</w:t>
            </w:r>
          </w:p>
        </w:tc>
        <w:tc>
          <w:tcPr>
            <w:tcW w:w="1056" w:type="dxa"/>
            <w:shd w:val="clear" w:color="auto" w:fill="auto"/>
            <w:noWrap/>
            <w:hideMark/>
          </w:tcPr>
          <w:p w14:paraId="102ECFB9"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-7.3</w:t>
            </w:r>
          </w:p>
        </w:tc>
        <w:tc>
          <w:tcPr>
            <w:tcW w:w="1001" w:type="dxa"/>
            <w:shd w:val="clear" w:color="auto" w:fill="auto"/>
            <w:hideMark/>
          </w:tcPr>
          <w:p w14:paraId="6EE3B855"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-6.3</w:t>
            </w:r>
          </w:p>
        </w:tc>
        <w:tc>
          <w:tcPr>
            <w:tcW w:w="1132" w:type="dxa"/>
            <w:shd w:val="clear" w:color="auto" w:fill="auto"/>
            <w:noWrap/>
            <w:hideMark/>
          </w:tcPr>
          <w:p w14:paraId="312383B3"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-5.6</w:t>
            </w:r>
          </w:p>
        </w:tc>
        <w:tc>
          <w:tcPr>
            <w:tcW w:w="1149" w:type="dxa"/>
            <w:shd w:val="clear" w:color="auto" w:fill="auto"/>
            <w:noWrap/>
            <w:vAlign w:val="center"/>
            <w:hideMark/>
          </w:tcPr>
          <w:p w14:paraId="3A803661" w14:textId="77777777" w:rsidR="00B7540A" w:rsidRPr="00586097" w:rsidRDefault="00B7540A" w:rsidP="00B7540A">
            <w:pPr>
              <w:spacing w:before="0" w:after="0" w:line="276" w:lineRule="auto"/>
              <w:ind w:firstLine="0"/>
              <w:jc w:val="center"/>
              <w:rPr>
                <w:rFonts w:cs="Calibri"/>
                <w:color w:val="000000"/>
              </w:rPr>
            </w:pPr>
            <w:r w:rsidRPr="00586097">
              <w:rPr>
                <w:rFonts w:cs="Calibri"/>
                <w:color w:val="000000"/>
              </w:rPr>
              <w:t>-</w:t>
            </w:r>
          </w:p>
        </w:tc>
      </w:tr>
    </w:tbl>
    <w:p w14:paraId="65C447DB" w14:textId="77777777" w:rsidR="00B7540A" w:rsidRPr="00586097" w:rsidRDefault="00B7540A" w:rsidP="0027114B">
      <w:pPr>
        <w:pStyle w:val="afd"/>
      </w:pPr>
      <w:r w:rsidRPr="00586097">
        <w:t xml:space="preserve">* 2022-2024 ՄԺԾԾ համար 2020թ. ցուցանիշները փաստացի են   </w:t>
      </w:r>
    </w:p>
    <w:p w14:paraId="36059A70" w14:textId="77777777" w:rsidR="00B7540A" w:rsidRPr="00586097" w:rsidRDefault="00B7540A" w:rsidP="0027114B">
      <w:pPr>
        <w:pStyle w:val="afd"/>
      </w:pPr>
      <w:r w:rsidRPr="00586097">
        <w:t xml:space="preserve">Աղբյուրը ՝ ՀՀ ՖՆ </w:t>
      </w:r>
      <w:r w:rsidRPr="00110C23">
        <w:t>կանխատեսումներ</w:t>
      </w:r>
    </w:p>
    <w:p w14:paraId="10029A86" w14:textId="77777777" w:rsidR="00B7540A" w:rsidRPr="00586097" w:rsidRDefault="00B7540A" w:rsidP="00B7540A">
      <w:pPr>
        <w:spacing w:line="276" w:lineRule="auto"/>
        <w:rPr>
          <w:lang w:val="af-ZA"/>
        </w:rPr>
      </w:pPr>
      <w:r w:rsidRPr="00586097">
        <w:rPr>
          <w:lang w:val="af-ZA"/>
        </w:rPr>
        <w:br w:type="page"/>
      </w:r>
    </w:p>
    <w:p w14:paraId="2CEBE029" w14:textId="4459A47C" w:rsidR="00DA0E15" w:rsidRPr="004378BE" w:rsidRDefault="004378BE" w:rsidP="004378BE">
      <w:pPr>
        <w:keepNext/>
        <w:spacing w:line="360" w:lineRule="auto"/>
        <w:ind w:firstLine="0"/>
        <w:outlineLvl w:val="0"/>
        <w:rPr>
          <w:rFonts w:eastAsiaTheme="majorEastAsia" w:cstheme="majorBidi"/>
          <w:b/>
          <w:bCs/>
          <w:caps/>
          <w:color w:val="1F497D" w:themeColor="text2"/>
          <w:sz w:val="28"/>
          <w:szCs w:val="28"/>
          <w:lang w:val="es-ES"/>
        </w:rPr>
      </w:pPr>
      <w:bookmarkStart w:id="472" w:name="_Toc519513706"/>
      <w:bookmarkStart w:id="473" w:name="_Toc13837387"/>
      <w:bookmarkStart w:id="474" w:name="_Toc296702416"/>
      <w:bookmarkStart w:id="475" w:name="_Toc78536694"/>
      <w:bookmarkEnd w:id="0"/>
      <w:bookmarkEnd w:id="112"/>
      <w:bookmarkEnd w:id="167"/>
      <w:r w:rsidRPr="004378BE">
        <w:rPr>
          <w:rFonts w:eastAsiaTheme="majorEastAsia" w:cstheme="majorBidi"/>
          <w:b/>
          <w:bCs/>
          <w:caps/>
          <w:color w:val="1F497D" w:themeColor="text2"/>
          <w:sz w:val="28"/>
          <w:szCs w:val="28"/>
          <w:lang w:val="es-ES"/>
        </w:rPr>
        <w:t>ՎԵՐԼՈՒԾՈՒԹՅՈՒՆՆԵՐ</w:t>
      </w:r>
      <w:bookmarkEnd w:id="475"/>
    </w:p>
    <w:p w14:paraId="7003615A" w14:textId="77777777" w:rsidR="00DA0E15" w:rsidRDefault="00DA0E15">
      <w:pPr>
        <w:keepNext/>
        <w:spacing w:line="360" w:lineRule="auto"/>
        <w:outlineLvl w:val="0"/>
        <w:rPr>
          <w:b/>
          <w:bCs/>
          <w:spacing w:val="40"/>
          <w:kern w:val="32"/>
          <w:lang w:val="es-ES"/>
        </w:rPr>
      </w:pPr>
    </w:p>
    <w:p w14:paraId="5F95CCF1" w14:textId="4AF9AC8E" w:rsidR="00DA0E15" w:rsidRDefault="00362131">
      <w:pPr>
        <w:pStyle w:val="Heading3"/>
        <w:spacing w:before="0" w:after="120"/>
        <w:rPr>
          <w:rFonts w:eastAsia="Times New Roman" w:cs="Times New Roman"/>
          <w:caps w:val="0"/>
          <w:color w:val="1F497D" w:themeColor="text2"/>
          <w:sz w:val="28"/>
          <w:szCs w:val="28"/>
        </w:rPr>
      </w:pPr>
      <w:bookmarkStart w:id="476" w:name="_Toc45838558"/>
      <w:bookmarkStart w:id="477" w:name="_Toc78536695"/>
      <w:bookmarkEnd w:id="472"/>
      <w:bookmarkEnd w:id="473"/>
      <w:bookmarkEnd w:id="474"/>
      <w:r>
        <w:rPr>
          <w:rFonts w:eastAsia="Times New Roman" w:cs="Times New Roman"/>
          <w:caps w:val="0"/>
          <w:color w:val="1F497D" w:themeColor="text2"/>
          <w:sz w:val="28"/>
          <w:szCs w:val="28"/>
        </w:rPr>
        <w:t>2. ԱՅԼ ԿԱՌՈՒՅՑՆԵՐԻ ԿՈՂՄԻՑ ՀՀ ՏՆՏԵՍԱԿԱՆ ԱՃԻ ԿԱՆԽԱՏԵՍՈՒՄՆԵՐԻ ՀԵՏ ՀԱՄԵՄԱՏԱԿԱՆ</w:t>
      </w:r>
      <w:bookmarkEnd w:id="476"/>
      <w:bookmarkEnd w:id="477"/>
    </w:p>
    <w:p w14:paraId="10E41D49" w14:textId="77777777" w:rsidR="009940B4" w:rsidRDefault="009940B4" w:rsidP="009940B4">
      <w:pPr>
        <w:spacing w:line="276" w:lineRule="auto"/>
        <w:ind w:left="90" w:firstLine="360"/>
        <w:rPr>
          <w:rFonts w:cs="Sylfaen"/>
          <w:lang w:val="hy-AM"/>
        </w:rPr>
      </w:pPr>
      <w:r w:rsidRPr="00681C73">
        <w:rPr>
          <w:rFonts w:cs="Sylfaen"/>
          <w:b/>
          <w:bCs/>
          <w:u w:val="single"/>
          <w:lang w:val="hy-AM"/>
        </w:rPr>
        <w:t>Կանխատեսումներ։</w:t>
      </w:r>
      <w:r w:rsidRPr="00681C73">
        <w:rPr>
          <w:rFonts w:cs="Sylfaen"/>
          <w:lang w:val="hy-AM"/>
        </w:rPr>
        <w:t xml:space="preserve"> Աղյուսակում ներկայացված </w:t>
      </w:r>
      <w:r w:rsidRPr="00843B67">
        <w:rPr>
          <w:rFonts w:cs="Sylfaen"/>
          <w:lang w:val="hy-AM"/>
        </w:rPr>
        <w:t>է</w:t>
      </w:r>
      <w:r w:rsidRPr="00681C73">
        <w:rPr>
          <w:rFonts w:cs="Sylfaen"/>
          <w:lang w:val="hy-AM"/>
        </w:rPr>
        <w:t xml:space="preserve"> ՀՀ ֆինանսների նախարարության և այլ կառույցների կողմից ՀՀ տնտեսական աճի կարճաժամկետ և միջնաժամկետ կանխատեսումների համեմատականը: Արժույթի միջազգային հիմնադրամի</w:t>
      </w:r>
      <w:r w:rsidRPr="004D4A8D">
        <w:rPr>
          <w:rFonts w:cs="Sylfaen"/>
          <w:lang w:val="hy-AM"/>
        </w:rPr>
        <w:t xml:space="preserve"> </w:t>
      </w:r>
      <w:r>
        <w:rPr>
          <w:rFonts w:cs="Sylfaen"/>
          <w:lang w:val="hy-AM"/>
        </w:rPr>
        <w:t>ապրիլ ամսվա կանխատեսումներով 2021թ. սպասվում է 1.0</w:t>
      </w:r>
      <w:r w:rsidRPr="00681C73">
        <w:rPr>
          <w:rFonts w:cs="Sylfaen"/>
          <w:lang w:val="hy-AM"/>
        </w:rPr>
        <w:t xml:space="preserve">% </w:t>
      </w:r>
      <w:r>
        <w:rPr>
          <w:rFonts w:cs="Sylfaen"/>
          <w:lang w:val="hy-AM"/>
        </w:rPr>
        <w:t xml:space="preserve">աճ, իսկ </w:t>
      </w:r>
      <w:r w:rsidRPr="00681C73">
        <w:rPr>
          <w:rFonts w:cs="Sylfaen"/>
          <w:lang w:val="hy-AM"/>
        </w:rPr>
        <w:t xml:space="preserve">Համաշխարհային բանկի </w:t>
      </w:r>
      <w:r w:rsidRPr="00DB432B">
        <w:rPr>
          <w:rFonts w:cs="Sylfaen"/>
          <w:lang w:val="hy-AM"/>
        </w:rPr>
        <w:t xml:space="preserve">հունիս ամսվա </w:t>
      </w:r>
      <w:r w:rsidRPr="00681C73">
        <w:rPr>
          <w:rFonts w:cs="Sylfaen"/>
          <w:lang w:val="hy-AM"/>
        </w:rPr>
        <w:t>կանխատեսումներով</w:t>
      </w:r>
      <w:r>
        <w:rPr>
          <w:rFonts w:cs="Sylfaen"/>
          <w:lang w:val="hy-AM"/>
        </w:rPr>
        <w:t>՝ 3.4</w:t>
      </w:r>
      <w:r w:rsidRPr="00681C73">
        <w:rPr>
          <w:rFonts w:cs="Sylfaen"/>
          <w:lang w:val="hy-AM"/>
        </w:rPr>
        <w:t>%</w:t>
      </w:r>
      <w:r>
        <w:rPr>
          <w:rFonts w:cs="Sylfaen"/>
          <w:lang w:val="hy-AM"/>
        </w:rPr>
        <w:t xml:space="preserve"> աճ</w:t>
      </w:r>
      <w:r w:rsidRPr="00681C73">
        <w:rPr>
          <w:rFonts w:cs="Sylfaen"/>
          <w:lang w:val="hy-AM"/>
        </w:rPr>
        <w:t>։ ՀՀ կենտրոնական բանկի</w:t>
      </w:r>
      <w:r>
        <w:rPr>
          <w:rFonts w:cs="Sylfaen"/>
          <w:lang w:val="hy-AM"/>
        </w:rPr>
        <w:t xml:space="preserve"> </w:t>
      </w:r>
      <w:r w:rsidRPr="00DB432B">
        <w:rPr>
          <w:rFonts w:cs="Sylfaen"/>
          <w:lang w:val="hy-AM"/>
        </w:rPr>
        <w:t>մարտ</w:t>
      </w:r>
      <w:r>
        <w:rPr>
          <w:rFonts w:cs="Sylfaen"/>
          <w:lang w:val="hy-AM"/>
        </w:rPr>
        <w:t xml:space="preserve"> ամսվա կանխատեսումներով 2021</w:t>
      </w:r>
      <w:r w:rsidRPr="00681C73">
        <w:rPr>
          <w:rFonts w:cs="Sylfaen"/>
          <w:lang w:val="hy-AM"/>
        </w:rPr>
        <w:t xml:space="preserve">թ. կանխատեսվում էր </w:t>
      </w:r>
      <w:r w:rsidRPr="007F488F">
        <w:rPr>
          <w:rFonts w:cs="Sylfaen"/>
          <w:lang w:val="hy-AM"/>
        </w:rPr>
        <w:t>1.4</w:t>
      </w:r>
      <w:r w:rsidRPr="00681C73">
        <w:rPr>
          <w:rFonts w:cs="Sylfaen"/>
          <w:lang w:val="hy-AM"/>
        </w:rPr>
        <w:t xml:space="preserve">% աճ, սակայն </w:t>
      </w:r>
      <w:r w:rsidRPr="007F488F">
        <w:rPr>
          <w:rFonts w:cs="Sylfaen"/>
          <w:lang w:val="hy-AM"/>
        </w:rPr>
        <w:t>հուն</w:t>
      </w:r>
      <w:r w:rsidRPr="000618D3">
        <w:rPr>
          <w:rFonts w:cs="Sylfaen"/>
          <w:lang w:val="hy-AM"/>
        </w:rPr>
        <w:t>իսի</w:t>
      </w:r>
      <w:r w:rsidRPr="00681C73">
        <w:rPr>
          <w:rFonts w:cs="Sylfaen"/>
          <w:lang w:val="hy-AM"/>
        </w:rPr>
        <w:t xml:space="preserve"> կանխատեսումներով </w:t>
      </w:r>
      <w:r>
        <w:rPr>
          <w:rFonts w:cs="Sylfaen"/>
          <w:lang w:val="hy-AM"/>
        </w:rPr>
        <w:t xml:space="preserve">սպասվում է ավելի </w:t>
      </w:r>
      <w:r w:rsidRPr="007F488F">
        <w:rPr>
          <w:rFonts w:cs="Sylfaen"/>
          <w:lang w:val="hy-AM"/>
        </w:rPr>
        <w:t>բարձր</w:t>
      </w:r>
      <w:r w:rsidRPr="00681C73">
        <w:rPr>
          <w:rFonts w:cs="Sylfaen"/>
          <w:lang w:val="hy-AM"/>
        </w:rPr>
        <w:t xml:space="preserve">՝ </w:t>
      </w:r>
      <w:r w:rsidRPr="007F488F">
        <w:rPr>
          <w:rFonts w:cs="Sylfaen"/>
          <w:lang w:val="hy-AM"/>
        </w:rPr>
        <w:t>4.6</w:t>
      </w:r>
      <w:r>
        <w:rPr>
          <w:rFonts w:cs="Sylfaen"/>
          <w:lang w:val="hy-AM"/>
        </w:rPr>
        <w:t xml:space="preserve">% տնտեսական աճ: </w:t>
      </w:r>
    </w:p>
    <w:p w14:paraId="1A443AEF" w14:textId="77777777" w:rsidR="009940B4" w:rsidRPr="00347043" w:rsidRDefault="009940B4" w:rsidP="009940B4">
      <w:pPr>
        <w:spacing w:line="276" w:lineRule="auto"/>
        <w:rPr>
          <w:rFonts w:cs="Sylfaen"/>
          <w:b/>
          <w:bCs/>
          <w:i/>
          <w:u w:val="single"/>
          <w:lang w:val="hy-AM"/>
        </w:rPr>
      </w:pPr>
      <w:r w:rsidRPr="00681C73">
        <w:rPr>
          <w:rFonts w:cs="Sylfaen"/>
          <w:b/>
          <w:bCs/>
          <w:lang w:val="hy-AM"/>
        </w:rPr>
        <w:t xml:space="preserve">Աղյուսակ 2.1 </w:t>
      </w:r>
      <w:r w:rsidRPr="00681C73">
        <w:rPr>
          <w:rFonts w:cs="Sylfaen"/>
          <w:bCs/>
          <w:i/>
          <w:lang w:val="hy-AM"/>
        </w:rPr>
        <w:t>Այլ կառույցների կողմից ՀՀ տնտեսական աճի կանխատեսումները (%)</w:t>
      </w:r>
    </w:p>
    <w:tbl>
      <w:tblPr>
        <w:tblStyle w:val="GridTable4-Accent11"/>
        <w:tblW w:w="10002" w:type="dxa"/>
        <w:tblLook w:val="04A0" w:firstRow="1" w:lastRow="0" w:firstColumn="1" w:lastColumn="0" w:noHBand="0" w:noVBand="1"/>
      </w:tblPr>
      <w:tblGrid>
        <w:gridCol w:w="5688"/>
        <w:gridCol w:w="1170"/>
        <w:gridCol w:w="1170"/>
        <w:gridCol w:w="990"/>
        <w:gridCol w:w="984"/>
      </w:tblGrid>
      <w:tr w:rsidR="009940B4" w:rsidRPr="00681C73" w14:paraId="7F260DA8" w14:textId="77777777" w:rsidTr="00311D12">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5688" w:type="dxa"/>
            <w:noWrap/>
          </w:tcPr>
          <w:p w14:paraId="4695AC41" w14:textId="77777777" w:rsidR="009940B4" w:rsidRPr="009940B4" w:rsidRDefault="009940B4" w:rsidP="00311D12">
            <w:pPr>
              <w:spacing w:line="276" w:lineRule="auto"/>
              <w:rPr>
                <w:rFonts w:cs="Calibri"/>
                <w:color w:val="FFFFFF" w:themeColor="background1"/>
                <w:highlight w:val="yellow"/>
                <w:lang w:val="it-IT"/>
              </w:rPr>
            </w:pPr>
          </w:p>
        </w:tc>
        <w:tc>
          <w:tcPr>
            <w:tcW w:w="1170" w:type="dxa"/>
            <w:noWrap/>
            <w:hideMark/>
          </w:tcPr>
          <w:p w14:paraId="76FE13C0" w14:textId="77777777" w:rsidR="009940B4" w:rsidRPr="009940B4" w:rsidRDefault="009940B4" w:rsidP="009940B4">
            <w:pPr>
              <w:spacing w:line="276" w:lineRule="auto"/>
              <w:ind w:firstLine="0"/>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lang w:val="hy-AM"/>
              </w:rPr>
            </w:pPr>
            <w:r w:rsidRPr="009940B4">
              <w:rPr>
                <w:rFonts w:cs="Calibri"/>
                <w:b w:val="0"/>
                <w:bCs w:val="0"/>
                <w:color w:val="FFFFFF" w:themeColor="background1"/>
              </w:rPr>
              <w:t>20</w:t>
            </w:r>
            <w:r w:rsidRPr="009940B4">
              <w:rPr>
                <w:rFonts w:cs="Calibri"/>
                <w:b w:val="0"/>
                <w:bCs w:val="0"/>
                <w:color w:val="FFFFFF" w:themeColor="background1"/>
                <w:lang w:val="hy-AM"/>
              </w:rPr>
              <w:t>2</w:t>
            </w:r>
            <w:r w:rsidRPr="009940B4">
              <w:rPr>
                <w:rFonts w:cs="Calibri"/>
                <w:b w:val="0"/>
                <w:bCs w:val="0"/>
                <w:color w:val="FFFFFF" w:themeColor="background1"/>
              </w:rPr>
              <w:t>1</w:t>
            </w:r>
          </w:p>
        </w:tc>
        <w:tc>
          <w:tcPr>
            <w:tcW w:w="1170" w:type="dxa"/>
            <w:noWrap/>
            <w:hideMark/>
          </w:tcPr>
          <w:p w14:paraId="0C489A4C" w14:textId="77777777" w:rsidR="009940B4" w:rsidRPr="009940B4" w:rsidRDefault="009940B4" w:rsidP="009940B4">
            <w:pPr>
              <w:spacing w:line="276" w:lineRule="auto"/>
              <w:ind w:firstLine="0"/>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lang w:val="hy-AM"/>
              </w:rPr>
            </w:pPr>
            <w:r w:rsidRPr="009940B4">
              <w:rPr>
                <w:rFonts w:cs="Calibri"/>
                <w:b w:val="0"/>
                <w:bCs w:val="0"/>
                <w:color w:val="FFFFFF" w:themeColor="background1"/>
              </w:rPr>
              <w:t>2022</w:t>
            </w:r>
          </w:p>
        </w:tc>
        <w:tc>
          <w:tcPr>
            <w:tcW w:w="990" w:type="dxa"/>
          </w:tcPr>
          <w:p w14:paraId="58541EAA" w14:textId="77777777" w:rsidR="009940B4" w:rsidRPr="009940B4" w:rsidRDefault="009940B4" w:rsidP="009940B4">
            <w:pPr>
              <w:spacing w:line="276" w:lineRule="auto"/>
              <w:ind w:firstLine="0"/>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lang w:val="hy-AM"/>
              </w:rPr>
            </w:pPr>
            <w:r w:rsidRPr="009940B4">
              <w:rPr>
                <w:rFonts w:cs="Calibri"/>
                <w:b w:val="0"/>
                <w:bCs w:val="0"/>
                <w:color w:val="FFFFFF" w:themeColor="background1"/>
              </w:rPr>
              <w:t>2023</w:t>
            </w:r>
          </w:p>
        </w:tc>
        <w:tc>
          <w:tcPr>
            <w:tcW w:w="984" w:type="dxa"/>
          </w:tcPr>
          <w:p w14:paraId="2E293D6B" w14:textId="77777777" w:rsidR="009940B4" w:rsidRPr="009940B4" w:rsidRDefault="009940B4" w:rsidP="009940B4">
            <w:pPr>
              <w:spacing w:line="276" w:lineRule="auto"/>
              <w:ind w:firstLine="0"/>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lang w:val="hy-AM"/>
              </w:rPr>
            </w:pPr>
            <w:r w:rsidRPr="009940B4">
              <w:rPr>
                <w:rFonts w:cs="Calibri"/>
                <w:b w:val="0"/>
                <w:bCs w:val="0"/>
                <w:color w:val="FFFFFF" w:themeColor="background1"/>
              </w:rPr>
              <w:t>2024</w:t>
            </w:r>
          </w:p>
        </w:tc>
      </w:tr>
      <w:tr w:rsidR="009940B4" w:rsidRPr="00681C73" w14:paraId="2103E13D" w14:textId="77777777" w:rsidTr="009940B4">
        <w:trPr>
          <w:trHeight w:val="269"/>
        </w:trPr>
        <w:tc>
          <w:tcPr>
            <w:cnfStyle w:val="001000000000" w:firstRow="0" w:lastRow="0" w:firstColumn="1" w:lastColumn="0" w:oddVBand="0" w:evenVBand="0" w:oddHBand="0" w:evenHBand="0" w:firstRowFirstColumn="0" w:firstRowLastColumn="0" w:lastRowFirstColumn="0" w:lastRowLastColumn="0"/>
            <w:tcW w:w="5688" w:type="dxa"/>
            <w:shd w:val="clear" w:color="auto" w:fill="DBE5F1" w:themeFill="accent1" w:themeFillTint="33"/>
            <w:noWrap/>
          </w:tcPr>
          <w:p w14:paraId="71E6D36D" w14:textId="77777777" w:rsidR="009940B4" w:rsidRPr="001E5E48" w:rsidRDefault="009940B4" w:rsidP="009940B4">
            <w:pPr>
              <w:spacing w:line="276" w:lineRule="auto"/>
              <w:ind w:firstLine="0"/>
              <w:rPr>
                <w:rFonts w:cs="Calibri"/>
                <w:color w:val="C00000"/>
              </w:rPr>
            </w:pPr>
            <w:r w:rsidRPr="00C81DBB">
              <w:rPr>
                <w:rFonts w:cs="Calibri"/>
                <w:lang w:val="hy-AM"/>
              </w:rPr>
              <w:t>ՀՀ ֆինանսների նախարարություն</w:t>
            </w:r>
            <w:r w:rsidRPr="00C81DBB">
              <w:rPr>
                <w:rFonts w:cs="Calibri"/>
              </w:rPr>
              <w:t xml:space="preserve"> (2021 </w:t>
            </w:r>
            <w:r>
              <w:rPr>
                <w:rFonts w:cs="Calibri"/>
              </w:rPr>
              <w:t>հուլիս</w:t>
            </w:r>
            <w:r w:rsidRPr="00C81DBB">
              <w:rPr>
                <w:rFonts w:cs="Calibri"/>
              </w:rPr>
              <w:t>)</w:t>
            </w:r>
          </w:p>
        </w:tc>
        <w:tc>
          <w:tcPr>
            <w:tcW w:w="1170" w:type="dxa"/>
            <w:shd w:val="clear" w:color="auto" w:fill="DBE5F1" w:themeFill="accent1" w:themeFillTint="33"/>
            <w:noWrap/>
            <w:vAlign w:val="center"/>
          </w:tcPr>
          <w:p w14:paraId="3F49DDEE" w14:textId="77777777" w:rsidR="009940B4" w:rsidRPr="00C81DBB" w:rsidRDefault="009940B4" w:rsidP="009940B4">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lang w:val="hy-AM" w:eastAsia="ru-RU"/>
              </w:rPr>
            </w:pPr>
            <w:r>
              <w:rPr>
                <w:rFonts w:cs="Calibri"/>
              </w:rPr>
              <w:t>6.0</w:t>
            </w:r>
          </w:p>
        </w:tc>
        <w:tc>
          <w:tcPr>
            <w:tcW w:w="1170" w:type="dxa"/>
            <w:shd w:val="clear" w:color="auto" w:fill="DBE5F1" w:themeFill="accent1" w:themeFillTint="33"/>
            <w:noWrap/>
            <w:vAlign w:val="center"/>
          </w:tcPr>
          <w:p w14:paraId="0FD3CB81" w14:textId="77777777" w:rsidR="009940B4" w:rsidRPr="00C81DBB" w:rsidRDefault="009940B4" w:rsidP="009940B4">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lang w:val="hy-AM" w:eastAsia="ru-RU"/>
              </w:rPr>
            </w:pPr>
            <w:r>
              <w:rPr>
                <w:rFonts w:cs="Calibri"/>
              </w:rPr>
              <w:t>5.2</w:t>
            </w:r>
          </w:p>
        </w:tc>
        <w:tc>
          <w:tcPr>
            <w:tcW w:w="990" w:type="dxa"/>
            <w:shd w:val="clear" w:color="auto" w:fill="DBE5F1" w:themeFill="accent1" w:themeFillTint="33"/>
            <w:vAlign w:val="center"/>
          </w:tcPr>
          <w:p w14:paraId="4B32D7BF" w14:textId="77777777" w:rsidR="009940B4" w:rsidRPr="00C81DBB" w:rsidRDefault="009940B4" w:rsidP="009940B4">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lang w:val="hy-AM" w:eastAsia="ru-RU"/>
              </w:rPr>
            </w:pPr>
            <w:r>
              <w:rPr>
                <w:rFonts w:cs="Calibri"/>
              </w:rPr>
              <w:t>3.7</w:t>
            </w:r>
          </w:p>
        </w:tc>
        <w:tc>
          <w:tcPr>
            <w:tcW w:w="984" w:type="dxa"/>
            <w:shd w:val="clear" w:color="auto" w:fill="DBE5F1" w:themeFill="accent1" w:themeFillTint="33"/>
            <w:vAlign w:val="center"/>
          </w:tcPr>
          <w:p w14:paraId="788BA9F4" w14:textId="77777777" w:rsidR="009940B4" w:rsidRPr="00C81DBB" w:rsidRDefault="009940B4" w:rsidP="009940B4">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lang w:val="hy-AM" w:eastAsia="ru-RU"/>
              </w:rPr>
            </w:pPr>
            <w:r>
              <w:rPr>
                <w:rFonts w:cs="Calibri"/>
              </w:rPr>
              <w:t>4.0</w:t>
            </w:r>
          </w:p>
        </w:tc>
      </w:tr>
      <w:tr w:rsidR="009940B4" w:rsidRPr="00681C73" w14:paraId="3EE31FF0" w14:textId="77777777" w:rsidTr="00311D12">
        <w:trPr>
          <w:trHeight w:val="351"/>
        </w:trPr>
        <w:tc>
          <w:tcPr>
            <w:cnfStyle w:val="001000000000" w:firstRow="0" w:lastRow="0" w:firstColumn="1" w:lastColumn="0" w:oddVBand="0" w:evenVBand="0" w:oddHBand="0" w:evenHBand="0" w:firstRowFirstColumn="0" w:firstRowLastColumn="0" w:lastRowFirstColumn="0" w:lastRowLastColumn="0"/>
            <w:tcW w:w="5688" w:type="dxa"/>
          </w:tcPr>
          <w:p w14:paraId="2CE4B4B5" w14:textId="77777777" w:rsidR="009940B4" w:rsidRPr="001E5E48" w:rsidRDefault="009940B4" w:rsidP="009940B4">
            <w:pPr>
              <w:spacing w:line="276" w:lineRule="auto"/>
              <w:ind w:firstLine="0"/>
              <w:rPr>
                <w:rFonts w:cs="Calibri"/>
                <w:color w:val="000000"/>
                <w:lang w:val="hy-AM"/>
              </w:rPr>
            </w:pPr>
            <w:r w:rsidRPr="001E5E48">
              <w:rPr>
                <w:rFonts w:cs="Calibri"/>
                <w:color w:val="000000"/>
                <w:lang w:val="hy-AM"/>
              </w:rPr>
              <w:t xml:space="preserve">ՀՀ կենտրոնական բանկ (2021թ.  </w:t>
            </w:r>
            <w:r>
              <w:rPr>
                <w:rFonts w:cs="Calibri"/>
                <w:color w:val="000000"/>
              </w:rPr>
              <w:t>հունիս</w:t>
            </w:r>
            <w:r w:rsidRPr="001E5E48">
              <w:rPr>
                <w:rFonts w:cs="Calibri"/>
                <w:color w:val="000000"/>
                <w:lang w:val="hy-AM"/>
              </w:rPr>
              <w:t>)</w:t>
            </w:r>
          </w:p>
        </w:tc>
        <w:tc>
          <w:tcPr>
            <w:tcW w:w="1170" w:type="dxa"/>
            <w:noWrap/>
            <w:vAlign w:val="center"/>
          </w:tcPr>
          <w:p w14:paraId="5CF54B89" w14:textId="77777777" w:rsidR="009940B4" w:rsidRPr="001E5E48" w:rsidRDefault="009940B4" w:rsidP="009940B4">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color w:val="000000"/>
                <w:lang w:val="hy-AM" w:eastAsia="ru-RU"/>
              </w:rPr>
            </w:pPr>
            <w:r>
              <w:rPr>
                <w:rFonts w:cs="Calibri"/>
                <w:color w:val="000000"/>
              </w:rPr>
              <w:t>4.6</w:t>
            </w:r>
          </w:p>
        </w:tc>
        <w:tc>
          <w:tcPr>
            <w:tcW w:w="1170" w:type="dxa"/>
            <w:noWrap/>
            <w:vAlign w:val="center"/>
          </w:tcPr>
          <w:p w14:paraId="495FA10F" w14:textId="77777777" w:rsidR="009940B4" w:rsidRPr="001E5E48" w:rsidRDefault="009940B4" w:rsidP="009940B4">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color w:val="000000"/>
                <w:lang w:val="hy-AM" w:eastAsia="ru-RU"/>
              </w:rPr>
            </w:pPr>
            <w:r>
              <w:rPr>
                <w:rFonts w:cs="Calibri"/>
                <w:color w:val="000000"/>
              </w:rPr>
              <w:t>2.8</w:t>
            </w:r>
          </w:p>
        </w:tc>
        <w:tc>
          <w:tcPr>
            <w:tcW w:w="990" w:type="dxa"/>
            <w:vAlign w:val="center"/>
          </w:tcPr>
          <w:p w14:paraId="74B29191" w14:textId="77777777" w:rsidR="009940B4" w:rsidRPr="001E5E48" w:rsidRDefault="009940B4" w:rsidP="009940B4">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color w:val="000000"/>
                <w:lang w:val="hy-AM" w:eastAsia="ru-RU"/>
              </w:rPr>
            </w:pPr>
            <w:r>
              <w:rPr>
                <w:rFonts w:cs="Calibri"/>
                <w:color w:val="000000"/>
              </w:rPr>
              <w:t>3.8</w:t>
            </w:r>
          </w:p>
        </w:tc>
        <w:tc>
          <w:tcPr>
            <w:tcW w:w="984" w:type="dxa"/>
            <w:vAlign w:val="center"/>
          </w:tcPr>
          <w:p w14:paraId="01874EB5" w14:textId="77777777" w:rsidR="009940B4" w:rsidRPr="00C81DBB" w:rsidRDefault="009940B4" w:rsidP="009940B4">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color w:val="000000"/>
                <w:lang w:eastAsia="ru-RU"/>
              </w:rPr>
            </w:pPr>
            <w:r>
              <w:rPr>
                <w:rFonts w:cs="Calibri"/>
                <w:color w:val="000000"/>
              </w:rPr>
              <w:t>-</w:t>
            </w:r>
          </w:p>
        </w:tc>
      </w:tr>
      <w:tr w:rsidR="009940B4" w:rsidRPr="00681C73" w14:paraId="17830D34" w14:textId="77777777" w:rsidTr="009940B4">
        <w:trPr>
          <w:trHeight w:val="269"/>
        </w:trPr>
        <w:tc>
          <w:tcPr>
            <w:cnfStyle w:val="001000000000" w:firstRow="0" w:lastRow="0" w:firstColumn="1" w:lastColumn="0" w:oddVBand="0" w:evenVBand="0" w:oddHBand="0" w:evenHBand="0" w:firstRowFirstColumn="0" w:firstRowLastColumn="0" w:lastRowFirstColumn="0" w:lastRowLastColumn="0"/>
            <w:tcW w:w="5688" w:type="dxa"/>
            <w:shd w:val="clear" w:color="auto" w:fill="DBE5F1" w:themeFill="accent1" w:themeFillTint="33"/>
            <w:noWrap/>
            <w:hideMark/>
          </w:tcPr>
          <w:p w14:paraId="2A4D1E25" w14:textId="77777777" w:rsidR="009940B4" w:rsidRPr="001E5E48" w:rsidRDefault="009940B4" w:rsidP="009940B4">
            <w:pPr>
              <w:spacing w:line="276" w:lineRule="auto"/>
              <w:ind w:firstLine="0"/>
              <w:rPr>
                <w:rFonts w:cs="Calibri"/>
                <w:b w:val="0"/>
                <w:bCs w:val="0"/>
                <w:color w:val="000000"/>
                <w:lang w:val="hy-AM" w:eastAsia="ru-RU"/>
              </w:rPr>
            </w:pPr>
            <w:r w:rsidRPr="001E5E48">
              <w:rPr>
                <w:rFonts w:cs="Calibri"/>
                <w:color w:val="000000"/>
                <w:lang w:val="hy-AM"/>
              </w:rPr>
              <w:t>Արժույթի միջազգային հիմնադրամ (2021 ապրիլ)</w:t>
            </w:r>
          </w:p>
        </w:tc>
        <w:tc>
          <w:tcPr>
            <w:tcW w:w="1170" w:type="dxa"/>
            <w:shd w:val="clear" w:color="auto" w:fill="DBE5F1" w:themeFill="accent1" w:themeFillTint="33"/>
            <w:noWrap/>
            <w:vAlign w:val="center"/>
            <w:hideMark/>
          </w:tcPr>
          <w:p w14:paraId="6B8A3C38" w14:textId="77777777" w:rsidR="009940B4" w:rsidRPr="001E5E48" w:rsidRDefault="009940B4" w:rsidP="009940B4">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color w:val="000000"/>
                <w:lang w:val="hy-AM" w:eastAsia="ru-RU"/>
              </w:rPr>
            </w:pPr>
            <w:r w:rsidRPr="001E5E48">
              <w:rPr>
                <w:rFonts w:cs="Calibri"/>
                <w:color w:val="000000"/>
                <w:lang w:val="hy-AM"/>
              </w:rPr>
              <w:t>1.0</w:t>
            </w:r>
          </w:p>
        </w:tc>
        <w:tc>
          <w:tcPr>
            <w:tcW w:w="1170" w:type="dxa"/>
            <w:shd w:val="clear" w:color="auto" w:fill="DBE5F1" w:themeFill="accent1" w:themeFillTint="33"/>
            <w:noWrap/>
            <w:vAlign w:val="center"/>
            <w:hideMark/>
          </w:tcPr>
          <w:p w14:paraId="313514D3" w14:textId="77777777" w:rsidR="009940B4" w:rsidRPr="001E5E48" w:rsidRDefault="009940B4" w:rsidP="009940B4">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color w:val="000000"/>
                <w:lang w:eastAsia="ru-RU"/>
              </w:rPr>
            </w:pPr>
            <w:r>
              <w:rPr>
                <w:rFonts w:cs="Calibri"/>
                <w:color w:val="000000"/>
              </w:rPr>
              <w:t>3.5</w:t>
            </w:r>
          </w:p>
        </w:tc>
        <w:tc>
          <w:tcPr>
            <w:tcW w:w="990" w:type="dxa"/>
            <w:shd w:val="clear" w:color="auto" w:fill="DBE5F1" w:themeFill="accent1" w:themeFillTint="33"/>
            <w:vAlign w:val="center"/>
          </w:tcPr>
          <w:p w14:paraId="5C6CAC75" w14:textId="77777777" w:rsidR="009940B4" w:rsidRPr="001E5E48" w:rsidRDefault="009940B4" w:rsidP="009940B4">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color w:val="000000"/>
                <w:lang w:eastAsia="ru-RU"/>
              </w:rPr>
            </w:pPr>
            <w:r>
              <w:rPr>
                <w:rFonts w:cs="Calibri"/>
                <w:color w:val="000000"/>
              </w:rPr>
              <w:t>5.2</w:t>
            </w:r>
          </w:p>
        </w:tc>
        <w:tc>
          <w:tcPr>
            <w:tcW w:w="984" w:type="dxa"/>
            <w:shd w:val="clear" w:color="auto" w:fill="DBE5F1" w:themeFill="accent1" w:themeFillTint="33"/>
            <w:vAlign w:val="center"/>
          </w:tcPr>
          <w:p w14:paraId="5020DB1F" w14:textId="77777777" w:rsidR="009940B4" w:rsidRPr="001E5E48" w:rsidRDefault="009940B4" w:rsidP="009940B4">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color w:val="000000"/>
                <w:lang w:eastAsia="ru-RU"/>
              </w:rPr>
            </w:pPr>
            <w:r>
              <w:rPr>
                <w:rFonts w:cs="Calibri"/>
                <w:color w:val="000000"/>
              </w:rPr>
              <w:t>4.7</w:t>
            </w:r>
          </w:p>
        </w:tc>
      </w:tr>
      <w:tr w:rsidR="009940B4" w:rsidRPr="00681C73" w14:paraId="399D8715" w14:textId="77777777" w:rsidTr="00311D12">
        <w:trPr>
          <w:trHeight w:val="251"/>
        </w:trPr>
        <w:tc>
          <w:tcPr>
            <w:cnfStyle w:val="001000000000" w:firstRow="0" w:lastRow="0" w:firstColumn="1" w:lastColumn="0" w:oddVBand="0" w:evenVBand="0" w:oddHBand="0" w:evenHBand="0" w:firstRowFirstColumn="0" w:firstRowLastColumn="0" w:lastRowFirstColumn="0" w:lastRowLastColumn="0"/>
            <w:tcW w:w="5688" w:type="dxa"/>
            <w:noWrap/>
            <w:hideMark/>
          </w:tcPr>
          <w:p w14:paraId="199E4EAC" w14:textId="77777777" w:rsidR="009940B4" w:rsidRPr="001E5E48" w:rsidRDefault="009940B4" w:rsidP="009940B4">
            <w:pPr>
              <w:spacing w:line="276" w:lineRule="auto"/>
              <w:ind w:firstLine="0"/>
              <w:rPr>
                <w:rFonts w:cs="Calibri"/>
                <w:b w:val="0"/>
                <w:bCs w:val="0"/>
                <w:color w:val="000000"/>
                <w:lang w:val="hy-AM" w:eastAsia="ru-RU"/>
              </w:rPr>
            </w:pPr>
            <w:r w:rsidRPr="001E5E48">
              <w:rPr>
                <w:rFonts w:cs="Calibri"/>
                <w:color w:val="000000"/>
                <w:lang w:val="hy-AM"/>
              </w:rPr>
              <w:t>Համաշխարհային բանկ (2021</w:t>
            </w:r>
            <w:r>
              <w:rPr>
                <w:rFonts w:cs="Calibri"/>
                <w:color w:val="000000"/>
                <w:lang w:val="hy-AM"/>
              </w:rPr>
              <w:t xml:space="preserve"> </w:t>
            </w:r>
            <w:r>
              <w:rPr>
                <w:rFonts w:cs="Calibri"/>
                <w:color w:val="000000"/>
              </w:rPr>
              <w:t>հունիս</w:t>
            </w:r>
            <w:r w:rsidRPr="001E5E48">
              <w:rPr>
                <w:rFonts w:cs="Calibri"/>
                <w:color w:val="000000"/>
                <w:lang w:val="hy-AM"/>
              </w:rPr>
              <w:t>)</w:t>
            </w:r>
          </w:p>
        </w:tc>
        <w:tc>
          <w:tcPr>
            <w:tcW w:w="1170" w:type="dxa"/>
            <w:noWrap/>
            <w:vAlign w:val="center"/>
            <w:hideMark/>
          </w:tcPr>
          <w:p w14:paraId="693CDA99" w14:textId="77777777" w:rsidR="009940B4" w:rsidRPr="001E5E48" w:rsidRDefault="009940B4" w:rsidP="009940B4">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color w:val="000000"/>
                <w:lang w:val="hy-AM" w:eastAsia="ru-RU"/>
              </w:rPr>
            </w:pPr>
            <w:r w:rsidRPr="001E5E48">
              <w:rPr>
                <w:rFonts w:cs="Calibri"/>
                <w:color w:val="000000"/>
                <w:lang w:val="hy-AM"/>
              </w:rPr>
              <w:t>3.4</w:t>
            </w:r>
          </w:p>
        </w:tc>
        <w:tc>
          <w:tcPr>
            <w:tcW w:w="1170" w:type="dxa"/>
            <w:noWrap/>
            <w:vAlign w:val="center"/>
            <w:hideMark/>
          </w:tcPr>
          <w:p w14:paraId="5E9B0FAC" w14:textId="77777777" w:rsidR="009940B4" w:rsidRPr="001E5E48" w:rsidRDefault="009940B4" w:rsidP="009940B4">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color w:val="000000"/>
                <w:lang w:val="hy-AM" w:eastAsia="ru-RU"/>
              </w:rPr>
            </w:pPr>
            <w:r w:rsidRPr="001E5E48">
              <w:rPr>
                <w:rFonts w:cs="Calibri"/>
                <w:color w:val="000000"/>
                <w:lang w:val="hy-AM"/>
              </w:rPr>
              <w:t>4.3</w:t>
            </w:r>
          </w:p>
        </w:tc>
        <w:tc>
          <w:tcPr>
            <w:tcW w:w="990" w:type="dxa"/>
            <w:vAlign w:val="center"/>
          </w:tcPr>
          <w:p w14:paraId="7DB52F7E" w14:textId="77777777" w:rsidR="009940B4" w:rsidRPr="007F488F" w:rsidRDefault="009940B4" w:rsidP="009940B4">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5.3</w:t>
            </w:r>
          </w:p>
        </w:tc>
        <w:tc>
          <w:tcPr>
            <w:tcW w:w="984" w:type="dxa"/>
            <w:vAlign w:val="center"/>
          </w:tcPr>
          <w:p w14:paraId="2AEBF833" w14:textId="77777777" w:rsidR="009940B4" w:rsidRPr="001E5E48" w:rsidRDefault="009940B4" w:rsidP="009940B4">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color w:val="000000"/>
                <w:lang w:val="hy-AM"/>
              </w:rPr>
            </w:pPr>
          </w:p>
        </w:tc>
      </w:tr>
      <w:tr w:rsidR="009940B4" w:rsidRPr="001E5E48" w14:paraId="4BFC481E" w14:textId="77777777" w:rsidTr="009940B4">
        <w:trPr>
          <w:trHeight w:val="260"/>
        </w:trPr>
        <w:tc>
          <w:tcPr>
            <w:cnfStyle w:val="001000000000" w:firstRow="0" w:lastRow="0" w:firstColumn="1" w:lastColumn="0" w:oddVBand="0" w:evenVBand="0" w:oddHBand="0" w:evenHBand="0" w:firstRowFirstColumn="0" w:firstRowLastColumn="0" w:lastRowFirstColumn="0" w:lastRowLastColumn="0"/>
            <w:tcW w:w="5688" w:type="dxa"/>
            <w:shd w:val="clear" w:color="auto" w:fill="DBE5F1" w:themeFill="accent1" w:themeFillTint="33"/>
            <w:noWrap/>
            <w:hideMark/>
          </w:tcPr>
          <w:p w14:paraId="6B540033" w14:textId="77777777" w:rsidR="009940B4" w:rsidRPr="00C21281" w:rsidRDefault="009940B4" w:rsidP="009940B4">
            <w:pPr>
              <w:spacing w:line="276" w:lineRule="auto"/>
              <w:ind w:firstLine="0"/>
              <w:rPr>
                <w:rFonts w:cs="Calibri"/>
                <w:lang w:val="hy-AM"/>
              </w:rPr>
            </w:pPr>
            <w:r w:rsidRPr="00C21281">
              <w:rPr>
                <w:rFonts w:cs="Calibri"/>
                <w:lang w:val="hy-AM"/>
              </w:rPr>
              <w:t>Ֆիթչ (202</w:t>
            </w:r>
            <w:r>
              <w:rPr>
                <w:rFonts w:cs="Calibri"/>
              </w:rPr>
              <w:t>1</w:t>
            </w:r>
            <w:r w:rsidRPr="00C21281">
              <w:rPr>
                <w:rFonts w:cs="Calibri"/>
                <w:lang w:val="hy-AM"/>
              </w:rPr>
              <w:t xml:space="preserve"> </w:t>
            </w:r>
            <w:r>
              <w:rPr>
                <w:rFonts w:cs="Calibri"/>
                <w:lang w:val="hy-AM"/>
              </w:rPr>
              <w:t>մարտ</w:t>
            </w:r>
            <w:r w:rsidRPr="00C21281">
              <w:rPr>
                <w:rFonts w:cs="Calibri"/>
                <w:lang w:val="hy-AM"/>
              </w:rPr>
              <w:t>)</w:t>
            </w:r>
          </w:p>
        </w:tc>
        <w:tc>
          <w:tcPr>
            <w:tcW w:w="1170" w:type="dxa"/>
            <w:shd w:val="clear" w:color="auto" w:fill="DBE5F1" w:themeFill="accent1" w:themeFillTint="33"/>
            <w:noWrap/>
            <w:vAlign w:val="center"/>
            <w:hideMark/>
          </w:tcPr>
          <w:p w14:paraId="1098A0FD" w14:textId="77777777" w:rsidR="009940B4" w:rsidRPr="00C21281" w:rsidRDefault="009940B4" w:rsidP="009940B4">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lang w:val="hy-AM" w:eastAsia="ru-RU"/>
              </w:rPr>
            </w:pPr>
            <w:r w:rsidRPr="00C21281">
              <w:rPr>
                <w:rFonts w:cs="Calibri"/>
                <w:lang w:val="hy-AM"/>
              </w:rPr>
              <w:t>3.2</w:t>
            </w:r>
          </w:p>
        </w:tc>
        <w:tc>
          <w:tcPr>
            <w:tcW w:w="1170" w:type="dxa"/>
            <w:shd w:val="clear" w:color="auto" w:fill="DBE5F1" w:themeFill="accent1" w:themeFillTint="33"/>
            <w:noWrap/>
            <w:vAlign w:val="center"/>
            <w:hideMark/>
          </w:tcPr>
          <w:p w14:paraId="4A64B225" w14:textId="77777777" w:rsidR="009940B4" w:rsidRPr="00C21281" w:rsidRDefault="009940B4" w:rsidP="009940B4">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lang w:val="hy-AM" w:eastAsia="ru-RU"/>
              </w:rPr>
            </w:pPr>
            <w:r w:rsidRPr="00C21281">
              <w:rPr>
                <w:rFonts w:cs="Calibri"/>
                <w:lang w:val="hy-AM"/>
              </w:rPr>
              <w:t>4.0</w:t>
            </w:r>
          </w:p>
        </w:tc>
        <w:tc>
          <w:tcPr>
            <w:tcW w:w="990" w:type="dxa"/>
            <w:shd w:val="clear" w:color="auto" w:fill="DBE5F1" w:themeFill="accent1" w:themeFillTint="33"/>
            <w:vAlign w:val="center"/>
          </w:tcPr>
          <w:p w14:paraId="1413240A" w14:textId="77777777" w:rsidR="009940B4" w:rsidRPr="00C21281" w:rsidRDefault="009940B4" w:rsidP="009940B4">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lang w:val="hy-AM" w:eastAsia="ru-RU"/>
              </w:rPr>
            </w:pPr>
            <w:r w:rsidRPr="00C21281">
              <w:rPr>
                <w:rFonts w:cs="Calibri"/>
                <w:lang w:val="hy-AM"/>
              </w:rPr>
              <w:t>-</w:t>
            </w:r>
          </w:p>
        </w:tc>
        <w:tc>
          <w:tcPr>
            <w:tcW w:w="984" w:type="dxa"/>
            <w:shd w:val="clear" w:color="auto" w:fill="DBE5F1" w:themeFill="accent1" w:themeFillTint="33"/>
            <w:vAlign w:val="center"/>
          </w:tcPr>
          <w:p w14:paraId="3D5A4B01" w14:textId="77777777" w:rsidR="009940B4" w:rsidRPr="00C21281" w:rsidRDefault="009940B4" w:rsidP="009940B4">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lang w:val="hy-AM" w:eastAsia="ru-RU"/>
              </w:rPr>
            </w:pPr>
            <w:r w:rsidRPr="00C21281">
              <w:rPr>
                <w:rFonts w:cs="Calibri"/>
                <w:lang w:val="hy-AM"/>
              </w:rPr>
              <w:t>-</w:t>
            </w:r>
          </w:p>
        </w:tc>
      </w:tr>
    </w:tbl>
    <w:p w14:paraId="2867902D" w14:textId="77777777" w:rsidR="009940B4" w:rsidRPr="00681C73" w:rsidRDefault="009940B4" w:rsidP="0027114B">
      <w:pPr>
        <w:pStyle w:val="afd"/>
      </w:pPr>
      <w:r w:rsidRPr="00681C73">
        <w:t>Աղբյուրը՝ համապատասխա</w:t>
      </w:r>
      <w:r>
        <w:t>ն</w:t>
      </w:r>
      <w:r w:rsidRPr="00681C73">
        <w:t xml:space="preserve"> կառույցների հրապարակումներ</w:t>
      </w:r>
    </w:p>
    <w:p w14:paraId="2812C9B1" w14:textId="77777777" w:rsidR="009940B4" w:rsidRPr="00681C73" w:rsidRDefault="009940B4" w:rsidP="0027114B">
      <w:pPr>
        <w:pStyle w:val="afd"/>
      </w:pPr>
      <w:r w:rsidRPr="00681C73">
        <w:t xml:space="preserve"> </w:t>
      </w:r>
      <w:r w:rsidRPr="00681C73">
        <w:tab/>
        <w:t>«-» տվյալները հասանելի չեն</w:t>
      </w:r>
    </w:p>
    <w:p w14:paraId="73D05FBE" w14:textId="77777777" w:rsidR="009940B4" w:rsidRPr="00681C73" w:rsidRDefault="009940B4" w:rsidP="0027114B">
      <w:pPr>
        <w:pStyle w:val="afd"/>
      </w:pPr>
    </w:p>
    <w:sectPr w:rsidR="009940B4" w:rsidRPr="00681C73" w:rsidSect="00F832B2">
      <w:footerReference w:type="even" r:id="rId70"/>
      <w:pgSz w:w="11907" w:h="16840" w:code="9"/>
      <w:pgMar w:top="1134" w:right="851" w:bottom="993" w:left="1021"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60FD8" w14:textId="77777777" w:rsidR="00C024D9" w:rsidRDefault="00C024D9">
      <w:pPr>
        <w:spacing w:line="240" w:lineRule="auto"/>
      </w:pPr>
      <w:r>
        <w:separator/>
      </w:r>
    </w:p>
  </w:endnote>
  <w:endnote w:type="continuationSeparator" w:id="0">
    <w:p w14:paraId="135AD1C7" w14:textId="77777777" w:rsidR="00C024D9" w:rsidRDefault="00C024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Armenian">
    <w:panose1 w:val="02020603050405020304"/>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w:altName w:val="Arial"/>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LatArm">
    <w:panose1 w:val="000000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w:charset w:val="B1"/>
    <w:family w:val="swiss"/>
    <w:pitch w:val="variable"/>
    <w:sig w:usb0="80000A67" w:usb1="00000000" w:usb2="00000000" w:usb3="00000000" w:csb0="000001F7" w:csb1="00000000"/>
  </w:font>
  <w:font w:name="Arial AM">
    <w:panose1 w:val="020B0604020202020204"/>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Baltica">
    <w:panose1 w:val="00000000000000000000"/>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Arial-Armenian">
    <w:altName w:val="Arial Armeni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ussian Baltica">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allak Helv">
    <w:charset w:val="00"/>
    <w:family w:val="swiss"/>
    <w:pitch w:val="variable"/>
    <w:sig w:usb0="00000003" w:usb1="00000000" w:usb2="00000000" w:usb3="00000000" w:csb0="00000001" w:csb1="00000000"/>
  </w:font>
  <w:font w:name="GHEA Mariam">
    <w:panose1 w:val="02000503080000020003"/>
    <w:charset w:val="00"/>
    <w:family w:val="modern"/>
    <w:notTrueType/>
    <w:pitch w:val="variable"/>
    <w:sig w:usb0="A00006AF" w:usb1="5000204B" w:usb2="00000000" w:usb3="00000000" w:csb0="0000009F" w:csb1="00000000"/>
  </w:font>
  <w:font w:name="Liberation Sans">
    <w:altName w:val="Arial"/>
    <w:panose1 w:val="00000000000000000000"/>
    <w:charset w:val="CC"/>
    <w:family w:val="swiss"/>
    <w:notTrueType/>
    <w:pitch w:val="variable"/>
    <w:sig w:usb0="00000201" w:usb1="00000000" w:usb2="00000000" w:usb3="00000000" w:csb0="00000004" w:csb1="00000000"/>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imes Unicode">
    <w:altName w:val="Times New Roman"/>
    <w:charset w:val="00"/>
    <w:family w:val="roman"/>
    <w:pitch w:val="variable"/>
    <w:sig w:usb0="00000287" w:usb1="00000000" w:usb2="00000000" w:usb3="00000000" w:csb0="0000009F" w:csb1="00000000"/>
  </w:font>
  <w:font w:name="Merriweather">
    <w:altName w:val="Times New Roman"/>
    <w:charset w:val="00"/>
    <w:family w:val="auto"/>
    <w:pitch w:val="default"/>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362A8" w14:textId="14851745" w:rsidR="00C024D9" w:rsidRDefault="00C024D9">
    <w:pPr>
      <w:pStyle w:val="Footer"/>
      <w:jc w:val="center"/>
    </w:pPr>
    <w:r>
      <w:fldChar w:fldCharType="begin"/>
    </w:r>
    <w:r>
      <w:instrText xml:space="preserve"> PAGE   \* MERGEFORMAT </w:instrText>
    </w:r>
    <w:r>
      <w:fldChar w:fldCharType="separate"/>
    </w:r>
    <w:r w:rsidR="004378BE">
      <w:rPr>
        <w:noProof/>
      </w:rPr>
      <w:t>4</w:t>
    </w:r>
    <w:r>
      <w:fldChar w:fldCharType="end"/>
    </w:r>
  </w:p>
  <w:p w14:paraId="090C8BF8" w14:textId="77777777" w:rsidR="00C024D9" w:rsidRDefault="00C024D9"/>
  <w:p w14:paraId="416260C4" w14:textId="77777777" w:rsidR="00C024D9" w:rsidRDefault="00C024D9"/>
  <w:p w14:paraId="76271777" w14:textId="77777777" w:rsidR="00C024D9" w:rsidRDefault="00C024D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09A05" w14:textId="77777777" w:rsidR="00C024D9" w:rsidRDefault="00C024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16</w:t>
    </w:r>
    <w:r>
      <w:rPr>
        <w:rStyle w:val="PageNumber"/>
      </w:rPr>
      <w:fldChar w:fldCharType="end"/>
    </w:r>
  </w:p>
  <w:p w14:paraId="59C173C1" w14:textId="77777777" w:rsidR="00C024D9" w:rsidRDefault="00C024D9">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93F4E6" w14:textId="77777777" w:rsidR="00C024D9" w:rsidRDefault="00C024D9">
      <w:pPr>
        <w:spacing w:before="0" w:after="0" w:line="240" w:lineRule="auto"/>
      </w:pPr>
      <w:r>
        <w:separator/>
      </w:r>
    </w:p>
  </w:footnote>
  <w:footnote w:type="continuationSeparator" w:id="0">
    <w:p w14:paraId="315B75F0" w14:textId="77777777" w:rsidR="00C024D9" w:rsidRDefault="00C024D9">
      <w:pPr>
        <w:spacing w:before="0" w:after="0" w:line="240" w:lineRule="auto"/>
      </w:pPr>
      <w:r>
        <w:continuationSeparator/>
      </w:r>
    </w:p>
  </w:footnote>
  <w:footnote w:id="1">
    <w:p w14:paraId="2B70455A" w14:textId="77777777" w:rsidR="00C024D9" w:rsidRPr="00500ADC" w:rsidRDefault="00C024D9" w:rsidP="00323005">
      <w:pPr>
        <w:pBdr>
          <w:top w:val="nil"/>
          <w:left w:val="nil"/>
          <w:bottom w:val="nil"/>
          <w:right w:val="nil"/>
          <w:between w:val="nil"/>
        </w:pBdr>
        <w:rPr>
          <w:rFonts w:eastAsia="Merriweather" w:cs="Merriweather"/>
          <w:color w:val="000000"/>
          <w:sz w:val="16"/>
          <w:szCs w:val="16"/>
        </w:rPr>
      </w:pPr>
      <w:r w:rsidRPr="00500ADC">
        <w:rPr>
          <w:rStyle w:val="FootnoteReference"/>
          <w:sz w:val="16"/>
          <w:szCs w:val="16"/>
        </w:rPr>
        <w:footnoteRef/>
      </w:r>
      <w:r w:rsidRPr="00500ADC">
        <w:rPr>
          <w:color w:val="000000"/>
          <w:sz w:val="16"/>
          <w:szCs w:val="16"/>
        </w:rPr>
        <w:t xml:space="preserve"> </w:t>
      </w:r>
      <w:r w:rsidRPr="00B419A1">
        <w:rPr>
          <w:i/>
          <w:sz w:val="16"/>
          <w:szCs w:val="16"/>
        </w:rPr>
        <w:t xml:space="preserve">ՀՀ ֆինանսների նախարարության հարկաբյուջետային քաղաքականության դինամիկ ստոխաստիկ ընդհանուր հավասարակշռության մոդելը մշակվել է 2018-2020թթ. ընթացքում՝ ԱՄՀ կողմից տրամադրված տեխնիկական աջակցության շրջանակներում, </w:t>
      </w:r>
      <w:r>
        <w:rPr>
          <w:i/>
          <w:sz w:val="16"/>
          <w:szCs w:val="16"/>
        </w:rPr>
        <w:t>Առավել մանրամասն տ</w:t>
      </w:r>
      <w:r w:rsidRPr="00C7655E">
        <w:rPr>
          <w:i/>
          <w:sz w:val="16"/>
          <w:szCs w:val="16"/>
        </w:rPr>
        <w:t>ե</w:t>
      </w:r>
      <w:r>
        <w:rPr>
          <w:i/>
          <w:sz w:val="16"/>
          <w:szCs w:val="16"/>
        </w:rPr>
        <w:t>՛</w:t>
      </w:r>
      <w:r w:rsidRPr="00C7655E">
        <w:rPr>
          <w:i/>
          <w:sz w:val="16"/>
          <w:szCs w:val="16"/>
        </w:rPr>
        <w:t>ս ՀՀ կառավարության 2021թ. բյուջե</w:t>
      </w:r>
      <w:r>
        <w:rPr>
          <w:i/>
          <w:sz w:val="16"/>
          <w:szCs w:val="16"/>
        </w:rPr>
        <w:t>տային ուղերձ, Երևան 2020, էջ՝ 84,  ներդիր 2</w:t>
      </w:r>
      <w:r w:rsidRPr="00D64165">
        <w:rPr>
          <w:i/>
          <w:sz w:val="16"/>
          <w:szCs w:val="16"/>
        </w:rPr>
        <w:t>:</w:t>
      </w:r>
    </w:p>
  </w:footnote>
  <w:footnote w:id="2">
    <w:p w14:paraId="0D214BE4" w14:textId="77777777" w:rsidR="00C024D9" w:rsidRPr="00500ADC" w:rsidRDefault="00C024D9" w:rsidP="00B7540A">
      <w:pPr>
        <w:pStyle w:val="FootnoteText"/>
        <w:spacing w:line="240" w:lineRule="auto"/>
        <w:rPr>
          <w:szCs w:val="16"/>
        </w:rPr>
      </w:pPr>
      <w:r w:rsidRPr="00500ADC">
        <w:rPr>
          <w:rStyle w:val="FootnoteReference"/>
          <w:szCs w:val="16"/>
        </w:rPr>
        <w:footnoteRef/>
      </w:r>
      <w:r w:rsidRPr="00500ADC">
        <w:rPr>
          <w:szCs w:val="16"/>
        </w:rPr>
        <w:t xml:space="preserve"> </w:t>
      </w:r>
      <w:r w:rsidRPr="00B419A1">
        <w:rPr>
          <w:i/>
          <w:szCs w:val="16"/>
        </w:rPr>
        <w:t>Կապիտալ ներդրումներում ներառված չէ պաշարների փոփոխությունը, ներկայացված են միայն հիմնական միջոցներում կատարված կապիտալ ներդրումները, քանի որ 2019թ.-ից ՀՀ ՎԿ կողմից պաշարների փոփոխությունը հաշվառվում է որպես հաշվեկշռող գործոն կամ այլ կերպ՝ վիճակագրական սխալները ներառվում են դրա մեջ:</w:t>
      </w:r>
    </w:p>
  </w:footnote>
  <w:footnote w:id="3">
    <w:p w14:paraId="51691429" w14:textId="77777777" w:rsidR="00C024D9" w:rsidRPr="000B2DF3" w:rsidRDefault="00C024D9" w:rsidP="00B7540A">
      <w:pPr>
        <w:pStyle w:val="FootnoteText"/>
        <w:rPr>
          <w:sz w:val="18"/>
          <w:szCs w:val="18"/>
        </w:rPr>
      </w:pPr>
      <w:r w:rsidRPr="000B2DF3">
        <w:rPr>
          <w:rStyle w:val="FootnoteReference"/>
          <w:sz w:val="18"/>
          <w:szCs w:val="18"/>
        </w:rPr>
        <w:footnoteRef/>
      </w:r>
      <w:r w:rsidRPr="000B2DF3">
        <w:rPr>
          <w:sz w:val="18"/>
          <w:szCs w:val="18"/>
        </w:rPr>
        <w:t xml:space="preserve"> Աղբյուրը՝ ԱՄՆ առևտրի դեպարտամենտի տնտեսական վերլուծությունների բյուրո, Չինաստանի վիճակագրության ազգային բյուրո, Եվրոստատ և ՌԴ պետական վիճակագրական ծառայություն:</w:t>
      </w:r>
    </w:p>
  </w:footnote>
  <w:footnote w:id="4">
    <w:p w14:paraId="47375AC9" w14:textId="77777777" w:rsidR="00C024D9" w:rsidRPr="000927CC" w:rsidRDefault="00C024D9" w:rsidP="00B7540A">
      <w:pPr>
        <w:pStyle w:val="FootnoteText"/>
      </w:pPr>
      <w:r w:rsidRPr="000927CC">
        <w:rPr>
          <w:rStyle w:val="FootnoteReference"/>
        </w:rPr>
        <w:footnoteRef/>
      </w:r>
      <w:r w:rsidRPr="000927CC">
        <w:t xml:space="preserve"> </w:t>
      </w:r>
      <w:r w:rsidRPr="00544EFF">
        <w:t xml:space="preserve">Այս ՄԺԾԾ կանխատեսումները հիմնված են ապրիլի կանխատեսումների վրա: Առավել մանրամասն </w:t>
      </w:r>
      <w:r w:rsidRPr="004624BF">
        <w:t>տես 1.4 բաժնում:</w:t>
      </w:r>
    </w:p>
  </w:footnote>
  <w:footnote w:id="5">
    <w:p w14:paraId="31A2AE75" w14:textId="77777777" w:rsidR="00C024D9" w:rsidRPr="008D6017" w:rsidRDefault="00C024D9" w:rsidP="00B7540A">
      <w:pPr>
        <w:pStyle w:val="FootnoteText"/>
      </w:pPr>
      <w:r>
        <w:rPr>
          <w:rStyle w:val="FootnoteReference"/>
        </w:rPr>
        <w:footnoteRef/>
      </w:r>
      <w:r w:rsidRPr="008D6017">
        <w:t xml:space="preserve"> </w:t>
      </w:r>
      <w:r w:rsidRPr="00544EFF">
        <w:rPr>
          <w:i/>
          <w:szCs w:val="16"/>
        </w:rPr>
        <w:t xml:space="preserve">Այս ՄԺԾԾ կանխատեսումները հիմնված են մայիսի կանխատեսումների վրա: Առավել </w:t>
      </w:r>
      <w:r w:rsidRPr="00B75533">
        <w:rPr>
          <w:i/>
          <w:szCs w:val="16"/>
        </w:rPr>
        <w:t>մանրամասն տես 1.4 բաժնում:</w:t>
      </w:r>
    </w:p>
  </w:footnote>
  <w:footnote w:id="6">
    <w:p w14:paraId="490B8563" w14:textId="77777777" w:rsidR="00C024D9" w:rsidRPr="000927CC" w:rsidRDefault="00C024D9" w:rsidP="00B7540A">
      <w:pPr>
        <w:pStyle w:val="FootnoteText"/>
        <w:spacing w:line="240" w:lineRule="auto"/>
        <w:contextualSpacing/>
        <w:rPr>
          <w:i/>
          <w:szCs w:val="16"/>
        </w:rPr>
      </w:pPr>
      <w:r>
        <w:rPr>
          <w:rStyle w:val="FootnoteReference"/>
        </w:rPr>
        <w:footnoteRef/>
      </w:r>
      <w:r w:rsidRPr="000927CC">
        <w:t xml:space="preserve"> </w:t>
      </w:r>
      <w:r w:rsidRPr="00544EFF">
        <w:rPr>
          <w:i/>
          <w:szCs w:val="16"/>
        </w:rPr>
        <w:t>ՀՀ երկրի ռիսկի հավելավճարը՝ կորոնավիրուսի առաջին ալիքի ազդեցության որոշակի կայունացումից հետո, 2020թ</w:t>
      </w:r>
      <w:r w:rsidRPr="00544EFF">
        <w:rPr>
          <w:rFonts w:ascii="Cambria Math" w:hAnsi="Cambria Math" w:cs="Cambria Math"/>
          <w:i/>
          <w:szCs w:val="16"/>
        </w:rPr>
        <w:t>․</w:t>
      </w:r>
      <w:r w:rsidRPr="00544EFF">
        <w:rPr>
          <w:i/>
          <w:szCs w:val="16"/>
        </w:rPr>
        <w:t xml:space="preserve"> սեպտեմբերի 28–ից սկսել է բարձրանալ՝ պայմանավորված Արցախյան պատերազմական գործողություններով, դեկտեմբեր ամսից սկսել է կայունանալ, սակայն ավելի բարձր մակարդակում:</w:t>
      </w:r>
    </w:p>
  </w:footnote>
  <w:footnote w:id="7">
    <w:p w14:paraId="5A08FA5C" w14:textId="77777777" w:rsidR="00C024D9" w:rsidRPr="007A79BE" w:rsidRDefault="00C024D9" w:rsidP="00B7540A">
      <w:pPr>
        <w:pStyle w:val="FootnoteText"/>
        <w:spacing w:line="240" w:lineRule="auto"/>
        <w:contextualSpacing/>
      </w:pPr>
      <w:r>
        <w:rPr>
          <w:rStyle w:val="FootnoteReference"/>
        </w:rPr>
        <w:footnoteRef/>
      </w:r>
      <w:r w:rsidRPr="006E48E4">
        <w:t xml:space="preserve"> </w:t>
      </w:r>
      <w:r w:rsidRPr="00544EFF">
        <w:rPr>
          <w:i/>
          <w:szCs w:val="16"/>
        </w:rPr>
        <w:t>Դոլարի ինդեքսը հաշվարկվում է որպես կշռված երկրաչափական միջին՝ հետևյալ արժույթների նկատմամաբ. Եվրո, Ճապոնական յեն, Բրիտանական ֆունտ, Կանադական դոլար, Շվեդական կրոն, Շվեյցարական ֆրանկ.</w:t>
      </w:r>
    </w:p>
  </w:footnote>
  <w:footnote w:id="8">
    <w:p w14:paraId="25797BA2" w14:textId="77777777" w:rsidR="00C024D9" w:rsidRPr="0008242E" w:rsidRDefault="00C024D9" w:rsidP="00B7540A">
      <w:pPr>
        <w:pStyle w:val="FootnoteText"/>
        <w:spacing w:line="240" w:lineRule="auto"/>
        <w:contextualSpacing/>
        <w:rPr>
          <w:i/>
          <w:szCs w:val="16"/>
        </w:rPr>
      </w:pPr>
      <w:r>
        <w:rPr>
          <w:rStyle w:val="FootnoteReference"/>
        </w:rPr>
        <w:footnoteRef/>
      </w:r>
      <w:r w:rsidRPr="001A41E1">
        <w:t xml:space="preserve"> </w:t>
      </w:r>
      <w:r w:rsidRPr="00544EFF">
        <w:rPr>
          <w:i/>
          <w:szCs w:val="16"/>
        </w:rPr>
        <w:t>Երկրի ռիսկի հավելավճարները հաշվարկված են որպես տվյալ երկրի եվրոպարտատոմսերի (դոլարային արժույթով) և ԱՄՆ համապատասխան ժամկետայնությամբ գանձապետական պարտատոմսերի եկամտաբերությունների տարբերություն (պարտատոմսերի մարման ժամկետները նշված են երկրների անվանումների կողքը՝ փակագծերում):</w:t>
      </w:r>
      <w:r w:rsidRPr="0008242E">
        <w:rPr>
          <w:i/>
          <w:szCs w:val="16"/>
        </w:rPr>
        <w:t xml:space="preserve"> </w:t>
      </w:r>
    </w:p>
  </w:footnote>
  <w:footnote w:id="9">
    <w:p w14:paraId="4088B205" w14:textId="77777777" w:rsidR="00C024D9" w:rsidRPr="00737EC1" w:rsidRDefault="00C024D9" w:rsidP="00B7540A">
      <w:pPr>
        <w:pStyle w:val="FootnoteText"/>
        <w:jc w:val="left"/>
        <w:rPr>
          <w:sz w:val="18"/>
          <w:szCs w:val="18"/>
        </w:rPr>
      </w:pPr>
      <w:r w:rsidRPr="00737EC1">
        <w:rPr>
          <w:rStyle w:val="FootnoteReference"/>
          <w:sz w:val="18"/>
          <w:szCs w:val="18"/>
        </w:rPr>
        <w:footnoteRef/>
      </w:r>
      <w:r w:rsidRPr="0008242E">
        <w:rPr>
          <w:sz w:val="18"/>
          <w:szCs w:val="18"/>
        </w:rPr>
        <w:t xml:space="preserve"> </w:t>
      </w:r>
      <w:r w:rsidRPr="00B419A1">
        <w:rPr>
          <w:i/>
          <w:szCs w:val="16"/>
        </w:rPr>
        <w:t>2021թ</w:t>
      </w:r>
      <w:r w:rsidRPr="00B419A1">
        <w:rPr>
          <w:rFonts w:ascii="Cambria Math" w:hAnsi="Cambria Math" w:cs="Cambria Math"/>
          <w:i/>
          <w:szCs w:val="16"/>
        </w:rPr>
        <w:t>․</w:t>
      </w:r>
      <w:r w:rsidRPr="00B419A1">
        <w:rPr>
          <w:i/>
          <w:szCs w:val="16"/>
        </w:rPr>
        <w:t xml:space="preserve"> մարտի 17-ի դրությամբ։ Աղբյուրը՝ IMF Fiscal Monitor April 2021.</w:t>
      </w:r>
      <w:r w:rsidRPr="00056076">
        <w:rPr>
          <w:szCs w:val="16"/>
        </w:rPr>
        <w:t xml:space="preserve"> </w:t>
      </w:r>
      <w:hyperlink r:id="rId1" w:history="1">
        <w:r w:rsidRPr="00056076">
          <w:rPr>
            <w:rStyle w:val="Hyperlink"/>
            <w:szCs w:val="16"/>
          </w:rPr>
          <w:t>https://www.imf.org/en/Publications/FM/Issues/2021/03/29/fiscal-monitor-april-2021</w:t>
        </w:r>
      </w:hyperlink>
      <w:r w:rsidRPr="00056076">
        <w:rPr>
          <w:szCs w:val="16"/>
        </w:rPr>
        <w:t>:</w:t>
      </w:r>
      <w:r w:rsidRPr="00737EC1">
        <w:rPr>
          <w:sz w:val="18"/>
          <w:szCs w:val="18"/>
        </w:rPr>
        <w:t xml:space="preserve"> </w:t>
      </w:r>
    </w:p>
  </w:footnote>
  <w:footnote w:id="10">
    <w:p w14:paraId="57223E2F" w14:textId="77777777" w:rsidR="00C024D9" w:rsidRPr="001676C5" w:rsidRDefault="00C024D9" w:rsidP="00B7540A">
      <w:pPr>
        <w:pStyle w:val="afb"/>
      </w:pPr>
      <w:r>
        <w:rPr>
          <w:rStyle w:val="FootnoteReference"/>
        </w:rPr>
        <w:footnoteRef/>
      </w:r>
      <w:r>
        <w:t xml:space="preserve"> </w:t>
      </w:r>
      <w:r w:rsidRPr="001676C5">
        <w:t>Կորոնավիրուսի կանխարգելման նպատակով տնտեսական գործունեության որոշ տեսակների նկատմամբ սահմանափակումները սկսել են կիրառվել 2020թ. մարտի 16-ից, որոնք սկսած ապրիլի 13-ից սկսեցին աստիճանաբար հանվել և արդեն մայիսի 18-ից տնտեսական գործունեության բոլոր տեսակների գործունեությունը հիմնականում թույլատրվեց։ Պահպանված որոշ սահմանափակումներ ամբողջությամբ հանվեցին հաջորդող մի քանի ամիսների ընթացքում։ Առավել մանրամասն տե՛ս ՀՀ կառավարության 2021թ. բյուջետային ուղերձ, Երևան 2020, էջ 67-68, ներդիր 1:</w:t>
      </w:r>
    </w:p>
    <w:p w14:paraId="57B87F25" w14:textId="77777777" w:rsidR="00C024D9" w:rsidRPr="00B7540A" w:rsidRDefault="00C024D9" w:rsidP="00B7540A">
      <w:pPr>
        <w:pStyle w:val="FootnoteText"/>
        <w:rPr>
          <w:lang w:val="hy-AM"/>
        </w:rPr>
      </w:pPr>
    </w:p>
  </w:footnote>
  <w:footnote w:id="11">
    <w:p w14:paraId="5BF281C3" w14:textId="77777777" w:rsidR="00C024D9" w:rsidRDefault="00C024D9" w:rsidP="00B7540A">
      <w:pPr>
        <w:pStyle w:val="afb"/>
      </w:pPr>
      <w:r>
        <w:rPr>
          <w:rStyle w:val="FootnoteReference"/>
        </w:rPr>
        <w:footnoteRef/>
      </w:r>
      <w:r>
        <w:t xml:space="preserve"> </w:t>
      </w:r>
      <w:r w:rsidRPr="009D428D">
        <w:t>ՏԱՑ-ի աճին ճյուղերի նպաստումները ՀՀ ֆինանսների նախարարության գնահատականներն են: Գյուղատնտեսության ցուցանիշը ոչ բոլոր տեղերում է ներառված հաշվարկներում, քանի որ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12">
    <w:p w14:paraId="0168EF15" w14:textId="77777777" w:rsidR="00C024D9" w:rsidRDefault="00C024D9" w:rsidP="00B7540A">
      <w:pPr>
        <w:pStyle w:val="afb"/>
      </w:pPr>
      <w:r>
        <w:rPr>
          <w:rStyle w:val="FootnoteReference"/>
        </w:rPr>
        <w:footnoteRef/>
      </w:r>
      <w:r>
        <w:t xml:space="preserve"> </w:t>
      </w:r>
      <w:r w:rsidRPr="00204E8D">
        <w:t>Առավել մանրամասն տե՛ս «</w:t>
      </w:r>
      <w:r>
        <w:t>1</w:t>
      </w:r>
      <w:r w:rsidRPr="002D4302">
        <w:t>.3.1.</w:t>
      </w:r>
      <w:r w:rsidRPr="003A61C0">
        <w:t xml:space="preserve"> </w:t>
      </w:r>
      <w:r>
        <w:t xml:space="preserve">ԹԻՐԱԽԱՅԻՆ </w:t>
      </w:r>
      <w:r w:rsidRPr="003A61C0">
        <w:t>(</w:t>
      </w:r>
      <w:r>
        <w:t>ԲԱՐՁՐ</w:t>
      </w:r>
      <w:r w:rsidRPr="003A61C0">
        <w:t>)</w:t>
      </w:r>
      <w:r w:rsidRPr="0051353B">
        <w:t xml:space="preserve"> ՏՆՏԵՍԱԿԱՆ ԱՃԻ ՍՑԵՆԱՐ</w:t>
      </w:r>
      <w:r w:rsidRPr="00204E8D">
        <w:t>» բաժնում։</w:t>
      </w:r>
    </w:p>
  </w:footnote>
  <w:footnote w:id="13">
    <w:p w14:paraId="31A8B8EB" w14:textId="77777777" w:rsidR="00C024D9" w:rsidRDefault="00C024D9" w:rsidP="00B7540A">
      <w:pPr>
        <w:pStyle w:val="afb"/>
      </w:pPr>
      <w:r>
        <w:rPr>
          <w:rStyle w:val="FootnoteReference"/>
        </w:rPr>
        <w:footnoteRef/>
      </w:r>
      <w:r>
        <w:t xml:space="preserve"> </w:t>
      </w:r>
      <w:r w:rsidRPr="009D428D">
        <w:t>Ի տարբերություն նախկին մեթոդաբանության, երբ աշխատանքի շուկայի ցուցանիշները հիմնված էին առկա բնակչության թվի վրա, դրանք 2020թ. սկսած հաշվարկվում են՝ հիմք ընդունելով մշտական բնակչության թիվը (ներառում է նաև մինչև 12 ամիս ժամկետով ՀՀ-ից դուրս գտնվող զբաղվածներին և գործազուրկներին): Հետևաբար աշխատանքի շուկայի ցուցանիշները ներկայացնում են ազգային զբաղվածությունը և գործազրկությունը:</w:t>
      </w:r>
    </w:p>
  </w:footnote>
  <w:footnote w:id="14">
    <w:p w14:paraId="30CAE35E" w14:textId="77777777" w:rsidR="00C024D9" w:rsidRDefault="00C024D9" w:rsidP="00B7540A">
      <w:pPr>
        <w:pStyle w:val="afb"/>
      </w:pPr>
      <w:r>
        <w:rPr>
          <w:rStyle w:val="FootnoteReference"/>
        </w:rPr>
        <w:footnoteRef/>
      </w:r>
      <w:r>
        <w:t xml:space="preserve"> </w:t>
      </w:r>
      <w:r w:rsidRPr="009D428D">
        <w:t>Աշխատուժից դուրս բնակչության մեջ ներառվում են անձինք, ովքեր հետազոտվող ժամանակաշրջանում չեն աշխատել և աշխատանք չեն փնտրել` չեն եղել զբաղված կամ գործազուրկ, մասնավորապես՝ առկա ուսուցմամբ և արտադրությունից կտրված սովորողները և ուսանողները, տնային տնտեսությամբ զբաղվածները, երեխաներին, հիվանդ հարազատներին խնամողները, անձինք, ովքեր զանազան պատճառներով չեն աշխատում և աշխատանք չեն փնտրում (սեփականության օգտագործումից եկամուտ ստացողներ, պարտադիր ժամկետային զինծառայողներ և այլն):</w:t>
      </w:r>
    </w:p>
  </w:footnote>
  <w:footnote w:id="15">
    <w:p w14:paraId="728163E0" w14:textId="77777777" w:rsidR="00C024D9" w:rsidRPr="007D17A2" w:rsidRDefault="00C024D9" w:rsidP="00B7540A">
      <w:pPr>
        <w:pStyle w:val="afb"/>
        <w:spacing w:before="0" w:after="0"/>
        <w:jc w:val="left"/>
        <w:rPr>
          <w:sz w:val="18"/>
          <w:szCs w:val="18"/>
        </w:rPr>
      </w:pPr>
      <w:r w:rsidRPr="007D17A2">
        <w:rPr>
          <w:rStyle w:val="FootnoteReference"/>
          <w:sz w:val="18"/>
          <w:szCs w:val="18"/>
        </w:rPr>
        <w:footnoteRef/>
      </w:r>
      <w:r w:rsidRPr="007D17A2">
        <w:rPr>
          <w:sz w:val="18"/>
          <w:szCs w:val="18"/>
        </w:rPr>
        <w:t xml:space="preserve"> Տե՛ս Գնաճի հաշվետվություն, 2021/1, ՀՀ ԿԲ, https://www.cba.am/Storage/AM/downloads/parberakan/DVQ/Monetary%20policy_I_2021.pdf</w:t>
      </w:r>
    </w:p>
  </w:footnote>
  <w:footnote w:id="16">
    <w:p w14:paraId="68E17EF2" w14:textId="77777777" w:rsidR="00C024D9" w:rsidRPr="00500ADC" w:rsidRDefault="00C024D9" w:rsidP="00B7540A">
      <w:pPr>
        <w:pStyle w:val="afb"/>
        <w:rPr>
          <w:rFonts w:eastAsia="Merriweather" w:cs="Merriweather"/>
          <w:color w:val="000000"/>
        </w:rPr>
      </w:pPr>
      <w:r w:rsidRPr="00500ADC">
        <w:rPr>
          <w:rStyle w:val="FootnoteReference"/>
          <w:sz w:val="16"/>
          <w:szCs w:val="16"/>
        </w:rPr>
        <w:footnoteRef/>
      </w:r>
      <w:r w:rsidRPr="00500ADC">
        <w:rPr>
          <w:color w:val="000000"/>
        </w:rPr>
        <w:t xml:space="preserve"> </w:t>
      </w:r>
      <w:r w:rsidRPr="00B419A1">
        <w:t xml:space="preserve">ՀՀ ֆինանսների նախարարության հարկաբյուջետային քաղաքականության դինամիկ ստոխաստիկ ընդհանուր հավասարակշռության մոդելը մշակվել է 2018-2020թթ. ընթացքում՝ ԱՄՀ կողմից տրամադրված տեխնիկական աջակցության շրջանակներում, </w:t>
      </w:r>
      <w:r>
        <w:t>Առավել մանրամասն տ</w:t>
      </w:r>
      <w:r w:rsidRPr="00C7655E">
        <w:t>ե</w:t>
      </w:r>
      <w:r>
        <w:t>՛</w:t>
      </w:r>
      <w:r w:rsidRPr="00C7655E">
        <w:t>ս ՀՀ կառավարության 2021թ. բյուջե</w:t>
      </w:r>
      <w:r>
        <w:t>տային ուղերձ, Երևան 2020, էջ՝ 84,  ներդիր 2</w:t>
      </w:r>
      <w:r w:rsidRPr="00D64165">
        <w:t>:</w:t>
      </w:r>
    </w:p>
  </w:footnote>
  <w:footnote w:id="17">
    <w:p w14:paraId="2DD0082B" w14:textId="77777777" w:rsidR="00C024D9" w:rsidRPr="00EA45BA" w:rsidRDefault="00C024D9" w:rsidP="00B7540A">
      <w:pPr>
        <w:pStyle w:val="afb"/>
      </w:pPr>
      <w:r w:rsidRPr="00500ADC">
        <w:rPr>
          <w:rStyle w:val="FootnoteReference"/>
          <w:sz w:val="16"/>
          <w:szCs w:val="16"/>
        </w:rPr>
        <w:footnoteRef/>
      </w:r>
      <w:r w:rsidRPr="00500ADC">
        <w:t xml:space="preserve"> </w:t>
      </w:r>
      <w:r w:rsidRPr="00B419A1">
        <w:t>ՀՀ գործընկեր երկրների արտաքին պահանաջարկի ցուցանիշը ՀՀ ՖՆ գնահատականն է, որը հաշվարկվել է որպես Ռուսաստանի, ԱՄՆ-ի, Չինաստանի և Եվրոգոտու տնտեսական աճերի կշռված միջին՝ ՀՀ արտահանման կառուցվածքին համապատասխան:  ՀՀ գործընկեր երկրների տնտեսական աճերի 2021 և 2022 թթ. ԱՄՀ կողմից հրապարակված կանխատեսումները ներկայացված են Աղյուսակ 1.2.-ում</w:t>
      </w:r>
    </w:p>
  </w:footnote>
  <w:footnote w:id="18">
    <w:p w14:paraId="20D635EF" w14:textId="77777777" w:rsidR="00C024D9" w:rsidRPr="00E55F13" w:rsidRDefault="00C024D9" w:rsidP="00B7540A">
      <w:pPr>
        <w:pStyle w:val="afb"/>
      </w:pPr>
      <w:r w:rsidRPr="00E55F13">
        <w:rPr>
          <w:rStyle w:val="FootnoteReference"/>
          <w:sz w:val="16"/>
          <w:szCs w:val="16"/>
        </w:rPr>
        <w:footnoteRef/>
      </w:r>
      <w:r w:rsidRPr="00E55F13">
        <w:t xml:space="preserve"> Տե՛ս «Տնտեսական արձագանքման ծրագիրը և գործողությունների պլանը հաստատելու մասին» ՀՀ կառավարության 2021թ. փետրվարի 4-ի թիվ </w:t>
      </w:r>
      <w:r w:rsidRPr="00B419A1">
        <w:t>142-Լ որոշում, հավելված 1:</w:t>
      </w:r>
    </w:p>
  </w:footnote>
  <w:footnote w:id="19">
    <w:p w14:paraId="54DFE345" w14:textId="77777777" w:rsidR="00C024D9" w:rsidRPr="00500ADC" w:rsidRDefault="00C024D9" w:rsidP="00B7540A">
      <w:pPr>
        <w:pStyle w:val="afb"/>
      </w:pPr>
      <w:r w:rsidRPr="00E55F13">
        <w:rPr>
          <w:vertAlign w:val="superscript"/>
        </w:rPr>
        <w:footnoteRef/>
      </w:r>
      <w:r w:rsidRPr="00E55F13">
        <w:rPr>
          <w:vertAlign w:val="superscript"/>
        </w:rPr>
        <w:t xml:space="preserve"> </w:t>
      </w:r>
      <w:r w:rsidRPr="00E55F13">
        <w:t>Աղյուսակի 1-ին սյունը իրենից ներկայացնում է տնտեսական աճի հնարավոր միջա</w:t>
      </w:r>
      <w:r w:rsidRPr="00E55F13">
        <w:softHyphen/>
        <w:t xml:space="preserve">կայքերը, իսկ 2-ից 5-րդ սյուները` համապատասխան միջակայքերում միջնաժամկետում տնտեսական աճի գտնվելու հավանականությունները։ Աղյուսակում ներկայացվել են տնտեսական աճի ամենահավանական միջակայքերը, որոնք միասին ծածկում են բաշխման ընդհանուր հավանականության շուրջ 80%-ը, այսինքն` հավանականությունը, որ տնտեսական աճը կգտնվի 1.5%-ից </w:t>
      </w:r>
      <w:r w:rsidRPr="000927CC">
        <w:t>9</w:t>
      </w:r>
      <w:r w:rsidRPr="00E55F13">
        <w:t>.5% միջակայքում, կազմում է մոտ 80%: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DB6A4" w14:textId="673620CE" w:rsidR="00C024D9" w:rsidRPr="009B7D4F" w:rsidRDefault="004378BE" w:rsidP="009B7D4F">
    <w:pPr>
      <w:pStyle w:val="Header"/>
      <w:ind w:firstLine="0"/>
    </w:pPr>
    <w:r w:rsidRPr="00641BB8">
      <w:rPr>
        <w:noProof/>
      </w:rPr>
      <w:drawing>
        <wp:inline distT="0" distB="0" distL="0" distR="0" wp14:anchorId="22956AE2" wp14:editId="59323718">
          <wp:extent cx="594360" cy="457200"/>
          <wp:effectExtent l="0" t="0" r="0" b="0"/>
          <wp:docPr id="25" name="Picture 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No automatic alt text availab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430" cy="457254"/>
                  </a:xfrm>
                  <a:prstGeom prst="rect">
                    <a:avLst/>
                  </a:prstGeom>
                  <a:noFill/>
                  <a:extLst/>
                </pic:spPr>
              </pic:pic>
            </a:graphicData>
          </a:graphic>
        </wp:inline>
      </w:drawing>
    </w:r>
  </w:p>
  <w:p w14:paraId="4A349A1A" w14:textId="77777777" w:rsidR="00C024D9" w:rsidRDefault="00C024D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FFFFF83"/>
    <w:lvl w:ilvl="0">
      <w:start w:val="1"/>
      <w:numFmt w:val="bullet"/>
      <w:pStyle w:val="2ndheading"/>
      <w:lvlText w:val=""/>
      <w:lvlJc w:val="left"/>
      <w:pPr>
        <w:tabs>
          <w:tab w:val="left" w:pos="643"/>
        </w:tabs>
        <w:ind w:left="643" w:hanging="360"/>
      </w:pPr>
      <w:rPr>
        <w:rFonts w:ascii="Symbol" w:hAnsi="Symbol" w:hint="default"/>
      </w:rPr>
    </w:lvl>
  </w:abstractNum>
  <w:abstractNum w:abstractNumId="1"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2" w15:restartNumberingAfterBreak="0">
    <w:nsid w:val="034817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F033D1"/>
    <w:multiLevelType w:val="multilevel"/>
    <w:tmpl w:val="03F033D1"/>
    <w:lvl w:ilvl="0">
      <w:start w:val="1"/>
      <w:numFmt w:val="bullet"/>
      <w:pStyle w:val="num02"/>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4153C66"/>
    <w:multiLevelType w:val="multilevel"/>
    <w:tmpl w:val="04153C66"/>
    <w:lvl w:ilvl="0">
      <w:start w:val="1"/>
      <w:numFmt w:val="decimal"/>
      <w:lvlText w:val="%1."/>
      <w:lvlJc w:val="left"/>
      <w:pPr>
        <w:ind w:left="786"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5" w15:restartNumberingAfterBreak="0">
    <w:nsid w:val="04641FC6"/>
    <w:multiLevelType w:val="multilevel"/>
    <w:tmpl w:val="04641FC6"/>
    <w:lvl w:ilvl="0">
      <w:start w:val="1"/>
      <w:numFmt w:val="bullet"/>
      <w:lvlText w:val="-"/>
      <w:lvlJc w:val="left"/>
      <w:pPr>
        <w:ind w:left="720" w:hanging="360"/>
      </w:pPr>
      <w:rPr>
        <w:rFonts w:ascii="Times Armenian" w:eastAsia="Times New Roman" w:hAnsi="Times Armeni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B45AF4"/>
    <w:multiLevelType w:val="multilevel"/>
    <w:tmpl w:val="06B45AF4"/>
    <w:lvl w:ilvl="0">
      <w:start w:val="1"/>
      <w:numFmt w:val="decimal"/>
      <w:lvlText w:val="%1."/>
      <w:lvlJc w:val="left"/>
      <w:pPr>
        <w:ind w:left="1170" w:hanging="360"/>
      </w:pPr>
      <w:rPr>
        <w:rFonts w:cs="Sylfaen"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084C7D3A"/>
    <w:multiLevelType w:val="multilevel"/>
    <w:tmpl w:val="084C7D3A"/>
    <w:lvl w:ilvl="0">
      <w:start w:val="1"/>
      <w:numFmt w:val="decimal"/>
      <w:lvlText w:val="%1."/>
      <w:lvlJc w:val="left"/>
      <w:pPr>
        <w:ind w:left="720" w:hanging="360"/>
      </w:pPr>
      <w:rPr>
        <w:rFonts w:cs="Sylfaen" w:hint="default"/>
      </w:rPr>
    </w:lvl>
    <w:lvl w:ilvl="1">
      <w:start w:val="2"/>
      <w:numFmt w:val="decimal"/>
      <w:isLgl/>
      <w:lvlText w:val="%1.%2."/>
      <w:lvlJc w:val="left"/>
      <w:pPr>
        <w:ind w:left="990" w:hanging="720"/>
      </w:pPr>
      <w:rPr>
        <w:rFonts w:hint="default"/>
      </w:rPr>
    </w:lvl>
    <w:lvl w:ilvl="2">
      <w:start w:val="1"/>
      <w:numFmt w:val="decimal"/>
      <w:isLgl/>
      <w:lvlText w:val="%1.%2.%3."/>
      <w:lvlJc w:val="left"/>
      <w:pPr>
        <w:ind w:left="1854" w:hanging="108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3195" w:hanging="180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969" w:hanging="2160"/>
      </w:pPr>
      <w:rPr>
        <w:rFonts w:hint="default"/>
      </w:rPr>
    </w:lvl>
    <w:lvl w:ilvl="8">
      <w:start w:val="1"/>
      <w:numFmt w:val="decimal"/>
      <w:isLgl/>
      <w:lvlText w:val="%1.%2.%3.%4.%5.%6.%7.%8.%9."/>
      <w:lvlJc w:val="left"/>
      <w:pPr>
        <w:ind w:left="4536" w:hanging="2520"/>
      </w:pPr>
      <w:rPr>
        <w:rFonts w:hint="default"/>
      </w:rPr>
    </w:lvl>
  </w:abstractNum>
  <w:abstractNum w:abstractNumId="8" w15:restartNumberingAfterBreak="0">
    <w:nsid w:val="08832E5D"/>
    <w:multiLevelType w:val="hybridMultilevel"/>
    <w:tmpl w:val="1F8E07B2"/>
    <w:lvl w:ilvl="0" w:tplc="A05A480C">
      <w:start w:val="1"/>
      <w:numFmt w:val="decimal"/>
      <w:pStyle w:val="1"/>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0B613926"/>
    <w:multiLevelType w:val="hybridMultilevel"/>
    <w:tmpl w:val="44D616E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0C75171F"/>
    <w:multiLevelType w:val="hybridMultilevel"/>
    <w:tmpl w:val="6FD0E64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0CED22CD"/>
    <w:multiLevelType w:val="multilevel"/>
    <w:tmpl w:val="0CED22CD"/>
    <w:lvl w:ilvl="0">
      <w:start w:val="1"/>
      <w:numFmt w:val="decimal"/>
      <w:pStyle w:val="Style4"/>
      <w:lvlText w:val="´²ÄÆÜ %1."/>
      <w:lvlJc w:val="left"/>
      <w:pPr>
        <w:tabs>
          <w:tab w:val="left" w:pos="1531"/>
        </w:tabs>
        <w:ind w:left="1531" w:hanging="1531"/>
      </w:pPr>
      <w:rPr>
        <w:rFonts w:hint="default"/>
      </w:rPr>
    </w:lvl>
    <w:lvl w:ilvl="1">
      <w:start w:val="1"/>
      <w:numFmt w:val="decimal"/>
      <w:lvlRestart w:val="0"/>
      <w:pStyle w:val="annexedhead"/>
      <w:lvlText w:val="¶ÈàôÊ %2."/>
      <w:lvlJc w:val="left"/>
      <w:pPr>
        <w:tabs>
          <w:tab w:val="left" w:pos="1440"/>
        </w:tabs>
        <w:ind w:left="737" w:hanging="737"/>
      </w:pPr>
      <w:rPr>
        <w:rFonts w:hint="default"/>
      </w:rPr>
    </w:lvl>
    <w:lvl w:ilvl="2">
      <w:start w:val="1"/>
      <w:numFmt w:val="decimal"/>
      <w:pStyle w:val="StyleHeading3CenteredtextLinespacingsingle"/>
      <w:lvlText w:val="%2.%3."/>
      <w:lvlJc w:val="left"/>
      <w:pPr>
        <w:tabs>
          <w:tab w:val="left" w:pos="737"/>
        </w:tabs>
        <w:ind w:left="737" w:hanging="737"/>
      </w:pPr>
      <w:rPr>
        <w:rFonts w:hint="default"/>
      </w:rPr>
    </w:lvl>
    <w:lvl w:ilvl="3">
      <w:start w:val="1"/>
      <w:numFmt w:val="decimal"/>
      <w:lvlText w:val="%2.%3.%4."/>
      <w:lvlJc w:val="left"/>
      <w:pPr>
        <w:tabs>
          <w:tab w:val="left" w:pos="737"/>
        </w:tabs>
        <w:ind w:left="737" w:hanging="737"/>
      </w:pPr>
      <w:rPr>
        <w:rFonts w:hint="default"/>
      </w:rPr>
    </w:lvl>
    <w:lvl w:ilvl="4">
      <w:start w:val="1"/>
      <w:numFmt w:val="decimal"/>
      <w:lvlText w:val="%2.%3.%4.%5."/>
      <w:lvlJc w:val="left"/>
      <w:pPr>
        <w:tabs>
          <w:tab w:val="left" w:pos="907"/>
        </w:tabs>
        <w:ind w:left="907" w:hanging="907"/>
      </w:pPr>
      <w:rPr>
        <w:rFonts w:hint="default"/>
      </w:rPr>
    </w:lvl>
    <w:lvl w:ilvl="5">
      <w:start w:val="1"/>
      <w:numFmt w:val="decimal"/>
      <w:lvlText w:val="%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2" w15:restartNumberingAfterBreak="0">
    <w:nsid w:val="0FCB0450"/>
    <w:multiLevelType w:val="hybridMultilevel"/>
    <w:tmpl w:val="35F8B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100A40"/>
    <w:multiLevelType w:val="multilevel"/>
    <w:tmpl w:val="16100A4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15:restartNumberingAfterBreak="0">
    <w:nsid w:val="16160D04"/>
    <w:multiLevelType w:val="hybridMultilevel"/>
    <w:tmpl w:val="DC44A106"/>
    <w:lvl w:ilvl="0" w:tplc="7E840DCE">
      <w:start w:val="2024"/>
      <w:numFmt w:val="decimal"/>
      <w:lvlText w:val="%1"/>
      <w:lvlJc w:val="left"/>
      <w:pPr>
        <w:ind w:left="939" w:hanging="495"/>
      </w:pPr>
      <w:rPr>
        <w:rFonts w:cs="Arial Armenian"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15" w15:restartNumberingAfterBreak="0">
    <w:nsid w:val="17B77B63"/>
    <w:multiLevelType w:val="multilevel"/>
    <w:tmpl w:val="17B77B63"/>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1A961462"/>
    <w:multiLevelType w:val="multilevel"/>
    <w:tmpl w:val="1A96146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15:restartNumberingAfterBreak="0">
    <w:nsid w:val="1B4274B2"/>
    <w:multiLevelType w:val="hybridMultilevel"/>
    <w:tmpl w:val="8D88153E"/>
    <w:lvl w:ilvl="0" w:tplc="4A3EAB78">
      <w:numFmt w:val="bullet"/>
      <w:lvlText w:val="-"/>
      <w:lvlJc w:val="left"/>
      <w:pPr>
        <w:tabs>
          <w:tab w:val="num" w:pos="750"/>
        </w:tabs>
        <w:ind w:left="750" w:hanging="390"/>
      </w:pPr>
      <w:rPr>
        <w:rFonts w:ascii="Arial LatArm" w:eastAsia="Times New Roman" w:hAnsi="Arial LatArm"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1DEB690F"/>
    <w:multiLevelType w:val="multilevel"/>
    <w:tmpl w:val="1DEB690F"/>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9" w15:restartNumberingAfterBreak="0">
    <w:nsid w:val="1F511889"/>
    <w:multiLevelType w:val="multilevel"/>
    <w:tmpl w:val="EC6C7DC8"/>
    <w:lvl w:ilvl="0">
      <w:start w:val="2"/>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0755021"/>
    <w:multiLevelType w:val="multilevel"/>
    <w:tmpl w:val="207550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A707DA"/>
    <w:multiLevelType w:val="hybridMultilevel"/>
    <w:tmpl w:val="E7566F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AD5C9D"/>
    <w:multiLevelType w:val="multilevel"/>
    <w:tmpl w:val="862A8F70"/>
    <w:lvl w:ilvl="0">
      <w:start w:val="1"/>
      <w:numFmt w:val="decimal"/>
      <w:pStyle w:val="a"/>
      <w:lvlText w:val="%1."/>
      <w:lvlJc w:val="right"/>
      <w:pPr>
        <w:ind w:left="360" w:hanging="360"/>
      </w:pPr>
      <w:rPr>
        <w:rFonts w:hint="default"/>
      </w:rPr>
    </w:lvl>
    <w:lvl w:ilvl="1">
      <w:start w:val="1"/>
      <w:numFmt w:val="decimal"/>
      <w:pStyle w:val="a0"/>
      <w:lvlText w:val="%1.%2."/>
      <w:lvlJc w:val="left"/>
      <w:pPr>
        <w:ind w:left="1062" w:hanging="432"/>
      </w:pPr>
      <w:rPr>
        <w:rFonts w:hint="default"/>
        <w:sz w:val="28"/>
        <w:szCs w:val="28"/>
      </w:rPr>
    </w:lvl>
    <w:lvl w:ilvl="2">
      <w:start w:val="1"/>
      <w:numFmt w:val="decimal"/>
      <w:pStyle w:val="a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4C13DF6"/>
    <w:multiLevelType w:val="multilevel"/>
    <w:tmpl w:val="4F5A80D2"/>
    <w:lvl w:ilvl="0">
      <w:start w:val="1"/>
      <w:numFmt w:val="decimal"/>
      <w:lvlText w:val="Գլուխ %1."/>
      <w:lvlJc w:val="left"/>
      <w:pPr>
        <w:ind w:left="8866" w:hanging="360"/>
      </w:pPr>
      <w:rPr>
        <w:rFonts w:ascii="GHEA Grapalat" w:hAnsi="GHEA Grapalat" w:hint="default"/>
        <w:b/>
        <w:i w:val="0"/>
        <w:sz w:val="26"/>
        <w:szCs w:val="26"/>
      </w:rPr>
    </w:lvl>
    <w:lvl w:ilvl="1">
      <w:start w:val="1"/>
      <w:numFmt w:val="decimal"/>
      <w:lvlText w:val="%1.%2."/>
      <w:lvlJc w:val="left"/>
      <w:pPr>
        <w:ind w:left="9080" w:hanging="432"/>
      </w:pPr>
      <w:rPr>
        <w:b/>
        <w:bCs w:val="0"/>
      </w:rPr>
    </w:lvl>
    <w:lvl w:ilvl="2">
      <w:start w:val="1"/>
      <w:numFmt w:val="decimal"/>
      <w:lvlText w:val="%1.%2.%3."/>
      <w:lvlJc w:val="left"/>
      <w:pPr>
        <w:ind w:left="9162" w:hanging="504"/>
      </w:pPr>
    </w:lvl>
    <w:lvl w:ilvl="3">
      <w:start w:val="1"/>
      <w:numFmt w:val="decimal"/>
      <w:lvlText w:val="%1.%2.%3.%4."/>
      <w:lvlJc w:val="left"/>
      <w:pPr>
        <w:ind w:left="9666" w:hanging="648"/>
      </w:pPr>
    </w:lvl>
    <w:lvl w:ilvl="4">
      <w:start w:val="1"/>
      <w:numFmt w:val="decimal"/>
      <w:lvlText w:val="%1.%2.%3.%4.%5."/>
      <w:lvlJc w:val="left"/>
      <w:pPr>
        <w:ind w:left="10170" w:hanging="792"/>
      </w:pPr>
    </w:lvl>
    <w:lvl w:ilvl="5">
      <w:start w:val="1"/>
      <w:numFmt w:val="decimal"/>
      <w:lvlText w:val="%1.%2.%3.%4.%5.%6."/>
      <w:lvlJc w:val="left"/>
      <w:pPr>
        <w:ind w:left="10674" w:hanging="936"/>
      </w:pPr>
    </w:lvl>
    <w:lvl w:ilvl="6">
      <w:start w:val="1"/>
      <w:numFmt w:val="decimal"/>
      <w:lvlText w:val="%1.%2.%3.%4.%5.%6.%7."/>
      <w:lvlJc w:val="left"/>
      <w:pPr>
        <w:ind w:left="11178" w:hanging="1080"/>
      </w:pPr>
    </w:lvl>
    <w:lvl w:ilvl="7">
      <w:start w:val="1"/>
      <w:numFmt w:val="decimal"/>
      <w:lvlText w:val="%1.%2.%3.%4.%5.%6.%7.%8."/>
      <w:lvlJc w:val="left"/>
      <w:pPr>
        <w:ind w:left="11682" w:hanging="1224"/>
      </w:pPr>
    </w:lvl>
    <w:lvl w:ilvl="8">
      <w:start w:val="1"/>
      <w:numFmt w:val="decimal"/>
      <w:lvlText w:val="%1.%2.%3.%4.%5.%6.%7.%8.%9."/>
      <w:lvlJc w:val="left"/>
      <w:pPr>
        <w:ind w:left="12258" w:hanging="1440"/>
      </w:pPr>
    </w:lvl>
  </w:abstractNum>
  <w:abstractNum w:abstractNumId="24" w15:restartNumberingAfterBreak="0">
    <w:nsid w:val="26AF3749"/>
    <w:multiLevelType w:val="multilevel"/>
    <w:tmpl w:val="26AF3749"/>
    <w:lvl w:ilvl="0">
      <w:start w:val="1"/>
      <w:numFmt w:val="bullet"/>
      <w:lvlText w:val="-"/>
      <w:lvlJc w:val="left"/>
      <w:pPr>
        <w:tabs>
          <w:tab w:val="left" w:pos="9008"/>
        </w:tabs>
        <w:ind w:left="9008" w:hanging="360"/>
      </w:pPr>
      <w:rPr>
        <w:rFonts w:ascii="Times Armenian" w:eastAsia="Times New Roman" w:hAnsi="Times Armenian" w:cs="Times New Roman" w:hint="default"/>
        <w:b w:val="0"/>
      </w:rPr>
    </w:lvl>
    <w:lvl w:ilvl="1">
      <w:start w:val="1"/>
      <w:numFmt w:val="bullet"/>
      <w:lvlText w:val="o"/>
      <w:lvlJc w:val="left"/>
      <w:pPr>
        <w:tabs>
          <w:tab w:val="left" w:pos="1440"/>
        </w:tabs>
        <w:ind w:left="1440" w:hanging="360"/>
      </w:pPr>
      <w:rPr>
        <w:rFonts w:ascii="Courier New" w:hAnsi="Courier New" w:cs="Arial Armeni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Arial Armeni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Arial Armeni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2C0D17E8"/>
    <w:multiLevelType w:val="multilevel"/>
    <w:tmpl w:val="2C0D17E8"/>
    <w:lvl w:ilvl="0">
      <w:start w:val="110"/>
      <w:numFmt w:val="bullet"/>
      <w:pStyle w:val="ListBullet2"/>
      <w:lvlText w:val="-"/>
      <w:lvlJc w:val="left"/>
      <w:pPr>
        <w:tabs>
          <w:tab w:val="left" w:pos="1575"/>
        </w:tabs>
        <w:ind w:left="1575" w:hanging="975"/>
      </w:pPr>
      <w:rPr>
        <w:rFonts w:ascii="Times Armenian" w:eastAsia="Times New Roman" w:hAnsi="Times Armenian" w:cs="Times New Roman" w:hint="default"/>
      </w:rPr>
    </w:lvl>
    <w:lvl w:ilvl="1">
      <w:start w:val="1"/>
      <w:numFmt w:val="bullet"/>
      <w:lvlText w:val="o"/>
      <w:lvlJc w:val="left"/>
      <w:pPr>
        <w:tabs>
          <w:tab w:val="left" w:pos="1680"/>
        </w:tabs>
        <w:ind w:left="1680" w:hanging="360"/>
      </w:pPr>
      <w:rPr>
        <w:rFonts w:ascii="Courier New" w:hAnsi="Courier New" w:cs="Courier New" w:hint="default"/>
      </w:rPr>
    </w:lvl>
    <w:lvl w:ilvl="2">
      <w:start w:val="1"/>
      <w:numFmt w:val="bullet"/>
      <w:lvlText w:val=""/>
      <w:lvlJc w:val="left"/>
      <w:pPr>
        <w:tabs>
          <w:tab w:val="left" w:pos="2400"/>
        </w:tabs>
        <w:ind w:left="2400" w:hanging="360"/>
      </w:pPr>
      <w:rPr>
        <w:rFonts w:ascii="Wingdings" w:hAnsi="Wingdings" w:hint="default"/>
      </w:rPr>
    </w:lvl>
    <w:lvl w:ilvl="3">
      <w:start w:val="1"/>
      <w:numFmt w:val="bullet"/>
      <w:lvlText w:val=""/>
      <w:lvlJc w:val="left"/>
      <w:pPr>
        <w:tabs>
          <w:tab w:val="left" w:pos="3120"/>
        </w:tabs>
        <w:ind w:left="3120" w:hanging="360"/>
      </w:pPr>
      <w:rPr>
        <w:rFonts w:ascii="Symbol" w:hAnsi="Symbol" w:hint="default"/>
      </w:rPr>
    </w:lvl>
    <w:lvl w:ilvl="4">
      <w:start w:val="1"/>
      <w:numFmt w:val="bullet"/>
      <w:lvlText w:val="o"/>
      <w:lvlJc w:val="left"/>
      <w:pPr>
        <w:tabs>
          <w:tab w:val="left" w:pos="3840"/>
        </w:tabs>
        <w:ind w:left="3840" w:hanging="360"/>
      </w:pPr>
      <w:rPr>
        <w:rFonts w:ascii="Courier New" w:hAnsi="Courier New" w:cs="Courier New" w:hint="default"/>
      </w:rPr>
    </w:lvl>
    <w:lvl w:ilvl="5">
      <w:start w:val="1"/>
      <w:numFmt w:val="bullet"/>
      <w:lvlText w:val=""/>
      <w:lvlJc w:val="left"/>
      <w:pPr>
        <w:tabs>
          <w:tab w:val="left" w:pos="4560"/>
        </w:tabs>
        <w:ind w:left="4560" w:hanging="360"/>
      </w:pPr>
      <w:rPr>
        <w:rFonts w:ascii="Wingdings" w:hAnsi="Wingdings" w:hint="default"/>
      </w:rPr>
    </w:lvl>
    <w:lvl w:ilvl="6">
      <w:start w:val="1"/>
      <w:numFmt w:val="bullet"/>
      <w:lvlText w:val=""/>
      <w:lvlJc w:val="left"/>
      <w:pPr>
        <w:tabs>
          <w:tab w:val="left" w:pos="5280"/>
        </w:tabs>
        <w:ind w:left="5280" w:hanging="360"/>
      </w:pPr>
      <w:rPr>
        <w:rFonts w:ascii="Symbol" w:hAnsi="Symbol" w:hint="default"/>
      </w:rPr>
    </w:lvl>
    <w:lvl w:ilvl="7">
      <w:start w:val="1"/>
      <w:numFmt w:val="bullet"/>
      <w:lvlText w:val="o"/>
      <w:lvlJc w:val="left"/>
      <w:pPr>
        <w:tabs>
          <w:tab w:val="left" w:pos="6000"/>
        </w:tabs>
        <w:ind w:left="6000" w:hanging="360"/>
      </w:pPr>
      <w:rPr>
        <w:rFonts w:ascii="Courier New" w:hAnsi="Courier New" w:cs="Courier New" w:hint="default"/>
      </w:rPr>
    </w:lvl>
    <w:lvl w:ilvl="8">
      <w:start w:val="1"/>
      <w:numFmt w:val="bullet"/>
      <w:lvlText w:val=""/>
      <w:lvlJc w:val="left"/>
      <w:pPr>
        <w:tabs>
          <w:tab w:val="left" w:pos="6720"/>
        </w:tabs>
        <w:ind w:left="6720" w:hanging="360"/>
      </w:pPr>
      <w:rPr>
        <w:rFonts w:ascii="Wingdings" w:hAnsi="Wingdings" w:hint="default"/>
      </w:rPr>
    </w:lvl>
  </w:abstractNum>
  <w:abstractNum w:abstractNumId="26" w15:restartNumberingAfterBreak="0">
    <w:nsid w:val="2C5E40CC"/>
    <w:multiLevelType w:val="multilevel"/>
    <w:tmpl w:val="2C5E40CC"/>
    <w:lvl w:ilvl="0">
      <w:numFmt w:val="bullet"/>
      <w:lvlText w:val="-"/>
      <w:lvlJc w:val="left"/>
      <w:pPr>
        <w:ind w:left="1080" w:hanging="360"/>
      </w:pPr>
      <w:rPr>
        <w:rFonts w:ascii="Cambria Math" w:eastAsia="Times New Roman" w:hAnsi="Cambria Math"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2EC57CAF"/>
    <w:multiLevelType w:val="multilevel"/>
    <w:tmpl w:val="86E8E9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42235AC"/>
    <w:multiLevelType w:val="hybridMultilevel"/>
    <w:tmpl w:val="4F4A4EE6"/>
    <w:lvl w:ilvl="0" w:tplc="04090001">
      <w:start w:val="1"/>
      <w:numFmt w:val="bullet"/>
      <w:lvlText w:val=""/>
      <w:lvlJc w:val="left"/>
      <w:pPr>
        <w:ind w:left="1440" w:hanging="360"/>
      </w:pPr>
      <w:rPr>
        <w:rFonts w:ascii="Symbol" w:hAnsi="Symbol" w:hint="default"/>
      </w:rPr>
    </w:lvl>
    <w:lvl w:ilvl="1" w:tplc="4FEEEB46">
      <w:start w:val="1"/>
      <w:numFmt w:val="bullet"/>
      <w:lvlText w:val="-"/>
      <w:lvlJc w:val="left"/>
      <w:pPr>
        <w:ind w:left="2160" w:hanging="360"/>
      </w:pPr>
      <w:rPr>
        <w:rFonts w:ascii="MS Reference Sans Serif" w:hAnsi="MS Reference Sans Serif"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6895908"/>
    <w:multiLevelType w:val="multilevel"/>
    <w:tmpl w:val="36895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8B70647"/>
    <w:multiLevelType w:val="multilevel"/>
    <w:tmpl w:val="38B70647"/>
    <w:lvl w:ilvl="0">
      <w:start w:val="1"/>
      <w:numFmt w:val="decimal"/>
      <w:pStyle w:val="StyleGHEAGrapalatJustifiedBefore12p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8D45687"/>
    <w:multiLevelType w:val="multilevel"/>
    <w:tmpl w:val="4B3460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a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BD75F1D"/>
    <w:multiLevelType w:val="hybridMultilevel"/>
    <w:tmpl w:val="A90CB496"/>
    <w:lvl w:ilvl="0" w:tplc="865009B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936805"/>
    <w:multiLevelType w:val="multilevel"/>
    <w:tmpl w:val="3D936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E0D40F5"/>
    <w:multiLevelType w:val="hybridMultilevel"/>
    <w:tmpl w:val="EBA60766"/>
    <w:lvl w:ilvl="0" w:tplc="04090001">
      <w:start w:val="1"/>
      <w:numFmt w:val="bullet"/>
      <w:lvlText w:val=""/>
      <w:lvlJc w:val="left"/>
      <w:pPr>
        <w:tabs>
          <w:tab w:val="num" w:pos="480"/>
        </w:tabs>
        <w:ind w:left="4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nsolas" w:hAnsi="Consola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nsolas" w:hAnsi="Consola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nsolas" w:hAnsi="Consola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F793821"/>
    <w:multiLevelType w:val="hybridMultilevel"/>
    <w:tmpl w:val="355C92D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nsolas" w:hAnsi="Consola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nsolas" w:hAnsi="Consola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nsolas" w:hAnsi="Consola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FD92906"/>
    <w:multiLevelType w:val="hybridMultilevel"/>
    <w:tmpl w:val="EC62FA08"/>
    <w:lvl w:ilvl="0" w:tplc="55B69B90">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413714AE"/>
    <w:multiLevelType w:val="hybridMultilevel"/>
    <w:tmpl w:val="F3466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A329F3"/>
    <w:multiLevelType w:val="multilevel"/>
    <w:tmpl w:val="42A329F3"/>
    <w:lvl w:ilvl="0">
      <w:start w:val="1"/>
      <w:numFmt w:val="decimal"/>
      <w:pStyle w:val="StyleGHEAGrapalatJustifiedAfter6ptLinespacingMultip"/>
      <w:lvlText w:val="%1)"/>
      <w:lvlJc w:val="left"/>
      <w:pPr>
        <w:ind w:left="1008" w:hanging="360"/>
      </w:pPr>
    </w:lvl>
    <w:lvl w:ilvl="1">
      <w:start w:val="7"/>
      <w:numFmt w:val="decimal"/>
      <w:lvlText w:val="%2."/>
      <w:lvlJc w:val="left"/>
      <w:pPr>
        <w:tabs>
          <w:tab w:val="left" w:pos="1728"/>
        </w:tabs>
        <w:ind w:left="1728" w:hanging="360"/>
      </w:pPr>
      <w:rPr>
        <w:rFonts w:hint="default"/>
      </w:r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39" w15:restartNumberingAfterBreak="0">
    <w:nsid w:val="44857514"/>
    <w:multiLevelType w:val="hybridMultilevel"/>
    <w:tmpl w:val="CDBC651C"/>
    <w:lvl w:ilvl="0" w:tplc="3998D056">
      <w:start w:val="1"/>
      <w:numFmt w:val="decimal"/>
      <w:lvlText w:val="Գծապատկեր %1."/>
      <w:lvlJc w:val="left"/>
      <w:pPr>
        <w:ind w:left="720" w:hanging="360"/>
      </w:pPr>
      <w:rPr>
        <w:rFonts w:hint="default"/>
        <w:color w:val="auto"/>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65A38FD"/>
    <w:multiLevelType w:val="hybridMultilevel"/>
    <w:tmpl w:val="F5625D20"/>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6A60E9F"/>
    <w:multiLevelType w:val="multilevel"/>
    <w:tmpl w:val="46A60E9F"/>
    <w:lvl w:ilvl="0">
      <w:start w:val="5"/>
      <w:numFmt w:val="decimal"/>
      <w:lvlText w:val="%1."/>
      <w:lvlJc w:val="left"/>
      <w:pPr>
        <w:ind w:left="1066" w:hanging="360"/>
      </w:pPr>
      <w:rPr>
        <w:rFonts w:cs="Arial" w:hint="default"/>
        <w:b/>
      </w:rPr>
    </w:lvl>
    <w:lvl w:ilvl="1">
      <w:start w:val="1"/>
      <w:numFmt w:val="lowerLetter"/>
      <w:lvlText w:val="%2."/>
      <w:lvlJc w:val="left"/>
      <w:pPr>
        <w:ind w:left="1786" w:hanging="360"/>
      </w:pPr>
    </w:lvl>
    <w:lvl w:ilvl="2">
      <w:start w:val="1"/>
      <w:numFmt w:val="lowerRoman"/>
      <w:lvlText w:val="%3."/>
      <w:lvlJc w:val="right"/>
      <w:pPr>
        <w:ind w:left="2506" w:hanging="180"/>
      </w:pPr>
    </w:lvl>
    <w:lvl w:ilvl="3">
      <w:start w:val="1"/>
      <w:numFmt w:val="decimal"/>
      <w:lvlText w:val="%4."/>
      <w:lvlJc w:val="left"/>
      <w:pPr>
        <w:ind w:left="3226" w:hanging="360"/>
      </w:pPr>
    </w:lvl>
    <w:lvl w:ilvl="4">
      <w:start w:val="1"/>
      <w:numFmt w:val="lowerLetter"/>
      <w:lvlText w:val="%5."/>
      <w:lvlJc w:val="left"/>
      <w:pPr>
        <w:ind w:left="3946" w:hanging="360"/>
      </w:pPr>
    </w:lvl>
    <w:lvl w:ilvl="5">
      <w:start w:val="1"/>
      <w:numFmt w:val="lowerRoman"/>
      <w:lvlText w:val="%6."/>
      <w:lvlJc w:val="right"/>
      <w:pPr>
        <w:ind w:left="4666" w:hanging="180"/>
      </w:pPr>
    </w:lvl>
    <w:lvl w:ilvl="6">
      <w:start w:val="1"/>
      <w:numFmt w:val="decimal"/>
      <w:lvlText w:val="%7."/>
      <w:lvlJc w:val="left"/>
      <w:pPr>
        <w:ind w:left="5386" w:hanging="360"/>
      </w:pPr>
    </w:lvl>
    <w:lvl w:ilvl="7">
      <w:start w:val="1"/>
      <w:numFmt w:val="lowerLetter"/>
      <w:lvlText w:val="%8."/>
      <w:lvlJc w:val="left"/>
      <w:pPr>
        <w:ind w:left="6106" w:hanging="360"/>
      </w:pPr>
    </w:lvl>
    <w:lvl w:ilvl="8">
      <w:start w:val="1"/>
      <w:numFmt w:val="lowerRoman"/>
      <w:lvlText w:val="%9."/>
      <w:lvlJc w:val="right"/>
      <w:pPr>
        <w:ind w:left="6826" w:hanging="180"/>
      </w:pPr>
    </w:lvl>
  </w:abstractNum>
  <w:abstractNum w:abstractNumId="42" w15:restartNumberingAfterBreak="0">
    <w:nsid w:val="4728094A"/>
    <w:multiLevelType w:val="hybridMultilevel"/>
    <w:tmpl w:val="2ADCA4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9E327F"/>
    <w:multiLevelType w:val="hybridMultilevel"/>
    <w:tmpl w:val="F512520E"/>
    <w:lvl w:ilvl="0" w:tplc="87E86318">
      <w:numFmt w:val="bullet"/>
      <w:lvlText w:val="-"/>
      <w:lvlJc w:val="left"/>
      <w:pPr>
        <w:ind w:left="718" w:hanging="360"/>
      </w:pPr>
      <w:rPr>
        <w:rFonts w:ascii="GHEA Grapalat" w:eastAsia="Times New Roman" w:hAnsi="GHEA Grapalat" w:cs="Sylfaen"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4" w15:restartNumberingAfterBreak="0">
    <w:nsid w:val="4F8B4BBF"/>
    <w:multiLevelType w:val="hybridMultilevel"/>
    <w:tmpl w:val="4D4CDFE4"/>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524D0ED6"/>
    <w:multiLevelType w:val="hybridMultilevel"/>
    <w:tmpl w:val="A2DAF0E2"/>
    <w:lvl w:ilvl="0" w:tplc="4A3EAB78">
      <w:numFmt w:val="bullet"/>
      <w:lvlText w:val="-"/>
      <w:lvlJc w:val="left"/>
      <w:pPr>
        <w:ind w:left="720" w:hanging="360"/>
      </w:pPr>
      <w:rPr>
        <w:rFonts w:ascii="Arial LatArm" w:eastAsia="Times New Roman" w:hAnsi="Arial LatArm"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E65301"/>
    <w:multiLevelType w:val="hybridMultilevel"/>
    <w:tmpl w:val="4DF8768E"/>
    <w:lvl w:ilvl="0" w:tplc="8C6C9F6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6247228"/>
    <w:multiLevelType w:val="multilevel"/>
    <w:tmpl w:val="56247228"/>
    <w:lvl w:ilvl="0">
      <w:numFmt w:val="bullet"/>
      <w:pStyle w:val="a3"/>
      <w:lvlText w:val="-"/>
      <w:lvlJc w:val="left"/>
      <w:pPr>
        <w:tabs>
          <w:tab w:val="left" w:pos="360"/>
        </w:tabs>
        <w:ind w:left="0" w:firstLine="0"/>
      </w:pPr>
      <w:rPr>
        <w:rFonts w:ascii="Times Armenian" w:eastAsia="Times New Roman" w:hAnsi="Times Armenian" w:cs="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8" w15:restartNumberingAfterBreak="0">
    <w:nsid w:val="58981591"/>
    <w:multiLevelType w:val="multilevel"/>
    <w:tmpl w:val="58981591"/>
    <w:lvl w:ilvl="0">
      <w:start w:val="1"/>
      <w:numFmt w:val="bullet"/>
      <w:pStyle w:val="ListDash"/>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13503"/>
    <w:multiLevelType w:val="hybridMultilevel"/>
    <w:tmpl w:val="DA06CEA8"/>
    <w:lvl w:ilvl="0" w:tplc="87E86318">
      <w:numFmt w:val="bullet"/>
      <w:lvlText w:val="-"/>
      <w:lvlJc w:val="left"/>
      <w:pPr>
        <w:ind w:left="720" w:hanging="360"/>
      </w:pPr>
      <w:rPr>
        <w:rFonts w:ascii="GHEA Grapalat" w:eastAsia="Times New Roman" w:hAnsi="GHEA Grapalat"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B0F2997"/>
    <w:multiLevelType w:val="multilevel"/>
    <w:tmpl w:val="5B0F2997"/>
    <w:lvl w:ilvl="0">
      <w:start w:val="1"/>
      <w:numFmt w:val="bullet"/>
      <w:pStyle w:val="CM31"/>
      <w:lvlText w:val=""/>
      <w:lvlJc w:val="left"/>
      <w:pPr>
        <w:tabs>
          <w:tab w:val="left" w:pos="1429"/>
        </w:tabs>
        <w:ind w:left="1429" w:hanging="360"/>
      </w:pPr>
      <w:rPr>
        <w:rFonts w:ascii="Symbol" w:hAnsi="Symbol" w:hint="default"/>
      </w:rPr>
    </w:lvl>
    <w:lvl w:ilvl="1">
      <w:start w:val="1"/>
      <w:numFmt w:val="bullet"/>
      <w:lvlText w:val="o"/>
      <w:lvlJc w:val="left"/>
      <w:pPr>
        <w:tabs>
          <w:tab w:val="left" w:pos="2149"/>
        </w:tabs>
        <w:ind w:left="2149" w:hanging="360"/>
      </w:pPr>
      <w:rPr>
        <w:rFonts w:ascii="Courier New" w:hAnsi="Courier New" w:cs="Courier New" w:hint="default"/>
      </w:rPr>
    </w:lvl>
    <w:lvl w:ilvl="2">
      <w:start w:val="1"/>
      <w:numFmt w:val="bullet"/>
      <w:lvlText w:val=""/>
      <w:lvlJc w:val="left"/>
      <w:pPr>
        <w:tabs>
          <w:tab w:val="left" w:pos="2869"/>
        </w:tabs>
        <w:ind w:left="2869" w:hanging="360"/>
      </w:pPr>
      <w:rPr>
        <w:rFonts w:ascii="Wingdings" w:hAnsi="Wingdings" w:hint="default"/>
      </w:rPr>
    </w:lvl>
    <w:lvl w:ilvl="3">
      <w:start w:val="1"/>
      <w:numFmt w:val="bullet"/>
      <w:lvlText w:val=""/>
      <w:lvlJc w:val="left"/>
      <w:pPr>
        <w:tabs>
          <w:tab w:val="left" w:pos="3589"/>
        </w:tabs>
        <w:ind w:left="3589" w:hanging="360"/>
      </w:pPr>
      <w:rPr>
        <w:rFonts w:ascii="Symbol" w:hAnsi="Symbol" w:hint="default"/>
      </w:rPr>
    </w:lvl>
    <w:lvl w:ilvl="4">
      <w:start w:val="1"/>
      <w:numFmt w:val="bullet"/>
      <w:lvlText w:val="o"/>
      <w:lvlJc w:val="left"/>
      <w:pPr>
        <w:tabs>
          <w:tab w:val="left" w:pos="4309"/>
        </w:tabs>
        <w:ind w:left="4309" w:hanging="360"/>
      </w:pPr>
      <w:rPr>
        <w:rFonts w:ascii="Courier New" w:hAnsi="Courier New" w:cs="Courier New" w:hint="default"/>
      </w:rPr>
    </w:lvl>
    <w:lvl w:ilvl="5">
      <w:start w:val="1"/>
      <w:numFmt w:val="bullet"/>
      <w:lvlText w:val=""/>
      <w:lvlJc w:val="left"/>
      <w:pPr>
        <w:tabs>
          <w:tab w:val="left" w:pos="5029"/>
        </w:tabs>
        <w:ind w:left="5029" w:hanging="360"/>
      </w:pPr>
      <w:rPr>
        <w:rFonts w:ascii="Wingdings" w:hAnsi="Wingdings" w:hint="default"/>
      </w:rPr>
    </w:lvl>
    <w:lvl w:ilvl="6">
      <w:start w:val="1"/>
      <w:numFmt w:val="bullet"/>
      <w:lvlText w:val=""/>
      <w:lvlJc w:val="left"/>
      <w:pPr>
        <w:tabs>
          <w:tab w:val="left" w:pos="5749"/>
        </w:tabs>
        <w:ind w:left="5749" w:hanging="360"/>
      </w:pPr>
      <w:rPr>
        <w:rFonts w:ascii="Symbol" w:hAnsi="Symbol" w:hint="default"/>
      </w:rPr>
    </w:lvl>
    <w:lvl w:ilvl="7">
      <w:start w:val="1"/>
      <w:numFmt w:val="bullet"/>
      <w:lvlText w:val="o"/>
      <w:lvlJc w:val="left"/>
      <w:pPr>
        <w:tabs>
          <w:tab w:val="left" w:pos="6469"/>
        </w:tabs>
        <w:ind w:left="6469" w:hanging="360"/>
      </w:pPr>
      <w:rPr>
        <w:rFonts w:ascii="Courier New" w:hAnsi="Courier New" w:cs="Courier New" w:hint="default"/>
      </w:rPr>
    </w:lvl>
    <w:lvl w:ilvl="8">
      <w:start w:val="1"/>
      <w:numFmt w:val="bullet"/>
      <w:lvlText w:val=""/>
      <w:lvlJc w:val="left"/>
      <w:pPr>
        <w:tabs>
          <w:tab w:val="left" w:pos="7189"/>
        </w:tabs>
        <w:ind w:left="7189" w:hanging="360"/>
      </w:pPr>
      <w:rPr>
        <w:rFonts w:ascii="Wingdings" w:hAnsi="Wingdings" w:hint="default"/>
      </w:rPr>
    </w:lvl>
  </w:abstractNum>
  <w:abstractNum w:abstractNumId="51" w15:restartNumberingAfterBreak="0">
    <w:nsid w:val="5B4826EC"/>
    <w:multiLevelType w:val="hybridMultilevel"/>
    <w:tmpl w:val="D77AE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B4A6EA8"/>
    <w:multiLevelType w:val="multilevel"/>
    <w:tmpl w:val="5B4A6EA8"/>
    <w:lvl w:ilvl="0">
      <w:start w:val="1"/>
      <w:numFmt w:val="decimal"/>
      <w:pStyle w:val="Numberedtext"/>
      <w:lvlText w:val="%1."/>
      <w:lvlJc w:val="left"/>
      <w:pPr>
        <w:tabs>
          <w:tab w:val="left" w:pos="1004"/>
        </w:tabs>
        <w:ind w:left="1004" w:hanging="284"/>
      </w:pPr>
      <w:rPr>
        <w:rFonts w:cs="Times New Roman" w:hint="default"/>
      </w:rPr>
    </w:lvl>
    <w:lvl w:ilvl="1">
      <w:start w:val="1"/>
      <w:numFmt w:val="lowerLetter"/>
      <w:lvlText w:val="%2."/>
      <w:lvlJc w:val="left"/>
      <w:pPr>
        <w:tabs>
          <w:tab w:val="left" w:pos="1287"/>
        </w:tabs>
        <w:ind w:left="1287" w:hanging="283"/>
      </w:pPr>
      <w:rPr>
        <w:rFonts w:cs="Times New Roman" w:hint="default"/>
      </w:rPr>
    </w:lvl>
    <w:lvl w:ilvl="2">
      <w:start w:val="1"/>
      <w:numFmt w:val="lowerRoman"/>
      <w:lvlText w:val="%3."/>
      <w:lvlJc w:val="left"/>
      <w:pPr>
        <w:tabs>
          <w:tab w:val="left" w:pos="1571"/>
        </w:tabs>
        <w:ind w:left="1571" w:hanging="284"/>
      </w:pPr>
      <w:rPr>
        <w:rFonts w:cs="Times New Roman" w:hint="default"/>
      </w:rPr>
    </w:lvl>
    <w:lvl w:ilvl="3">
      <w:start w:val="1"/>
      <w:numFmt w:val="none"/>
      <w:lvlText w:val=""/>
      <w:lvlJc w:val="left"/>
      <w:pPr>
        <w:tabs>
          <w:tab w:val="left" w:pos="1571"/>
        </w:tabs>
        <w:ind w:left="1571"/>
      </w:pPr>
      <w:rPr>
        <w:rFonts w:cs="Times New Roman" w:hint="default"/>
      </w:rPr>
    </w:lvl>
    <w:lvl w:ilvl="4">
      <w:start w:val="1"/>
      <w:numFmt w:val="none"/>
      <w:lvlText w:val=""/>
      <w:lvlJc w:val="left"/>
      <w:pPr>
        <w:tabs>
          <w:tab w:val="left" w:pos="1571"/>
        </w:tabs>
        <w:ind w:left="1571"/>
      </w:pPr>
      <w:rPr>
        <w:rFonts w:cs="Times New Roman" w:hint="default"/>
      </w:rPr>
    </w:lvl>
    <w:lvl w:ilvl="5">
      <w:start w:val="1"/>
      <w:numFmt w:val="none"/>
      <w:lvlText w:val=""/>
      <w:lvlJc w:val="left"/>
      <w:pPr>
        <w:tabs>
          <w:tab w:val="left" w:pos="1571"/>
        </w:tabs>
        <w:ind w:left="1571"/>
      </w:pPr>
      <w:rPr>
        <w:rFonts w:cs="Times New Roman" w:hint="default"/>
      </w:rPr>
    </w:lvl>
    <w:lvl w:ilvl="6">
      <w:start w:val="1"/>
      <w:numFmt w:val="none"/>
      <w:lvlText w:val=""/>
      <w:lvlJc w:val="left"/>
      <w:pPr>
        <w:tabs>
          <w:tab w:val="left" w:pos="1571"/>
        </w:tabs>
        <w:ind w:left="1571"/>
      </w:pPr>
      <w:rPr>
        <w:rFonts w:cs="Times New Roman" w:hint="default"/>
      </w:rPr>
    </w:lvl>
    <w:lvl w:ilvl="7">
      <w:start w:val="1"/>
      <w:numFmt w:val="none"/>
      <w:lvlText w:val=""/>
      <w:lvlJc w:val="left"/>
      <w:pPr>
        <w:tabs>
          <w:tab w:val="left" w:pos="1571"/>
        </w:tabs>
        <w:ind w:left="1571"/>
      </w:pPr>
      <w:rPr>
        <w:rFonts w:cs="Times New Roman" w:hint="default"/>
      </w:rPr>
    </w:lvl>
    <w:lvl w:ilvl="8">
      <w:start w:val="1"/>
      <w:numFmt w:val="none"/>
      <w:lvlRestart w:val="0"/>
      <w:lvlText w:val=""/>
      <w:lvlJc w:val="left"/>
      <w:pPr>
        <w:tabs>
          <w:tab w:val="left" w:pos="1571"/>
        </w:tabs>
        <w:ind w:left="1571"/>
      </w:pPr>
      <w:rPr>
        <w:rFonts w:cs="Times New Roman" w:hint="default"/>
      </w:rPr>
    </w:lvl>
  </w:abstractNum>
  <w:abstractNum w:abstractNumId="53" w15:restartNumberingAfterBreak="0">
    <w:nsid w:val="5DAB251E"/>
    <w:multiLevelType w:val="multilevel"/>
    <w:tmpl w:val="5DAB251E"/>
    <w:lvl w:ilvl="0">
      <w:start w:val="1"/>
      <w:numFmt w:val="bullet"/>
      <w:lvlText w:val=""/>
      <w:lvlJc w:val="left"/>
      <w:pPr>
        <w:ind w:left="1215" w:hanging="360"/>
      </w:pPr>
      <w:rPr>
        <w:rFonts w:ascii="Symbol" w:hAnsi="Symbol" w:hint="default"/>
      </w:rPr>
    </w:lvl>
    <w:lvl w:ilvl="1">
      <w:start w:val="1"/>
      <w:numFmt w:val="bullet"/>
      <w:lvlText w:val="o"/>
      <w:lvlJc w:val="left"/>
      <w:pPr>
        <w:ind w:left="1935" w:hanging="360"/>
      </w:pPr>
      <w:rPr>
        <w:rFonts w:ascii="Courier New" w:hAnsi="Courier New" w:cs="Courier New" w:hint="default"/>
      </w:rPr>
    </w:lvl>
    <w:lvl w:ilvl="2">
      <w:start w:val="1"/>
      <w:numFmt w:val="bullet"/>
      <w:lvlText w:val=""/>
      <w:lvlJc w:val="left"/>
      <w:pPr>
        <w:ind w:left="2655" w:hanging="360"/>
      </w:pPr>
      <w:rPr>
        <w:rFonts w:ascii="Wingdings" w:hAnsi="Wingdings" w:hint="default"/>
      </w:rPr>
    </w:lvl>
    <w:lvl w:ilvl="3">
      <w:start w:val="1"/>
      <w:numFmt w:val="bullet"/>
      <w:lvlText w:val=""/>
      <w:lvlJc w:val="left"/>
      <w:pPr>
        <w:ind w:left="3375" w:hanging="360"/>
      </w:pPr>
      <w:rPr>
        <w:rFonts w:ascii="Symbol" w:hAnsi="Symbol" w:hint="default"/>
      </w:rPr>
    </w:lvl>
    <w:lvl w:ilvl="4">
      <w:start w:val="1"/>
      <w:numFmt w:val="bullet"/>
      <w:lvlText w:val="o"/>
      <w:lvlJc w:val="left"/>
      <w:pPr>
        <w:ind w:left="4095" w:hanging="360"/>
      </w:pPr>
      <w:rPr>
        <w:rFonts w:ascii="Courier New" w:hAnsi="Courier New" w:cs="Courier New" w:hint="default"/>
      </w:rPr>
    </w:lvl>
    <w:lvl w:ilvl="5">
      <w:start w:val="1"/>
      <w:numFmt w:val="bullet"/>
      <w:lvlText w:val=""/>
      <w:lvlJc w:val="left"/>
      <w:pPr>
        <w:ind w:left="4815" w:hanging="360"/>
      </w:pPr>
      <w:rPr>
        <w:rFonts w:ascii="Wingdings" w:hAnsi="Wingdings" w:hint="default"/>
      </w:rPr>
    </w:lvl>
    <w:lvl w:ilvl="6">
      <w:start w:val="1"/>
      <w:numFmt w:val="bullet"/>
      <w:lvlText w:val=""/>
      <w:lvlJc w:val="left"/>
      <w:pPr>
        <w:ind w:left="5535" w:hanging="360"/>
      </w:pPr>
      <w:rPr>
        <w:rFonts w:ascii="Symbol" w:hAnsi="Symbol" w:hint="default"/>
      </w:rPr>
    </w:lvl>
    <w:lvl w:ilvl="7">
      <w:start w:val="1"/>
      <w:numFmt w:val="bullet"/>
      <w:lvlText w:val="o"/>
      <w:lvlJc w:val="left"/>
      <w:pPr>
        <w:ind w:left="6255" w:hanging="360"/>
      </w:pPr>
      <w:rPr>
        <w:rFonts w:ascii="Courier New" w:hAnsi="Courier New" w:cs="Courier New" w:hint="default"/>
      </w:rPr>
    </w:lvl>
    <w:lvl w:ilvl="8">
      <w:start w:val="1"/>
      <w:numFmt w:val="bullet"/>
      <w:lvlText w:val=""/>
      <w:lvlJc w:val="left"/>
      <w:pPr>
        <w:ind w:left="6975" w:hanging="360"/>
      </w:pPr>
      <w:rPr>
        <w:rFonts w:ascii="Wingdings" w:hAnsi="Wingdings" w:hint="default"/>
      </w:rPr>
    </w:lvl>
  </w:abstractNum>
  <w:abstractNum w:abstractNumId="54" w15:restartNumberingAfterBreak="0">
    <w:nsid w:val="5F7C6FDB"/>
    <w:multiLevelType w:val="multilevel"/>
    <w:tmpl w:val="5F7C6FDB"/>
    <w:lvl w:ilvl="0">
      <w:start w:val="1"/>
      <w:numFmt w:val="decimal"/>
      <w:pStyle w:val="BodyText1"/>
      <w:lvlText w:val="%1."/>
      <w:lvlJc w:val="left"/>
      <w:pPr>
        <w:tabs>
          <w:tab w:val="left" w:pos="0"/>
        </w:tabs>
        <w:ind w:left="0" w:firstLine="0"/>
      </w:pPr>
      <w:rPr>
        <w:rFonts w:hint="default"/>
      </w:rPr>
    </w:lvl>
    <w:lvl w:ilvl="1">
      <w:start w:val="1"/>
      <w:numFmt w:val="lowerLetter"/>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63FE55BC"/>
    <w:multiLevelType w:val="hybridMultilevel"/>
    <w:tmpl w:val="E1F4075E"/>
    <w:lvl w:ilvl="0" w:tplc="FBD83468">
      <w:start w:val="1"/>
      <w:numFmt w:val="decimal"/>
      <w:lvlText w:val="%1)"/>
      <w:lvlJc w:val="left"/>
      <w:pPr>
        <w:ind w:left="855" w:hanging="360"/>
      </w:pPr>
      <w:rPr>
        <w:rFonts w:ascii="GHEA Grapalat" w:eastAsia="Times New Roman" w:hAnsi="GHEA Grapalat" w:cs="Times New Roman"/>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6" w15:restartNumberingAfterBreak="0">
    <w:nsid w:val="67D47274"/>
    <w:multiLevelType w:val="multilevel"/>
    <w:tmpl w:val="67D47274"/>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84565AF"/>
    <w:multiLevelType w:val="hybridMultilevel"/>
    <w:tmpl w:val="027E157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8" w15:restartNumberingAfterBreak="0">
    <w:nsid w:val="68AC5AA9"/>
    <w:multiLevelType w:val="hybridMultilevel"/>
    <w:tmpl w:val="8FA8CD6E"/>
    <w:lvl w:ilvl="0" w:tplc="71F082C8">
      <w:start w:val="1"/>
      <w:numFmt w:val="bullet"/>
      <w:lvlText w:val=""/>
      <w:lvlJc w:val="left"/>
      <w:pPr>
        <w:ind w:left="2007" w:hanging="360"/>
      </w:pPr>
      <w:rPr>
        <w:rFonts w:ascii="Wingdings" w:hAnsi="Wingdings"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59" w15:restartNumberingAfterBreak="0">
    <w:nsid w:val="6ABB4524"/>
    <w:multiLevelType w:val="multilevel"/>
    <w:tmpl w:val="6ABB4524"/>
    <w:lvl w:ilvl="0">
      <w:start w:val="1"/>
      <w:numFmt w:val="bullet"/>
      <w:pStyle w:val="Bullet"/>
      <w:lvlText w:val=""/>
      <w:lvlJc w:val="left"/>
      <w:pPr>
        <w:tabs>
          <w:tab w:val="left" w:pos="720"/>
        </w:tabs>
        <w:ind w:left="720" w:hanging="360"/>
      </w:pPr>
      <w:rPr>
        <w:rFonts w:ascii="Symbol"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Times New Roman" w:hint="default"/>
      </w:rPr>
    </w:lvl>
    <w:lvl w:ilvl="3">
      <w:start w:val="1"/>
      <w:numFmt w:val="bullet"/>
      <w:lvlText w:val=""/>
      <w:lvlJc w:val="left"/>
      <w:pPr>
        <w:tabs>
          <w:tab w:val="left" w:pos="2880"/>
        </w:tabs>
        <w:ind w:left="2880" w:hanging="360"/>
      </w:pPr>
      <w:rPr>
        <w:rFonts w:ascii="Symbol" w:hAnsi="Symbol" w:cs="Times New Roman"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Times New Roman" w:hint="default"/>
      </w:rPr>
    </w:lvl>
    <w:lvl w:ilvl="6">
      <w:start w:val="1"/>
      <w:numFmt w:val="bullet"/>
      <w:lvlText w:val=""/>
      <w:lvlJc w:val="left"/>
      <w:pPr>
        <w:tabs>
          <w:tab w:val="left" w:pos="5040"/>
        </w:tabs>
        <w:ind w:left="5040" w:hanging="360"/>
      </w:pPr>
      <w:rPr>
        <w:rFonts w:ascii="Symbol" w:hAnsi="Symbol" w:cs="Times New Roman"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Times New Roman" w:hint="default"/>
      </w:rPr>
    </w:lvl>
  </w:abstractNum>
  <w:abstractNum w:abstractNumId="60" w15:restartNumberingAfterBreak="0">
    <w:nsid w:val="70780DDC"/>
    <w:multiLevelType w:val="hybridMultilevel"/>
    <w:tmpl w:val="A4CCC222"/>
    <w:lvl w:ilvl="0" w:tplc="4A3EAB78">
      <w:numFmt w:val="bullet"/>
      <w:lvlText w:val="-"/>
      <w:lvlJc w:val="left"/>
      <w:pPr>
        <w:ind w:left="1287" w:hanging="360"/>
      </w:pPr>
      <w:rPr>
        <w:rFonts w:ascii="Arial LatArm" w:eastAsia="Times New Roman" w:hAnsi="Arial LatArm"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1" w15:restartNumberingAfterBreak="0">
    <w:nsid w:val="7A47583E"/>
    <w:multiLevelType w:val="hybridMultilevel"/>
    <w:tmpl w:val="02B41A44"/>
    <w:lvl w:ilvl="0" w:tplc="04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abstractNumId w:val="25"/>
  </w:num>
  <w:num w:numId="2">
    <w:abstractNumId w:val="1"/>
  </w:num>
  <w:num w:numId="3">
    <w:abstractNumId w:val="59"/>
  </w:num>
  <w:num w:numId="4">
    <w:abstractNumId w:val="54"/>
  </w:num>
  <w:num w:numId="5">
    <w:abstractNumId w:val="47"/>
  </w:num>
  <w:num w:numId="6">
    <w:abstractNumId w:val="48"/>
  </w:num>
  <w:num w:numId="7">
    <w:abstractNumId w:val="0"/>
  </w:num>
  <w:num w:numId="8">
    <w:abstractNumId w:val="50"/>
  </w:num>
  <w:num w:numId="9">
    <w:abstractNumId w:val="11"/>
  </w:num>
  <w:num w:numId="10">
    <w:abstractNumId w:val="3"/>
  </w:num>
  <w:num w:numId="11">
    <w:abstractNumId w:val="52"/>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7"/>
  </w:num>
  <w:num w:numId="15">
    <w:abstractNumId w:val="18"/>
  </w:num>
  <w:num w:numId="16">
    <w:abstractNumId w:val="33"/>
  </w:num>
  <w:num w:numId="17">
    <w:abstractNumId w:val="56"/>
  </w:num>
  <w:num w:numId="18">
    <w:abstractNumId w:val="41"/>
  </w:num>
  <w:num w:numId="19">
    <w:abstractNumId w:val="24"/>
  </w:num>
  <w:num w:numId="20">
    <w:abstractNumId w:val="5"/>
  </w:num>
  <w:num w:numId="21">
    <w:abstractNumId w:val="29"/>
  </w:num>
  <w:num w:numId="22">
    <w:abstractNumId w:val="13"/>
  </w:num>
  <w:num w:numId="23">
    <w:abstractNumId w:val="15"/>
  </w:num>
  <w:num w:numId="24">
    <w:abstractNumId w:val="6"/>
  </w:num>
  <w:num w:numId="25">
    <w:abstractNumId w:val="4"/>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53"/>
  </w:num>
  <w:num w:numId="29">
    <w:abstractNumId w:val="20"/>
  </w:num>
  <w:num w:numId="30">
    <w:abstractNumId w:val="14"/>
  </w:num>
  <w:num w:numId="31">
    <w:abstractNumId w:val="51"/>
  </w:num>
  <w:num w:numId="32">
    <w:abstractNumId w:val="37"/>
  </w:num>
  <w:num w:numId="33">
    <w:abstractNumId w:val="40"/>
  </w:num>
  <w:num w:numId="34">
    <w:abstractNumId w:val="17"/>
  </w:num>
  <w:num w:numId="35">
    <w:abstractNumId w:val="49"/>
  </w:num>
  <w:num w:numId="36">
    <w:abstractNumId w:val="43"/>
  </w:num>
  <w:num w:numId="37">
    <w:abstractNumId w:val="45"/>
  </w:num>
  <w:num w:numId="38">
    <w:abstractNumId w:val="60"/>
  </w:num>
  <w:num w:numId="39">
    <w:abstractNumId w:val="55"/>
  </w:num>
  <w:num w:numId="40">
    <w:abstractNumId w:val="57"/>
  </w:num>
  <w:num w:numId="41">
    <w:abstractNumId w:val="44"/>
  </w:num>
  <w:num w:numId="42">
    <w:abstractNumId w:val="21"/>
  </w:num>
  <w:num w:numId="43">
    <w:abstractNumId w:val="35"/>
  </w:num>
  <w:num w:numId="44">
    <w:abstractNumId w:val="34"/>
  </w:num>
  <w:num w:numId="45">
    <w:abstractNumId w:val="46"/>
  </w:num>
  <w:num w:numId="46">
    <w:abstractNumId w:val="28"/>
  </w:num>
  <w:num w:numId="47">
    <w:abstractNumId w:val="12"/>
  </w:num>
  <w:num w:numId="48">
    <w:abstractNumId w:val="32"/>
  </w:num>
  <w:num w:numId="49">
    <w:abstractNumId w:val="36"/>
  </w:num>
  <w:num w:numId="50">
    <w:abstractNumId w:val="22"/>
  </w:num>
  <w:num w:numId="51">
    <w:abstractNumId w:val="31"/>
  </w:num>
  <w:num w:numId="52">
    <w:abstractNumId w:val="58"/>
  </w:num>
  <w:num w:numId="53">
    <w:abstractNumId w:val="8"/>
  </w:num>
  <w:num w:numId="54">
    <w:abstractNumId w:val="9"/>
  </w:num>
  <w:num w:numId="55">
    <w:abstractNumId w:val="10"/>
  </w:num>
  <w:num w:numId="56">
    <w:abstractNumId w:val="19"/>
  </w:num>
  <w:num w:numId="57">
    <w:abstractNumId w:val="42"/>
  </w:num>
  <w:num w:numId="58">
    <w:abstractNumId w:val="61"/>
  </w:num>
  <w:num w:numId="59">
    <w:abstractNumId w:val="30"/>
  </w:num>
  <w:num w:numId="60">
    <w:abstractNumId w:val="39"/>
  </w:num>
  <w:num w:numId="61">
    <w:abstractNumId w:val="23"/>
  </w:num>
  <w:num w:numId="62">
    <w:abstractNumId w:val="2"/>
  </w:num>
  <w:num w:numId="63">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27"/>
  <w:hyphenationZone w:val="141"/>
  <w:drawingGridHorizontalSpacing w:val="120"/>
  <w:displayHorizontalDrawingGridEvery w:val="2"/>
  <w:noPunctuationKerning/>
  <w:characterSpacingControl w:val="doNotCompress"/>
  <w:hdrShapeDefaults>
    <o:shapedefaults v:ext="edit" spidmax="14337"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D88"/>
    <w:rsid w:val="000005FE"/>
    <w:rsid w:val="000008C3"/>
    <w:rsid w:val="00000BD5"/>
    <w:rsid w:val="00001434"/>
    <w:rsid w:val="000024FA"/>
    <w:rsid w:val="00002C52"/>
    <w:rsid w:val="00002DCC"/>
    <w:rsid w:val="0000313E"/>
    <w:rsid w:val="000035F3"/>
    <w:rsid w:val="00003621"/>
    <w:rsid w:val="00003865"/>
    <w:rsid w:val="00003F59"/>
    <w:rsid w:val="00004370"/>
    <w:rsid w:val="000044C4"/>
    <w:rsid w:val="00004A96"/>
    <w:rsid w:val="00004AEC"/>
    <w:rsid w:val="000052BD"/>
    <w:rsid w:val="000055DF"/>
    <w:rsid w:val="0000644E"/>
    <w:rsid w:val="00006489"/>
    <w:rsid w:val="000064D0"/>
    <w:rsid w:val="00006CBF"/>
    <w:rsid w:val="00006D48"/>
    <w:rsid w:val="00006FCA"/>
    <w:rsid w:val="000072EB"/>
    <w:rsid w:val="00007732"/>
    <w:rsid w:val="00007867"/>
    <w:rsid w:val="00007B16"/>
    <w:rsid w:val="00007B72"/>
    <w:rsid w:val="00007C68"/>
    <w:rsid w:val="00007DB5"/>
    <w:rsid w:val="00007E7E"/>
    <w:rsid w:val="00007F82"/>
    <w:rsid w:val="0001003F"/>
    <w:rsid w:val="00010E8E"/>
    <w:rsid w:val="00011594"/>
    <w:rsid w:val="0001159F"/>
    <w:rsid w:val="000117CE"/>
    <w:rsid w:val="00011929"/>
    <w:rsid w:val="00011E91"/>
    <w:rsid w:val="00011E94"/>
    <w:rsid w:val="00012040"/>
    <w:rsid w:val="000120C5"/>
    <w:rsid w:val="0001230D"/>
    <w:rsid w:val="00012DCA"/>
    <w:rsid w:val="000134EE"/>
    <w:rsid w:val="00013556"/>
    <w:rsid w:val="00013860"/>
    <w:rsid w:val="00013CB6"/>
    <w:rsid w:val="0001446B"/>
    <w:rsid w:val="0001465C"/>
    <w:rsid w:val="00014BC2"/>
    <w:rsid w:val="0001518B"/>
    <w:rsid w:val="00015E16"/>
    <w:rsid w:val="00016106"/>
    <w:rsid w:val="00016DF1"/>
    <w:rsid w:val="0001764B"/>
    <w:rsid w:val="00017776"/>
    <w:rsid w:val="0001789E"/>
    <w:rsid w:val="00017C97"/>
    <w:rsid w:val="000207D8"/>
    <w:rsid w:val="00021193"/>
    <w:rsid w:val="000211FE"/>
    <w:rsid w:val="00021385"/>
    <w:rsid w:val="0002175F"/>
    <w:rsid w:val="00021865"/>
    <w:rsid w:val="00021890"/>
    <w:rsid w:val="000218DB"/>
    <w:rsid w:val="00021A3F"/>
    <w:rsid w:val="00021CE8"/>
    <w:rsid w:val="00021EDA"/>
    <w:rsid w:val="00022087"/>
    <w:rsid w:val="000220F0"/>
    <w:rsid w:val="00022681"/>
    <w:rsid w:val="00023502"/>
    <w:rsid w:val="0002352D"/>
    <w:rsid w:val="00023CEE"/>
    <w:rsid w:val="000240E8"/>
    <w:rsid w:val="00024613"/>
    <w:rsid w:val="0002480D"/>
    <w:rsid w:val="0002485B"/>
    <w:rsid w:val="000259FD"/>
    <w:rsid w:val="00025E2D"/>
    <w:rsid w:val="000265BB"/>
    <w:rsid w:val="00026778"/>
    <w:rsid w:val="0002687E"/>
    <w:rsid w:val="00026CAE"/>
    <w:rsid w:val="00026E6D"/>
    <w:rsid w:val="00027014"/>
    <w:rsid w:val="00027348"/>
    <w:rsid w:val="0002739E"/>
    <w:rsid w:val="00027410"/>
    <w:rsid w:val="00027621"/>
    <w:rsid w:val="00027752"/>
    <w:rsid w:val="000278B1"/>
    <w:rsid w:val="00027E37"/>
    <w:rsid w:val="00031AED"/>
    <w:rsid w:val="00031E0D"/>
    <w:rsid w:val="00032117"/>
    <w:rsid w:val="00032478"/>
    <w:rsid w:val="000326B7"/>
    <w:rsid w:val="000327D5"/>
    <w:rsid w:val="00032D62"/>
    <w:rsid w:val="00032DE2"/>
    <w:rsid w:val="00032E20"/>
    <w:rsid w:val="0003365B"/>
    <w:rsid w:val="00033AB2"/>
    <w:rsid w:val="00033C41"/>
    <w:rsid w:val="000347FC"/>
    <w:rsid w:val="000348C0"/>
    <w:rsid w:val="0003498C"/>
    <w:rsid w:val="000349F1"/>
    <w:rsid w:val="000351CF"/>
    <w:rsid w:val="0003569C"/>
    <w:rsid w:val="000356B2"/>
    <w:rsid w:val="0003671D"/>
    <w:rsid w:val="00036D08"/>
    <w:rsid w:val="00036DEF"/>
    <w:rsid w:val="00037389"/>
    <w:rsid w:val="0003753C"/>
    <w:rsid w:val="00037649"/>
    <w:rsid w:val="00037699"/>
    <w:rsid w:val="00037B0E"/>
    <w:rsid w:val="000402B9"/>
    <w:rsid w:val="0004081B"/>
    <w:rsid w:val="000408C8"/>
    <w:rsid w:val="00040B73"/>
    <w:rsid w:val="00041070"/>
    <w:rsid w:val="000415EC"/>
    <w:rsid w:val="0004168F"/>
    <w:rsid w:val="000417B7"/>
    <w:rsid w:val="00041C62"/>
    <w:rsid w:val="00041E53"/>
    <w:rsid w:val="000420B9"/>
    <w:rsid w:val="00042F8A"/>
    <w:rsid w:val="00043BEA"/>
    <w:rsid w:val="000440EC"/>
    <w:rsid w:val="00044DDB"/>
    <w:rsid w:val="000453D7"/>
    <w:rsid w:val="00045882"/>
    <w:rsid w:val="00045A2F"/>
    <w:rsid w:val="00045AD9"/>
    <w:rsid w:val="00045D88"/>
    <w:rsid w:val="00045F29"/>
    <w:rsid w:val="000461CA"/>
    <w:rsid w:val="00046215"/>
    <w:rsid w:val="000462A1"/>
    <w:rsid w:val="000468EF"/>
    <w:rsid w:val="00046F0D"/>
    <w:rsid w:val="00047138"/>
    <w:rsid w:val="0004719F"/>
    <w:rsid w:val="00047B1D"/>
    <w:rsid w:val="00050379"/>
    <w:rsid w:val="00050447"/>
    <w:rsid w:val="0005057E"/>
    <w:rsid w:val="00050680"/>
    <w:rsid w:val="00050ACB"/>
    <w:rsid w:val="00051149"/>
    <w:rsid w:val="00051357"/>
    <w:rsid w:val="00051D7F"/>
    <w:rsid w:val="00051FBD"/>
    <w:rsid w:val="00052321"/>
    <w:rsid w:val="000524F8"/>
    <w:rsid w:val="000527DE"/>
    <w:rsid w:val="00052861"/>
    <w:rsid w:val="00052CA4"/>
    <w:rsid w:val="00052F01"/>
    <w:rsid w:val="00053B43"/>
    <w:rsid w:val="00053C5A"/>
    <w:rsid w:val="0005403B"/>
    <w:rsid w:val="000546CD"/>
    <w:rsid w:val="000546EA"/>
    <w:rsid w:val="00054B4E"/>
    <w:rsid w:val="00054E88"/>
    <w:rsid w:val="000553FB"/>
    <w:rsid w:val="00055E86"/>
    <w:rsid w:val="000564D6"/>
    <w:rsid w:val="00056745"/>
    <w:rsid w:val="00056F9E"/>
    <w:rsid w:val="0005710D"/>
    <w:rsid w:val="000577AC"/>
    <w:rsid w:val="00057C3D"/>
    <w:rsid w:val="00057E05"/>
    <w:rsid w:val="000600C9"/>
    <w:rsid w:val="00060564"/>
    <w:rsid w:val="00060808"/>
    <w:rsid w:val="00060A13"/>
    <w:rsid w:val="00060A6E"/>
    <w:rsid w:val="00060F9E"/>
    <w:rsid w:val="00061181"/>
    <w:rsid w:val="0006187C"/>
    <w:rsid w:val="00061B0E"/>
    <w:rsid w:val="00061DB0"/>
    <w:rsid w:val="00061F03"/>
    <w:rsid w:val="0006210F"/>
    <w:rsid w:val="00062173"/>
    <w:rsid w:val="00062286"/>
    <w:rsid w:val="00062642"/>
    <w:rsid w:val="0006297A"/>
    <w:rsid w:val="000629E1"/>
    <w:rsid w:val="000631E2"/>
    <w:rsid w:val="000631F3"/>
    <w:rsid w:val="00063238"/>
    <w:rsid w:val="00063B02"/>
    <w:rsid w:val="000643F9"/>
    <w:rsid w:val="0006487C"/>
    <w:rsid w:val="000649E3"/>
    <w:rsid w:val="00064C59"/>
    <w:rsid w:val="00064CBE"/>
    <w:rsid w:val="00064ED0"/>
    <w:rsid w:val="0006508A"/>
    <w:rsid w:val="00065D00"/>
    <w:rsid w:val="00065F27"/>
    <w:rsid w:val="00066B3C"/>
    <w:rsid w:val="000678BC"/>
    <w:rsid w:val="00067E28"/>
    <w:rsid w:val="000706A7"/>
    <w:rsid w:val="00070A9D"/>
    <w:rsid w:val="00070EF0"/>
    <w:rsid w:val="00070FC8"/>
    <w:rsid w:val="00071184"/>
    <w:rsid w:val="0007141A"/>
    <w:rsid w:val="000714BE"/>
    <w:rsid w:val="00071818"/>
    <w:rsid w:val="00072207"/>
    <w:rsid w:val="000723A0"/>
    <w:rsid w:val="00072496"/>
    <w:rsid w:val="0007268E"/>
    <w:rsid w:val="00072EAD"/>
    <w:rsid w:val="00072FA7"/>
    <w:rsid w:val="00073298"/>
    <w:rsid w:val="00073861"/>
    <w:rsid w:val="00073B6E"/>
    <w:rsid w:val="00074E12"/>
    <w:rsid w:val="00074FD2"/>
    <w:rsid w:val="00075109"/>
    <w:rsid w:val="000752DC"/>
    <w:rsid w:val="00075B95"/>
    <w:rsid w:val="00076105"/>
    <w:rsid w:val="00076112"/>
    <w:rsid w:val="0007613A"/>
    <w:rsid w:val="00076497"/>
    <w:rsid w:val="00076562"/>
    <w:rsid w:val="0007671B"/>
    <w:rsid w:val="00077B04"/>
    <w:rsid w:val="00080937"/>
    <w:rsid w:val="00080A63"/>
    <w:rsid w:val="00080D96"/>
    <w:rsid w:val="00080EF2"/>
    <w:rsid w:val="000812D1"/>
    <w:rsid w:val="000812D6"/>
    <w:rsid w:val="00081C12"/>
    <w:rsid w:val="00081DE7"/>
    <w:rsid w:val="00082001"/>
    <w:rsid w:val="00082325"/>
    <w:rsid w:val="0008236C"/>
    <w:rsid w:val="000824E0"/>
    <w:rsid w:val="00082A34"/>
    <w:rsid w:val="00082AC2"/>
    <w:rsid w:val="00082B19"/>
    <w:rsid w:val="0008305A"/>
    <w:rsid w:val="0008337F"/>
    <w:rsid w:val="00083803"/>
    <w:rsid w:val="00083B66"/>
    <w:rsid w:val="0008464C"/>
    <w:rsid w:val="000853EF"/>
    <w:rsid w:val="0008572F"/>
    <w:rsid w:val="00085771"/>
    <w:rsid w:val="00085DF5"/>
    <w:rsid w:val="00085E91"/>
    <w:rsid w:val="00086338"/>
    <w:rsid w:val="000873CF"/>
    <w:rsid w:val="00087427"/>
    <w:rsid w:val="000875F4"/>
    <w:rsid w:val="00087831"/>
    <w:rsid w:val="00087FA2"/>
    <w:rsid w:val="00090A40"/>
    <w:rsid w:val="00090A7A"/>
    <w:rsid w:val="00090B4A"/>
    <w:rsid w:val="00090F10"/>
    <w:rsid w:val="00090F5B"/>
    <w:rsid w:val="000914F1"/>
    <w:rsid w:val="0009159D"/>
    <w:rsid w:val="000915C8"/>
    <w:rsid w:val="00091E21"/>
    <w:rsid w:val="0009275C"/>
    <w:rsid w:val="00092B01"/>
    <w:rsid w:val="00092E94"/>
    <w:rsid w:val="00093084"/>
    <w:rsid w:val="000930F2"/>
    <w:rsid w:val="0009351A"/>
    <w:rsid w:val="00093CAD"/>
    <w:rsid w:val="00093CE8"/>
    <w:rsid w:val="00094365"/>
    <w:rsid w:val="0009439C"/>
    <w:rsid w:val="00094C48"/>
    <w:rsid w:val="000952AF"/>
    <w:rsid w:val="000954FC"/>
    <w:rsid w:val="00095ACA"/>
    <w:rsid w:val="000961E7"/>
    <w:rsid w:val="00096964"/>
    <w:rsid w:val="00096A0B"/>
    <w:rsid w:val="00096B18"/>
    <w:rsid w:val="00096BF2"/>
    <w:rsid w:val="00097247"/>
    <w:rsid w:val="000974A2"/>
    <w:rsid w:val="00097B73"/>
    <w:rsid w:val="000A001F"/>
    <w:rsid w:val="000A00E3"/>
    <w:rsid w:val="000A0253"/>
    <w:rsid w:val="000A036D"/>
    <w:rsid w:val="000A072B"/>
    <w:rsid w:val="000A0885"/>
    <w:rsid w:val="000A13D1"/>
    <w:rsid w:val="000A1498"/>
    <w:rsid w:val="000A28D7"/>
    <w:rsid w:val="000A2BEC"/>
    <w:rsid w:val="000A2E66"/>
    <w:rsid w:val="000A30E9"/>
    <w:rsid w:val="000A39B3"/>
    <w:rsid w:val="000A3B4D"/>
    <w:rsid w:val="000A482A"/>
    <w:rsid w:val="000A4D9F"/>
    <w:rsid w:val="000A50AD"/>
    <w:rsid w:val="000A5B81"/>
    <w:rsid w:val="000A5D60"/>
    <w:rsid w:val="000A5F91"/>
    <w:rsid w:val="000A645E"/>
    <w:rsid w:val="000A64B6"/>
    <w:rsid w:val="000A6767"/>
    <w:rsid w:val="000A7C38"/>
    <w:rsid w:val="000A7FCA"/>
    <w:rsid w:val="000B00C3"/>
    <w:rsid w:val="000B0A94"/>
    <w:rsid w:val="000B0ACF"/>
    <w:rsid w:val="000B0D87"/>
    <w:rsid w:val="000B1087"/>
    <w:rsid w:val="000B1E12"/>
    <w:rsid w:val="000B2212"/>
    <w:rsid w:val="000B2742"/>
    <w:rsid w:val="000B3017"/>
    <w:rsid w:val="000B33AF"/>
    <w:rsid w:val="000B3914"/>
    <w:rsid w:val="000B3B29"/>
    <w:rsid w:val="000B3FB8"/>
    <w:rsid w:val="000B4186"/>
    <w:rsid w:val="000B4406"/>
    <w:rsid w:val="000B4469"/>
    <w:rsid w:val="000B44D9"/>
    <w:rsid w:val="000B4BB4"/>
    <w:rsid w:val="000B515B"/>
    <w:rsid w:val="000B5329"/>
    <w:rsid w:val="000B5416"/>
    <w:rsid w:val="000B575A"/>
    <w:rsid w:val="000B5824"/>
    <w:rsid w:val="000B5D7E"/>
    <w:rsid w:val="000B6417"/>
    <w:rsid w:val="000B70DE"/>
    <w:rsid w:val="000B71B3"/>
    <w:rsid w:val="000B7388"/>
    <w:rsid w:val="000B776A"/>
    <w:rsid w:val="000C0254"/>
    <w:rsid w:val="000C0A42"/>
    <w:rsid w:val="000C0B83"/>
    <w:rsid w:val="000C140D"/>
    <w:rsid w:val="000C167F"/>
    <w:rsid w:val="000C17F0"/>
    <w:rsid w:val="000C18CA"/>
    <w:rsid w:val="000C1A6D"/>
    <w:rsid w:val="000C1A7C"/>
    <w:rsid w:val="000C1C7D"/>
    <w:rsid w:val="000C1CB3"/>
    <w:rsid w:val="000C1D38"/>
    <w:rsid w:val="000C1DAB"/>
    <w:rsid w:val="000C2344"/>
    <w:rsid w:val="000C26A1"/>
    <w:rsid w:val="000C26D6"/>
    <w:rsid w:val="000C2840"/>
    <w:rsid w:val="000C2953"/>
    <w:rsid w:val="000C2F9B"/>
    <w:rsid w:val="000C3354"/>
    <w:rsid w:val="000C4060"/>
    <w:rsid w:val="000C452C"/>
    <w:rsid w:val="000C458F"/>
    <w:rsid w:val="000C4710"/>
    <w:rsid w:val="000C4CD2"/>
    <w:rsid w:val="000C50BA"/>
    <w:rsid w:val="000C514C"/>
    <w:rsid w:val="000C531F"/>
    <w:rsid w:val="000C5407"/>
    <w:rsid w:val="000C6173"/>
    <w:rsid w:val="000C61DF"/>
    <w:rsid w:val="000C6B74"/>
    <w:rsid w:val="000C7250"/>
    <w:rsid w:val="000C77CB"/>
    <w:rsid w:val="000C78A2"/>
    <w:rsid w:val="000C7BC1"/>
    <w:rsid w:val="000D02E1"/>
    <w:rsid w:val="000D0369"/>
    <w:rsid w:val="000D0675"/>
    <w:rsid w:val="000D0C1A"/>
    <w:rsid w:val="000D0D77"/>
    <w:rsid w:val="000D1518"/>
    <w:rsid w:val="000D179A"/>
    <w:rsid w:val="000D1A88"/>
    <w:rsid w:val="000D1D14"/>
    <w:rsid w:val="000D1E6C"/>
    <w:rsid w:val="000D2265"/>
    <w:rsid w:val="000D2DBD"/>
    <w:rsid w:val="000D2FDE"/>
    <w:rsid w:val="000D30F6"/>
    <w:rsid w:val="000D34FC"/>
    <w:rsid w:val="000D368E"/>
    <w:rsid w:val="000D3D8C"/>
    <w:rsid w:val="000D3E50"/>
    <w:rsid w:val="000D3EB7"/>
    <w:rsid w:val="000D3EE7"/>
    <w:rsid w:val="000D42B5"/>
    <w:rsid w:val="000D5910"/>
    <w:rsid w:val="000D5D33"/>
    <w:rsid w:val="000D5EE1"/>
    <w:rsid w:val="000D6104"/>
    <w:rsid w:val="000D6179"/>
    <w:rsid w:val="000D68C6"/>
    <w:rsid w:val="000D6AF1"/>
    <w:rsid w:val="000D7621"/>
    <w:rsid w:val="000E1348"/>
    <w:rsid w:val="000E14AD"/>
    <w:rsid w:val="000E1E11"/>
    <w:rsid w:val="000E1FE9"/>
    <w:rsid w:val="000E2105"/>
    <w:rsid w:val="000E2224"/>
    <w:rsid w:val="000E27C9"/>
    <w:rsid w:val="000E2832"/>
    <w:rsid w:val="000E288D"/>
    <w:rsid w:val="000E2909"/>
    <w:rsid w:val="000E38DE"/>
    <w:rsid w:val="000E3DDC"/>
    <w:rsid w:val="000E492A"/>
    <w:rsid w:val="000E5432"/>
    <w:rsid w:val="000E5745"/>
    <w:rsid w:val="000E5D4D"/>
    <w:rsid w:val="000E60F9"/>
    <w:rsid w:val="000E6222"/>
    <w:rsid w:val="000E696B"/>
    <w:rsid w:val="000E715A"/>
    <w:rsid w:val="000E782E"/>
    <w:rsid w:val="000F0242"/>
    <w:rsid w:val="000F052B"/>
    <w:rsid w:val="000F0810"/>
    <w:rsid w:val="000F08E8"/>
    <w:rsid w:val="000F0B28"/>
    <w:rsid w:val="000F0B9C"/>
    <w:rsid w:val="000F0EE0"/>
    <w:rsid w:val="000F165C"/>
    <w:rsid w:val="000F18CC"/>
    <w:rsid w:val="000F1B4F"/>
    <w:rsid w:val="000F20F7"/>
    <w:rsid w:val="000F2396"/>
    <w:rsid w:val="000F2663"/>
    <w:rsid w:val="000F2A73"/>
    <w:rsid w:val="000F2D42"/>
    <w:rsid w:val="000F3318"/>
    <w:rsid w:val="000F37C6"/>
    <w:rsid w:val="000F39F6"/>
    <w:rsid w:val="000F4784"/>
    <w:rsid w:val="000F4C26"/>
    <w:rsid w:val="000F4CC2"/>
    <w:rsid w:val="000F5552"/>
    <w:rsid w:val="000F5619"/>
    <w:rsid w:val="000F6011"/>
    <w:rsid w:val="000F648D"/>
    <w:rsid w:val="000F71DF"/>
    <w:rsid w:val="000F724A"/>
    <w:rsid w:val="000F77B8"/>
    <w:rsid w:val="000F7F02"/>
    <w:rsid w:val="0010040F"/>
    <w:rsid w:val="00100A88"/>
    <w:rsid w:val="001014AD"/>
    <w:rsid w:val="001015B9"/>
    <w:rsid w:val="0010162A"/>
    <w:rsid w:val="0010162B"/>
    <w:rsid w:val="00101F94"/>
    <w:rsid w:val="00102779"/>
    <w:rsid w:val="00102CF9"/>
    <w:rsid w:val="001031A7"/>
    <w:rsid w:val="001038CC"/>
    <w:rsid w:val="001039A1"/>
    <w:rsid w:val="00103A1E"/>
    <w:rsid w:val="00103F16"/>
    <w:rsid w:val="001049EE"/>
    <w:rsid w:val="00104A56"/>
    <w:rsid w:val="00104FD4"/>
    <w:rsid w:val="0010543C"/>
    <w:rsid w:val="00105849"/>
    <w:rsid w:val="00105C05"/>
    <w:rsid w:val="00105D83"/>
    <w:rsid w:val="0010624B"/>
    <w:rsid w:val="00106BF7"/>
    <w:rsid w:val="00106DFC"/>
    <w:rsid w:val="00107064"/>
    <w:rsid w:val="00107322"/>
    <w:rsid w:val="00107425"/>
    <w:rsid w:val="0010765C"/>
    <w:rsid w:val="001076F3"/>
    <w:rsid w:val="00107C4E"/>
    <w:rsid w:val="00110ABA"/>
    <w:rsid w:val="00110C23"/>
    <w:rsid w:val="00110ED4"/>
    <w:rsid w:val="00111755"/>
    <w:rsid w:val="0011181A"/>
    <w:rsid w:val="00111853"/>
    <w:rsid w:val="00111B50"/>
    <w:rsid w:val="00111C4F"/>
    <w:rsid w:val="00111CDD"/>
    <w:rsid w:val="00112801"/>
    <w:rsid w:val="00113025"/>
    <w:rsid w:val="001134DC"/>
    <w:rsid w:val="001135F1"/>
    <w:rsid w:val="00113656"/>
    <w:rsid w:val="001137FF"/>
    <w:rsid w:val="001139A7"/>
    <w:rsid w:val="00113E83"/>
    <w:rsid w:val="00113E91"/>
    <w:rsid w:val="001143CC"/>
    <w:rsid w:val="00114446"/>
    <w:rsid w:val="00114744"/>
    <w:rsid w:val="001147F4"/>
    <w:rsid w:val="00114AB2"/>
    <w:rsid w:val="00114C47"/>
    <w:rsid w:val="0011564D"/>
    <w:rsid w:val="001159A3"/>
    <w:rsid w:val="00115A2F"/>
    <w:rsid w:val="00115B50"/>
    <w:rsid w:val="00115C08"/>
    <w:rsid w:val="00115E50"/>
    <w:rsid w:val="00115EAD"/>
    <w:rsid w:val="001162C2"/>
    <w:rsid w:val="0011738A"/>
    <w:rsid w:val="001174E9"/>
    <w:rsid w:val="0011764D"/>
    <w:rsid w:val="001179F9"/>
    <w:rsid w:val="00117A7F"/>
    <w:rsid w:val="0012003A"/>
    <w:rsid w:val="00120183"/>
    <w:rsid w:val="0012048A"/>
    <w:rsid w:val="00120588"/>
    <w:rsid w:val="00120918"/>
    <w:rsid w:val="001209A9"/>
    <w:rsid w:val="00120BBF"/>
    <w:rsid w:val="00121153"/>
    <w:rsid w:val="0012137E"/>
    <w:rsid w:val="0012190B"/>
    <w:rsid w:val="0012200C"/>
    <w:rsid w:val="00122AF7"/>
    <w:rsid w:val="00122C6D"/>
    <w:rsid w:val="00122C8F"/>
    <w:rsid w:val="00122D37"/>
    <w:rsid w:val="00122E57"/>
    <w:rsid w:val="00122F73"/>
    <w:rsid w:val="001234B6"/>
    <w:rsid w:val="0012361D"/>
    <w:rsid w:val="00123B92"/>
    <w:rsid w:val="001241FA"/>
    <w:rsid w:val="00124229"/>
    <w:rsid w:val="00124552"/>
    <w:rsid w:val="00124594"/>
    <w:rsid w:val="00124B37"/>
    <w:rsid w:val="00125570"/>
    <w:rsid w:val="001257D1"/>
    <w:rsid w:val="001266FC"/>
    <w:rsid w:val="00126860"/>
    <w:rsid w:val="0012744D"/>
    <w:rsid w:val="001276B1"/>
    <w:rsid w:val="001277A7"/>
    <w:rsid w:val="00127D54"/>
    <w:rsid w:val="00127D74"/>
    <w:rsid w:val="00127F86"/>
    <w:rsid w:val="00130EA4"/>
    <w:rsid w:val="001310CD"/>
    <w:rsid w:val="001310D3"/>
    <w:rsid w:val="00131827"/>
    <w:rsid w:val="0013192E"/>
    <w:rsid w:val="0013204A"/>
    <w:rsid w:val="001322C2"/>
    <w:rsid w:val="00132426"/>
    <w:rsid w:val="0013252A"/>
    <w:rsid w:val="001326E3"/>
    <w:rsid w:val="001328FB"/>
    <w:rsid w:val="00132C3B"/>
    <w:rsid w:val="001334AE"/>
    <w:rsid w:val="00133699"/>
    <w:rsid w:val="0013393C"/>
    <w:rsid w:val="0013405A"/>
    <w:rsid w:val="00134914"/>
    <w:rsid w:val="00134CAA"/>
    <w:rsid w:val="00134F7E"/>
    <w:rsid w:val="001353C8"/>
    <w:rsid w:val="00135A94"/>
    <w:rsid w:val="0013704B"/>
    <w:rsid w:val="001377A2"/>
    <w:rsid w:val="00137AD1"/>
    <w:rsid w:val="001402F9"/>
    <w:rsid w:val="001407E0"/>
    <w:rsid w:val="0014082C"/>
    <w:rsid w:val="00140878"/>
    <w:rsid w:val="00140CFC"/>
    <w:rsid w:val="00140EDF"/>
    <w:rsid w:val="00141223"/>
    <w:rsid w:val="00141283"/>
    <w:rsid w:val="00141835"/>
    <w:rsid w:val="001419DA"/>
    <w:rsid w:val="00141A4D"/>
    <w:rsid w:val="00142702"/>
    <w:rsid w:val="00142969"/>
    <w:rsid w:val="001429CD"/>
    <w:rsid w:val="00142BA0"/>
    <w:rsid w:val="00142C23"/>
    <w:rsid w:val="00142FCD"/>
    <w:rsid w:val="001430CB"/>
    <w:rsid w:val="0014330A"/>
    <w:rsid w:val="00143552"/>
    <w:rsid w:val="001435AC"/>
    <w:rsid w:val="00143A4B"/>
    <w:rsid w:val="00143A88"/>
    <w:rsid w:val="00143E2A"/>
    <w:rsid w:val="00143EAC"/>
    <w:rsid w:val="00144014"/>
    <w:rsid w:val="001440CA"/>
    <w:rsid w:val="001450AD"/>
    <w:rsid w:val="00145A62"/>
    <w:rsid w:val="00145B3E"/>
    <w:rsid w:val="00145E8F"/>
    <w:rsid w:val="0014617A"/>
    <w:rsid w:val="0014624E"/>
    <w:rsid w:val="00146700"/>
    <w:rsid w:val="00146A53"/>
    <w:rsid w:val="00146C6E"/>
    <w:rsid w:val="00146D97"/>
    <w:rsid w:val="0014795A"/>
    <w:rsid w:val="0014799E"/>
    <w:rsid w:val="00147A6F"/>
    <w:rsid w:val="00147D36"/>
    <w:rsid w:val="0015024D"/>
    <w:rsid w:val="001502AA"/>
    <w:rsid w:val="001505CB"/>
    <w:rsid w:val="00150CC6"/>
    <w:rsid w:val="00151153"/>
    <w:rsid w:val="001512AC"/>
    <w:rsid w:val="0015146A"/>
    <w:rsid w:val="001516A7"/>
    <w:rsid w:val="001516BE"/>
    <w:rsid w:val="00151838"/>
    <w:rsid w:val="00151DF4"/>
    <w:rsid w:val="00151E7F"/>
    <w:rsid w:val="001521E1"/>
    <w:rsid w:val="00152D14"/>
    <w:rsid w:val="00152FCA"/>
    <w:rsid w:val="00153163"/>
    <w:rsid w:val="0015329E"/>
    <w:rsid w:val="00153818"/>
    <w:rsid w:val="00153B37"/>
    <w:rsid w:val="001540E6"/>
    <w:rsid w:val="00155376"/>
    <w:rsid w:val="001554F4"/>
    <w:rsid w:val="00155508"/>
    <w:rsid w:val="0015558B"/>
    <w:rsid w:val="00155D71"/>
    <w:rsid w:val="00155D97"/>
    <w:rsid w:val="00156104"/>
    <w:rsid w:val="001567B6"/>
    <w:rsid w:val="00156B22"/>
    <w:rsid w:val="00156D75"/>
    <w:rsid w:val="00156E92"/>
    <w:rsid w:val="00157347"/>
    <w:rsid w:val="00157502"/>
    <w:rsid w:val="0015778E"/>
    <w:rsid w:val="00157B13"/>
    <w:rsid w:val="001602BE"/>
    <w:rsid w:val="001605EC"/>
    <w:rsid w:val="00160749"/>
    <w:rsid w:val="001609FC"/>
    <w:rsid w:val="00160B2B"/>
    <w:rsid w:val="00160EB7"/>
    <w:rsid w:val="00160F5F"/>
    <w:rsid w:val="001616E4"/>
    <w:rsid w:val="001617CE"/>
    <w:rsid w:val="00161801"/>
    <w:rsid w:val="00161AEE"/>
    <w:rsid w:val="001620B9"/>
    <w:rsid w:val="001620E4"/>
    <w:rsid w:val="001624AB"/>
    <w:rsid w:val="00162924"/>
    <w:rsid w:val="00162AD0"/>
    <w:rsid w:val="0016395D"/>
    <w:rsid w:val="00163A3C"/>
    <w:rsid w:val="0016487B"/>
    <w:rsid w:val="001649D0"/>
    <w:rsid w:val="00164B77"/>
    <w:rsid w:val="00165310"/>
    <w:rsid w:val="001654A8"/>
    <w:rsid w:val="00165632"/>
    <w:rsid w:val="00165FCB"/>
    <w:rsid w:val="001660D6"/>
    <w:rsid w:val="001665A5"/>
    <w:rsid w:val="0016680F"/>
    <w:rsid w:val="00166ACC"/>
    <w:rsid w:val="00167269"/>
    <w:rsid w:val="00167830"/>
    <w:rsid w:val="00167E7D"/>
    <w:rsid w:val="0017063A"/>
    <w:rsid w:val="001706D4"/>
    <w:rsid w:val="0017082A"/>
    <w:rsid w:val="00170E4C"/>
    <w:rsid w:val="001716C4"/>
    <w:rsid w:val="00171B20"/>
    <w:rsid w:val="00171BF5"/>
    <w:rsid w:val="00171FF9"/>
    <w:rsid w:val="00172016"/>
    <w:rsid w:val="00172560"/>
    <w:rsid w:val="00172C94"/>
    <w:rsid w:val="00172CC5"/>
    <w:rsid w:val="00173296"/>
    <w:rsid w:val="00173586"/>
    <w:rsid w:val="00173FEB"/>
    <w:rsid w:val="001743BD"/>
    <w:rsid w:val="00174A30"/>
    <w:rsid w:val="00174B20"/>
    <w:rsid w:val="00174DD9"/>
    <w:rsid w:val="0017547F"/>
    <w:rsid w:val="0017581E"/>
    <w:rsid w:val="00175C03"/>
    <w:rsid w:val="00175EA8"/>
    <w:rsid w:val="001760AB"/>
    <w:rsid w:val="001762DC"/>
    <w:rsid w:val="00176304"/>
    <w:rsid w:val="00176EE6"/>
    <w:rsid w:val="001776A8"/>
    <w:rsid w:val="00180A3A"/>
    <w:rsid w:val="00180DA0"/>
    <w:rsid w:val="00181042"/>
    <w:rsid w:val="00181208"/>
    <w:rsid w:val="00182452"/>
    <w:rsid w:val="00182A3E"/>
    <w:rsid w:val="00182B09"/>
    <w:rsid w:val="00182E0D"/>
    <w:rsid w:val="00183659"/>
    <w:rsid w:val="00183AEA"/>
    <w:rsid w:val="00184036"/>
    <w:rsid w:val="00184299"/>
    <w:rsid w:val="00184521"/>
    <w:rsid w:val="001846EF"/>
    <w:rsid w:val="001848C0"/>
    <w:rsid w:val="001849C6"/>
    <w:rsid w:val="00184BC0"/>
    <w:rsid w:val="00184CBA"/>
    <w:rsid w:val="00184E89"/>
    <w:rsid w:val="00184F02"/>
    <w:rsid w:val="00184F10"/>
    <w:rsid w:val="0018507D"/>
    <w:rsid w:val="00185188"/>
    <w:rsid w:val="001851FE"/>
    <w:rsid w:val="00185752"/>
    <w:rsid w:val="00185FE1"/>
    <w:rsid w:val="00186049"/>
    <w:rsid w:val="00186BB6"/>
    <w:rsid w:val="00186BCC"/>
    <w:rsid w:val="00187206"/>
    <w:rsid w:val="00187492"/>
    <w:rsid w:val="0018761B"/>
    <w:rsid w:val="001877FE"/>
    <w:rsid w:val="0018789D"/>
    <w:rsid w:val="00187AA6"/>
    <w:rsid w:val="00190000"/>
    <w:rsid w:val="001902BB"/>
    <w:rsid w:val="00190B36"/>
    <w:rsid w:val="001911DA"/>
    <w:rsid w:val="001918A2"/>
    <w:rsid w:val="00192498"/>
    <w:rsid w:val="001926FE"/>
    <w:rsid w:val="00192843"/>
    <w:rsid w:val="00192AF5"/>
    <w:rsid w:val="00192B0B"/>
    <w:rsid w:val="00192FFE"/>
    <w:rsid w:val="001937BF"/>
    <w:rsid w:val="00193B7F"/>
    <w:rsid w:val="0019437A"/>
    <w:rsid w:val="001953EF"/>
    <w:rsid w:val="00195ACC"/>
    <w:rsid w:val="00196700"/>
    <w:rsid w:val="00196739"/>
    <w:rsid w:val="00196826"/>
    <w:rsid w:val="001968E0"/>
    <w:rsid w:val="001969D3"/>
    <w:rsid w:val="0019725A"/>
    <w:rsid w:val="001972A8"/>
    <w:rsid w:val="001974D9"/>
    <w:rsid w:val="001977DD"/>
    <w:rsid w:val="0019782E"/>
    <w:rsid w:val="0019788F"/>
    <w:rsid w:val="00197980"/>
    <w:rsid w:val="00197E64"/>
    <w:rsid w:val="001A0085"/>
    <w:rsid w:val="001A0093"/>
    <w:rsid w:val="001A0CD8"/>
    <w:rsid w:val="001A1369"/>
    <w:rsid w:val="001A1914"/>
    <w:rsid w:val="001A1B96"/>
    <w:rsid w:val="001A1FEC"/>
    <w:rsid w:val="001A263D"/>
    <w:rsid w:val="001A2B7B"/>
    <w:rsid w:val="001A2C62"/>
    <w:rsid w:val="001A2D4A"/>
    <w:rsid w:val="001A3444"/>
    <w:rsid w:val="001A37F1"/>
    <w:rsid w:val="001A3977"/>
    <w:rsid w:val="001A3AFF"/>
    <w:rsid w:val="001A3B7D"/>
    <w:rsid w:val="001A3E52"/>
    <w:rsid w:val="001A3FF3"/>
    <w:rsid w:val="001A41AA"/>
    <w:rsid w:val="001A441C"/>
    <w:rsid w:val="001A459D"/>
    <w:rsid w:val="001A4AC4"/>
    <w:rsid w:val="001A4C14"/>
    <w:rsid w:val="001A51B6"/>
    <w:rsid w:val="001A560E"/>
    <w:rsid w:val="001A59B7"/>
    <w:rsid w:val="001A6CBD"/>
    <w:rsid w:val="001A6DC5"/>
    <w:rsid w:val="001A744C"/>
    <w:rsid w:val="001A7525"/>
    <w:rsid w:val="001A7914"/>
    <w:rsid w:val="001B00E2"/>
    <w:rsid w:val="001B04BA"/>
    <w:rsid w:val="001B0518"/>
    <w:rsid w:val="001B0709"/>
    <w:rsid w:val="001B097C"/>
    <w:rsid w:val="001B0A43"/>
    <w:rsid w:val="001B0E4D"/>
    <w:rsid w:val="001B10F0"/>
    <w:rsid w:val="001B1109"/>
    <w:rsid w:val="001B1143"/>
    <w:rsid w:val="001B1486"/>
    <w:rsid w:val="001B1A9B"/>
    <w:rsid w:val="001B1C29"/>
    <w:rsid w:val="001B1F61"/>
    <w:rsid w:val="001B21D0"/>
    <w:rsid w:val="001B2312"/>
    <w:rsid w:val="001B2343"/>
    <w:rsid w:val="001B2434"/>
    <w:rsid w:val="001B2491"/>
    <w:rsid w:val="001B24EB"/>
    <w:rsid w:val="001B265C"/>
    <w:rsid w:val="001B26BF"/>
    <w:rsid w:val="001B2B31"/>
    <w:rsid w:val="001B2E8D"/>
    <w:rsid w:val="001B2ED8"/>
    <w:rsid w:val="001B3270"/>
    <w:rsid w:val="001B34FC"/>
    <w:rsid w:val="001B4143"/>
    <w:rsid w:val="001B41C6"/>
    <w:rsid w:val="001B4704"/>
    <w:rsid w:val="001B4B71"/>
    <w:rsid w:val="001B4E79"/>
    <w:rsid w:val="001B541F"/>
    <w:rsid w:val="001B57F3"/>
    <w:rsid w:val="001B5CF2"/>
    <w:rsid w:val="001B5E85"/>
    <w:rsid w:val="001B628F"/>
    <w:rsid w:val="001B65FF"/>
    <w:rsid w:val="001B6A6C"/>
    <w:rsid w:val="001B6E97"/>
    <w:rsid w:val="001B6EF3"/>
    <w:rsid w:val="001B7DC7"/>
    <w:rsid w:val="001C0435"/>
    <w:rsid w:val="001C0630"/>
    <w:rsid w:val="001C07F9"/>
    <w:rsid w:val="001C0804"/>
    <w:rsid w:val="001C08A3"/>
    <w:rsid w:val="001C0AA6"/>
    <w:rsid w:val="001C0CFC"/>
    <w:rsid w:val="001C0EC8"/>
    <w:rsid w:val="001C0F12"/>
    <w:rsid w:val="001C12CF"/>
    <w:rsid w:val="001C1ADE"/>
    <w:rsid w:val="001C1BB8"/>
    <w:rsid w:val="001C20F2"/>
    <w:rsid w:val="001C25F6"/>
    <w:rsid w:val="001C2743"/>
    <w:rsid w:val="001C27FF"/>
    <w:rsid w:val="001C3097"/>
    <w:rsid w:val="001C3206"/>
    <w:rsid w:val="001C3917"/>
    <w:rsid w:val="001C391F"/>
    <w:rsid w:val="001C3C86"/>
    <w:rsid w:val="001C40E5"/>
    <w:rsid w:val="001C4147"/>
    <w:rsid w:val="001C4223"/>
    <w:rsid w:val="001C491F"/>
    <w:rsid w:val="001C4ABD"/>
    <w:rsid w:val="001C52AD"/>
    <w:rsid w:val="001C57FF"/>
    <w:rsid w:val="001C584E"/>
    <w:rsid w:val="001C5A29"/>
    <w:rsid w:val="001C5C0D"/>
    <w:rsid w:val="001C602A"/>
    <w:rsid w:val="001C61F1"/>
    <w:rsid w:val="001C62F8"/>
    <w:rsid w:val="001C6561"/>
    <w:rsid w:val="001C6FA0"/>
    <w:rsid w:val="001C7DB1"/>
    <w:rsid w:val="001D0413"/>
    <w:rsid w:val="001D07E3"/>
    <w:rsid w:val="001D09CC"/>
    <w:rsid w:val="001D0D05"/>
    <w:rsid w:val="001D14AB"/>
    <w:rsid w:val="001D15A7"/>
    <w:rsid w:val="001D1A1E"/>
    <w:rsid w:val="001D1ED7"/>
    <w:rsid w:val="001D1EF3"/>
    <w:rsid w:val="001D2150"/>
    <w:rsid w:val="001D2CE1"/>
    <w:rsid w:val="001D2E19"/>
    <w:rsid w:val="001D2ED4"/>
    <w:rsid w:val="001D317E"/>
    <w:rsid w:val="001D3687"/>
    <w:rsid w:val="001D388A"/>
    <w:rsid w:val="001D38BE"/>
    <w:rsid w:val="001D3A8F"/>
    <w:rsid w:val="001D3B5C"/>
    <w:rsid w:val="001D424D"/>
    <w:rsid w:val="001D437C"/>
    <w:rsid w:val="001D454C"/>
    <w:rsid w:val="001D4C83"/>
    <w:rsid w:val="001D4CA1"/>
    <w:rsid w:val="001D5292"/>
    <w:rsid w:val="001D5966"/>
    <w:rsid w:val="001D5988"/>
    <w:rsid w:val="001D6296"/>
    <w:rsid w:val="001D679E"/>
    <w:rsid w:val="001D6ACE"/>
    <w:rsid w:val="001D6AD0"/>
    <w:rsid w:val="001D6E18"/>
    <w:rsid w:val="001D763C"/>
    <w:rsid w:val="001D7B4D"/>
    <w:rsid w:val="001D7B9E"/>
    <w:rsid w:val="001E0F39"/>
    <w:rsid w:val="001E1BBB"/>
    <w:rsid w:val="001E1D83"/>
    <w:rsid w:val="001E20AB"/>
    <w:rsid w:val="001E21C7"/>
    <w:rsid w:val="001E2C3B"/>
    <w:rsid w:val="001E3096"/>
    <w:rsid w:val="001E322D"/>
    <w:rsid w:val="001E33BC"/>
    <w:rsid w:val="001E3D85"/>
    <w:rsid w:val="001E3DF5"/>
    <w:rsid w:val="001E3EC3"/>
    <w:rsid w:val="001E44F0"/>
    <w:rsid w:val="001E4698"/>
    <w:rsid w:val="001E4858"/>
    <w:rsid w:val="001E4A63"/>
    <w:rsid w:val="001E512F"/>
    <w:rsid w:val="001E51C9"/>
    <w:rsid w:val="001E52AC"/>
    <w:rsid w:val="001E53A7"/>
    <w:rsid w:val="001E607A"/>
    <w:rsid w:val="001E61DC"/>
    <w:rsid w:val="001E6772"/>
    <w:rsid w:val="001E6ECF"/>
    <w:rsid w:val="001E7093"/>
    <w:rsid w:val="001E70AA"/>
    <w:rsid w:val="001E744B"/>
    <w:rsid w:val="001E79B8"/>
    <w:rsid w:val="001E7A72"/>
    <w:rsid w:val="001E7BC8"/>
    <w:rsid w:val="001E7C14"/>
    <w:rsid w:val="001E7EBB"/>
    <w:rsid w:val="001F0627"/>
    <w:rsid w:val="001F0817"/>
    <w:rsid w:val="001F0B51"/>
    <w:rsid w:val="001F11DC"/>
    <w:rsid w:val="001F1992"/>
    <w:rsid w:val="001F19F6"/>
    <w:rsid w:val="001F24A7"/>
    <w:rsid w:val="001F28C1"/>
    <w:rsid w:val="001F2AA6"/>
    <w:rsid w:val="001F2AB8"/>
    <w:rsid w:val="001F2D46"/>
    <w:rsid w:val="001F2FF8"/>
    <w:rsid w:val="001F321B"/>
    <w:rsid w:val="001F3BA2"/>
    <w:rsid w:val="001F3D8F"/>
    <w:rsid w:val="001F3EEC"/>
    <w:rsid w:val="001F4033"/>
    <w:rsid w:val="001F4521"/>
    <w:rsid w:val="001F4AAA"/>
    <w:rsid w:val="001F4B29"/>
    <w:rsid w:val="001F4D35"/>
    <w:rsid w:val="001F4E17"/>
    <w:rsid w:val="001F5412"/>
    <w:rsid w:val="001F549A"/>
    <w:rsid w:val="001F5502"/>
    <w:rsid w:val="001F5CD8"/>
    <w:rsid w:val="001F640D"/>
    <w:rsid w:val="001F65C5"/>
    <w:rsid w:val="001F677D"/>
    <w:rsid w:val="001F6CF1"/>
    <w:rsid w:val="001F72EE"/>
    <w:rsid w:val="001F743C"/>
    <w:rsid w:val="001F7C07"/>
    <w:rsid w:val="00200056"/>
    <w:rsid w:val="002000D9"/>
    <w:rsid w:val="002001B3"/>
    <w:rsid w:val="002004F8"/>
    <w:rsid w:val="002005E3"/>
    <w:rsid w:val="00200648"/>
    <w:rsid w:val="002007A4"/>
    <w:rsid w:val="00200CB9"/>
    <w:rsid w:val="00200E09"/>
    <w:rsid w:val="00201348"/>
    <w:rsid w:val="00201868"/>
    <w:rsid w:val="00201DEA"/>
    <w:rsid w:val="00201F23"/>
    <w:rsid w:val="00201F72"/>
    <w:rsid w:val="00201FBC"/>
    <w:rsid w:val="00202405"/>
    <w:rsid w:val="0020267B"/>
    <w:rsid w:val="00202CE6"/>
    <w:rsid w:val="00202ED6"/>
    <w:rsid w:val="00203081"/>
    <w:rsid w:val="00203400"/>
    <w:rsid w:val="00203660"/>
    <w:rsid w:val="00203AC1"/>
    <w:rsid w:val="00203EBA"/>
    <w:rsid w:val="00204311"/>
    <w:rsid w:val="00204C41"/>
    <w:rsid w:val="00204E30"/>
    <w:rsid w:val="00204F44"/>
    <w:rsid w:val="00205F59"/>
    <w:rsid w:val="00206834"/>
    <w:rsid w:val="00206B26"/>
    <w:rsid w:val="00206C71"/>
    <w:rsid w:val="00206D91"/>
    <w:rsid w:val="00207043"/>
    <w:rsid w:val="00207157"/>
    <w:rsid w:val="002073D8"/>
    <w:rsid w:val="0020762E"/>
    <w:rsid w:val="002077A5"/>
    <w:rsid w:val="00207932"/>
    <w:rsid w:val="00207F4A"/>
    <w:rsid w:val="00210347"/>
    <w:rsid w:val="002103B9"/>
    <w:rsid w:val="0021078E"/>
    <w:rsid w:val="002107F6"/>
    <w:rsid w:val="00210CE3"/>
    <w:rsid w:val="002112B1"/>
    <w:rsid w:val="0021135B"/>
    <w:rsid w:val="00211872"/>
    <w:rsid w:val="002122CA"/>
    <w:rsid w:val="002128D4"/>
    <w:rsid w:val="00213300"/>
    <w:rsid w:val="00213402"/>
    <w:rsid w:val="0021342D"/>
    <w:rsid w:val="00213A83"/>
    <w:rsid w:val="00213C8E"/>
    <w:rsid w:val="00213F53"/>
    <w:rsid w:val="00213FE6"/>
    <w:rsid w:val="002145A1"/>
    <w:rsid w:val="002147E0"/>
    <w:rsid w:val="0021570E"/>
    <w:rsid w:val="00215754"/>
    <w:rsid w:val="002159DB"/>
    <w:rsid w:val="00215B39"/>
    <w:rsid w:val="002165F9"/>
    <w:rsid w:val="002166B7"/>
    <w:rsid w:val="00216A81"/>
    <w:rsid w:val="00216B36"/>
    <w:rsid w:val="00216EFC"/>
    <w:rsid w:val="00216FA8"/>
    <w:rsid w:val="00217137"/>
    <w:rsid w:val="0021756F"/>
    <w:rsid w:val="00217700"/>
    <w:rsid w:val="002179E8"/>
    <w:rsid w:val="00217F9D"/>
    <w:rsid w:val="0022015E"/>
    <w:rsid w:val="0022027D"/>
    <w:rsid w:val="00220358"/>
    <w:rsid w:val="002208A9"/>
    <w:rsid w:val="00220D0D"/>
    <w:rsid w:val="0022134B"/>
    <w:rsid w:val="002214C0"/>
    <w:rsid w:val="002219C5"/>
    <w:rsid w:val="00221D56"/>
    <w:rsid w:val="00221DB4"/>
    <w:rsid w:val="00221ECC"/>
    <w:rsid w:val="00222155"/>
    <w:rsid w:val="002221D8"/>
    <w:rsid w:val="0022260F"/>
    <w:rsid w:val="00222A16"/>
    <w:rsid w:val="002230A4"/>
    <w:rsid w:val="002235EF"/>
    <w:rsid w:val="00223DC9"/>
    <w:rsid w:val="00224117"/>
    <w:rsid w:val="002244AB"/>
    <w:rsid w:val="00225357"/>
    <w:rsid w:val="002255B3"/>
    <w:rsid w:val="0022581D"/>
    <w:rsid w:val="002259B0"/>
    <w:rsid w:val="00225D51"/>
    <w:rsid w:val="00226006"/>
    <w:rsid w:val="00226082"/>
    <w:rsid w:val="002261D2"/>
    <w:rsid w:val="00226330"/>
    <w:rsid w:val="00226593"/>
    <w:rsid w:val="00226605"/>
    <w:rsid w:val="0022687C"/>
    <w:rsid w:val="0022706B"/>
    <w:rsid w:val="00227258"/>
    <w:rsid w:val="00227588"/>
    <w:rsid w:val="002276CB"/>
    <w:rsid w:val="002278A3"/>
    <w:rsid w:val="00227A35"/>
    <w:rsid w:val="00230DFA"/>
    <w:rsid w:val="00230E20"/>
    <w:rsid w:val="00230FF8"/>
    <w:rsid w:val="00231073"/>
    <w:rsid w:val="00231539"/>
    <w:rsid w:val="00231696"/>
    <w:rsid w:val="002316B2"/>
    <w:rsid w:val="0023224F"/>
    <w:rsid w:val="0023226D"/>
    <w:rsid w:val="00232B0B"/>
    <w:rsid w:val="00233DC5"/>
    <w:rsid w:val="00233FFB"/>
    <w:rsid w:val="00234078"/>
    <w:rsid w:val="002344BE"/>
    <w:rsid w:val="00234514"/>
    <w:rsid w:val="00234D6A"/>
    <w:rsid w:val="00235158"/>
    <w:rsid w:val="0023677A"/>
    <w:rsid w:val="00237123"/>
    <w:rsid w:val="0023727D"/>
    <w:rsid w:val="00237364"/>
    <w:rsid w:val="00237DDF"/>
    <w:rsid w:val="00237EB0"/>
    <w:rsid w:val="00240E46"/>
    <w:rsid w:val="0024111E"/>
    <w:rsid w:val="00241974"/>
    <w:rsid w:val="002420C8"/>
    <w:rsid w:val="00242273"/>
    <w:rsid w:val="00242464"/>
    <w:rsid w:val="002425F3"/>
    <w:rsid w:val="00242607"/>
    <w:rsid w:val="0024292C"/>
    <w:rsid w:val="00242DA0"/>
    <w:rsid w:val="002431EA"/>
    <w:rsid w:val="00243768"/>
    <w:rsid w:val="00243B34"/>
    <w:rsid w:val="002448A5"/>
    <w:rsid w:val="00245125"/>
    <w:rsid w:val="002456DF"/>
    <w:rsid w:val="00245753"/>
    <w:rsid w:val="00245D43"/>
    <w:rsid w:val="00246188"/>
    <w:rsid w:val="00246196"/>
    <w:rsid w:val="002461C5"/>
    <w:rsid w:val="002464BB"/>
    <w:rsid w:val="0024667B"/>
    <w:rsid w:val="00246704"/>
    <w:rsid w:val="00246983"/>
    <w:rsid w:val="00246BB6"/>
    <w:rsid w:val="0024766C"/>
    <w:rsid w:val="002479B8"/>
    <w:rsid w:val="002479BF"/>
    <w:rsid w:val="00247B9E"/>
    <w:rsid w:val="00247D80"/>
    <w:rsid w:val="00247ED6"/>
    <w:rsid w:val="00251139"/>
    <w:rsid w:val="002514AD"/>
    <w:rsid w:val="00251668"/>
    <w:rsid w:val="00251C6E"/>
    <w:rsid w:val="002520B3"/>
    <w:rsid w:val="00252566"/>
    <w:rsid w:val="002528D7"/>
    <w:rsid w:val="00252DE3"/>
    <w:rsid w:val="00253133"/>
    <w:rsid w:val="0025408A"/>
    <w:rsid w:val="00254150"/>
    <w:rsid w:val="00254712"/>
    <w:rsid w:val="00254B09"/>
    <w:rsid w:val="00254CBA"/>
    <w:rsid w:val="00254F1C"/>
    <w:rsid w:val="0025531B"/>
    <w:rsid w:val="00255E9A"/>
    <w:rsid w:val="002562AB"/>
    <w:rsid w:val="002565D5"/>
    <w:rsid w:val="00256654"/>
    <w:rsid w:val="00256D0D"/>
    <w:rsid w:val="00256F6E"/>
    <w:rsid w:val="00257655"/>
    <w:rsid w:val="00257ABE"/>
    <w:rsid w:val="00257BCE"/>
    <w:rsid w:val="00257E12"/>
    <w:rsid w:val="00257ED7"/>
    <w:rsid w:val="002606C7"/>
    <w:rsid w:val="002606F5"/>
    <w:rsid w:val="00260BB3"/>
    <w:rsid w:val="002611A6"/>
    <w:rsid w:val="00261229"/>
    <w:rsid w:val="00261288"/>
    <w:rsid w:val="002619C3"/>
    <w:rsid w:val="002620E2"/>
    <w:rsid w:val="00262169"/>
    <w:rsid w:val="00262425"/>
    <w:rsid w:val="002624EC"/>
    <w:rsid w:val="0026292E"/>
    <w:rsid w:val="00262FF8"/>
    <w:rsid w:val="00263928"/>
    <w:rsid w:val="002645D9"/>
    <w:rsid w:val="002647A0"/>
    <w:rsid w:val="00264BF4"/>
    <w:rsid w:val="0026520C"/>
    <w:rsid w:val="0026557C"/>
    <w:rsid w:val="002655F0"/>
    <w:rsid w:val="002659D0"/>
    <w:rsid w:val="00265BAB"/>
    <w:rsid w:val="00265CED"/>
    <w:rsid w:val="00265E16"/>
    <w:rsid w:val="00265F9B"/>
    <w:rsid w:val="0026641C"/>
    <w:rsid w:val="0026693E"/>
    <w:rsid w:val="00266B75"/>
    <w:rsid w:val="002670FA"/>
    <w:rsid w:val="00267363"/>
    <w:rsid w:val="002678B8"/>
    <w:rsid w:val="00267BE4"/>
    <w:rsid w:val="00267FB9"/>
    <w:rsid w:val="0027114B"/>
    <w:rsid w:val="00271549"/>
    <w:rsid w:val="00271BEC"/>
    <w:rsid w:val="0027207A"/>
    <w:rsid w:val="00272290"/>
    <w:rsid w:val="00272EF5"/>
    <w:rsid w:val="00272FC3"/>
    <w:rsid w:val="00273C94"/>
    <w:rsid w:val="002742AA"/>
    <w:rsid w:val="00274C59"/>
    <w:rsid w:val="00274D75"/>
    <w:rsid w:val="00275036"/>
    <w:rsid w:val="002756F8"/>
    <w:rsid w:val="00275A27"/>
    <w:rsid w:val="00276002"/>
    <w:rsid w:val="00276122"/>
    <w:rsid w:val="00276BBA"/>
    <w:rsid w:val="00276EA4"/>
    <w:rsid w:val="002778DE"/>
    <w:rsid w:val="002779CC"/>
    <w:rsid w:val="00280A02"/>
    <w:rsid w:val="00281277"/>
    <w:rsid w:val="00281431"/>
    <w:rsid w:val="00281826"/>
    <w:rsid w:val="00281999"/>
    <w:rsid w:val="00281EB0"/>
    <w:rsid w:val="00282029"/>
    <w:rsid w:val="00282BD7"/>
    <w:rsid w:val="00282C56"/>
    <w:rsid w:val="00282C62"/>
    <w:rsid w:val="002830FF"/>
    <w:rsid w:val="00283E13"/>
    <w:rsid w:val="00283F84"/>
    <w:rsid w:val="002840DD"/>
    <w:rsid w:val="002843E3"/>
    <w:rsid w:val="0028460B"/>
    <w:rsid w:val="0028470F"/>
    <w:rsid w:val="002847CB"/>
    <w:rsid w:val="00284996"/>
    <w:rsid w:val="0028499F"/>
    <w:rsid w:val="00285429"/>
    <w:rsid w:val="00286390"/>
    <w:rsid w:val="002864F1"/>
    <w:rsid w:val="00286678"/>
    <w:rsid w:val="00286876"/>
    <w:rsid w:val="00286AF0"/>
    <w:rsid w:val="0028728D"/>
    <w:rsid w:val="00287402"/>
    <w:rsid w:val="002902A0"/>
    <w:rsid w:val="002905E1"/>
    <w:rsid w:val="00290B1B"/>
    <w:rsid w:val="00290EAB"/>
    <w:rsid w:val="00290ED7"/>
    <w:rsid w:val="00291042"/>
    <w:rsid w:val="002911BC"/>
    <w:rsid w:val="002911F1"/>
    <w:rsid w:val="002917FD"/>
    <w:rsid w:val="00291F2C"/>
    <w:rsid w:val="00292077"/>
    <w:rsid w:val="002920E8"/>
    <w:rsid w:val="00292227"/>
    <w:rsid w:val="0029274A"/>
    <w:rsid w:val="00292802"/>
    <w:rsid w:val="00292830"/>
    <w:rsid w:val="00292896"/>
    <w:rsid w:val="002929F9"/>
    <w:rsid w:val="00292AC7"/>
    <w:rsid w:val="00292CF1"/>
    <w:rsid w:val="002936E7"/>
    <w:rsid w:val="00293769"/>
    <w:rsid w:val="0029382F"/>
    <w:rsid w:val="00293C61"/>
    <w:rsid w:val="00294289"/>
    <w:rsid w:val="00294798"/>
    <w:rsid w:val="00296581"/>
    <w:rsid w:val="0029690D"/>
    <w:rsid w:val="00297487"/>
    <w:rsid w:val="00297C90"/>
    <w:rsid w:val="002A0244"/>
    <w:rsid w:val="002A04BF"/>
    <w:rsid w:val="002A0A8B"/>
    <w:rsid w:val="002A0D89"/>
    <w:rsid w:val="002A17CE"/>
    <w:rsid w:val="002A209C"/>
    <w:rsid w:val="002A2609"/>
    <w:rsid w:val="002A28EA"/>
    <w:rsid w:val="002A2E9C"/>
    <w:rsid w:val="002A3A3D"/>
    <w:rsid w:val="002A3A57"/>
    <w:rsid w:val="002A3C21"/>
    <w:rsid w:val="002A3EDA"/>
    <w:rsid w:val="002A3FFB"/>
    <w:rsid w:val="002A4075"/>
    <w:rsid w:val="002A445E"/>
    <w:rsid w:val="002A4886"/>
    <w:rsid w:val="002A4D1F"/>
    <w:rsid w:val="002A4F6A"/>
    <w:rsid w:val="002A504D"/>
    <w:rsid w:val="002A51B1"/>
    <w:rsid w:val="002A5329"/>
    <w:rsid w:val="002A5DFD"/>
    <w:rsid w:val="002A6746"/>
    <w:rsid w:val="002A693C"/>
    <w:rsid w:val="002A696C"/>
    <w:rsid w:val="002A6B99"/>
    <w:rsid w:val="002A7072"/>
    <w:rsid w:val="002A766B"/>
    <w:rsid w:val="002A7CF1"/>
    <w:rsid w:val="002A7FAE"/>
    <w:rsid w:val="002B005F"/>
    <w:rsid w:val="002B03FD"/>
    <w:rsid w:val="002B0B4A"/>
    <w:rsid w:val="002B0D77"/>
    <w:rsid w:val="002B0E16"/>
    <w:rsid w:val="002B0F12"/>
    <w:rsid w:val="002B1326"/>
    <w:rsid w:val="002B1566"/>
    <w:rsid w:val="002B17BA"/>
    <w:rsid w:val="002B1933"/>
    <w:rsid w:val="002B19C5"/>
    <w:rsid w:val="002B1A16"/>
    <w:rsid w:val="002B1E1B"/>
    <w:rsid w:val="002B1EBA"/>
    <w:rsid w:val="002B1FE2"/>
    <w:rsid w:val="002B2211"/>
    <w:rsid w:val="002B224A"/>
    <w:rsid w:val="002B2EA4"/>
    <w:rsid w:val="002B30CA"/>
    <w:rsid w:val="002B346E"/>
    <w:rsid w:val="002B3666"/>
    <w:rsid w:val="002B463E"/>
    <w:rsid w:val="002B555E"/>
    <w:rsid w:val="002B5A4F"/>
    <w:rsid w:val="002B63A3"/>
    <w:rsid w:val="002B6A33"/>
    <w:rsid w:val="002B7E24"/>
    <w:rsid w:val="002B7FAE"/>
    <w:rsid w:val="002C0098"/>
    <w:rsid w:val="002C10D5"/>
    <w:rsid w:val="002C12E1"/>
    <w:rsid w:val="002C2546"/>
    <w:rsid w:val="002C2BE4"/>
    <w:rsid w:val="002C2FF5"/>
    <w:rsid w:val="002C3076"/>
    <w:rsid w:val="002C30A4"/>
    <w:rsid w:val="002C32CD"/>
    <w:rsid w:val="002C3C62"/>
    <w:rsid w:val="002C3C73"/>
    <w:rsid w:val="002C410A"/>
    <w:rsid w:val="002C435E"/>
    <w:rsid w:val="002C46EC"/>
    <w:rsid w:val="002C4AEC"/>
    <w:rsid w:val="002C4CEB"/>
    <w:rsid w:val="002C4CEE"/>
    <w:rsid w:val="002C4E70"/>
    <w:rsid w:val="002C527F"/>
    <w:rsid w:val="002C5387"/>
    <w:rsid w:val="002C54A9"/>
    <w:rsid w:val="002C54E4"/>
    <w:rsid w:val="002C5D5D"/>
    <w:rsid w:val="002C5DCC"/>
    <w:rsid w:val="002C5E92"/>
    <w:rsid w:val="002C5EE6"/>
    <w:rsid w:val="002C61DD"/>
    <w:rsid w:val="002C62E4"/>
    <w:rsid w:val="002C6318"/>
    <w:rsid w:val="002C6710"/>
    <w:rsid w:val="002C734A"/>
    <w:rsid w:val="002C74DB"/>
    <w:rsid w:val="002C771B"/>
    <w:rsid w:val="002C7D1C"/>
    <w:rsid w:val="002C7EE3"/>
    <w:rsid w:val="002D0386"/>
    <w:rsid w:val="002D03AA"/>
    <w:rsid w:val="002D057C"/>
    <w:rsid w:val="002D058A"/>
    <w:rsid w:val="002D0678"/>
    <w:rsid w:val="002D083D"/>
    <w:rsid w:val="002D101A"/>
    <w:rsid w:val="002D13CA"/>
    <w:rsid w:val="002D1E67"/>
    <w:rsid w:val="002D2C99"/>
    <w:rsid w:val="002D2ED7"/>
    <w:rsid w:val="002D3568"/>
    <w:rsid w:val="002D38B6"/>
    <w:rsid w:val="002D4254"/>
    <w:rsid w:val="002D42A2"/>
    <w:rsid w:val="002D433D"/>
    <w:rsid w:val="002D44D4"/>
    <w:rsid w:val="002D478B"/>
    <w:rsid w:val="002D47CA"/>
    <w:rsid w:val="002D48E7"/>
    <w:rsid w:val="002D4979"/>
    <w:rsid w:val="002D5DC0"/>
    <w:rsid w:val="002D5EA9"/>
    <w:rsid w:val="002D6432"/>
    <w:rsid w:val="002D651B"/>
    <w:rsid w:val="002D6A0A"/>
    <w:rsid w:val="002D6B7E"/>
    <w:rsid w:val="002D6C5B"/>
    <w:rsid w:val="002D70E4"/>
    <w:rsid w:val="002E0135"/>
    <w:rsid w:val="002E07A2"/>
    <w:rsid w:val="002E096D"/>
    <w:rsid w:val="002E0ECD"/>
    <w:rsid w:val="002E1979"/>
    <w:rsid w:val="002E1E6A"/>
    <w:rsid w:val="002E1E83"/>
    <w:rsid w:val="002E2141"/>
    <w:rsid w:val="002E28CF"/>
    <w:rsid w:val="002E33FE"/>
    <w:rsid w:val="002E3493"/>
    <w:rsid w:val="002E3937"/>
    <w:rsid w:val="002E3C89"/>
    <w:rsid w:val="002E3EA0"/>
    <w:rsid w:val="002E3EE2"/>
    <w:rsid w:val="002E3F50"/>
    <w:rsid w:val="002E41A0"/>
    <w:rsid w:val="002E4283"/>
    <w:rsid w:val="002E42BA"/>
    <w:rsid w:val="002E4468"/>
    <w:rsid w:val="002E4517"/>
    <w:rsid w:val="002E4632"/>
    <w:rsid w:val="002E4681"/>
    <w:rsid w:val="002E51B2"/>
    <w:rsid w:val="002E544E"/>
    <w:rsid w:val="002E5B73"/>
    <w:rsid w:val="002E6078"/>
    <w:rsid w:val="002E697D"/>
    <w:rsid w:val="002E6C5C"/>
    <w:rsid w:val="002E6FB8"/>
    <w:rsid w:val="002E7051"/>
    <w:rsid w:val="002E7C06"/>
    <w:rsid w:val="002E7DDA"/>
    <w:rsid w:val="002E7F9E"/>
    <w:rsid w:val="002E7FB5"/>
    <w:rsid w:val="002F04FF"/>
    <w:rsid w:val="002F0901"/>
    <w:rsid w:val="002F14BC"/>
    <w:rsid w:val="002F1722"/>
    <w:rsid w:val="002F198C"/>
    <w:rsid w:val="002F199B"/>
    <w:rsid w:val="002F1DEF"/>
    <w:rsid w:val="002F2053"/>
    <w:rsid w:val="002F21F7"/>
    <w:rsid w:val="002F28FF"/>
    <w:rsid w:val="002F2980"/>
    <w:rsid w:val="002F2C37"/>
    <w:rsid w:val="002F314A"/>
    <w:rsid w:val="002F3158"/>
    <w:rsid w:val="002F333E"/>
    <w:rsid w:val="002F3594"/>
    <w:rsid w:val="002F3606"/>
    <w:rsid w:val="002F36B8"/>
    <w:rsid w:val="002F384F"/>
    <w:rsid w:val="002F3E89"/>
    <w:rsid w:val="002F446D"/>
    <w:rsid w:val="002F4B7A"/>
    <w:rsid w:val="002F4CC8"/>
    <w:rsid w:val="002F507B"/>
    <w:rsid w:val="002F5432"/>
    <w:rsid w:val="002F5D73"/>
    <w:rsid w:val="002F6336"/>
    <w:rsid w:val="002F7980"/>
    <w:rsid w:val="00300383"/>
    <w:rsid w:val="00300B3A"/>
    <w:rsid w:val="00300D4B"/>
    <w:rsid w:val="00300DFD"/>
    <w:rsid w:val="00300E5A"/>
    <w:rsid w:val="00301443"/>
    <w:rsid w:val="003015D7"/>
    <w:rsid w:val="00301716"/>
    <w:rsid w:val="00301878"/>
    <w:rsid w:val="00301D61"/>
    <w:rsid w:val="00301E90"/>
    <w:rsid w:val="00302CDF"/>
    <w:rsid w:val="00302D0C"/>
    <w:rsid w:val="00302D0E"/>
    <w:rsid w:val="00302EBC"/>
    <w:rsid w:val="00303169"/>
    <w:rsid w:val="00303922"/>
    <w:rsid w:val="003041BC"/>
    <w:rsid w:val="003045E0"/>
    <w:rsid w:val="00305148"/>
    <w:rsid w:val="0030545B"/>
    <w:rsid w:val="00305BB2"/>
    <w:rsid w:val="00305DEE"/>
    <w:rsid w:val="00306375"/>
    <w:rsid w:val="003063A6"/>
    <w:rsid w:val="00306617"/>
    <w:rsid w:val="003067AF"/>
    <w:rsid w:val="00306E99"/>
    <w:rsid w:val="00306EF2"/>
    <w:rsid w:val="00307D30"/>
    <w:rsid w:val="0031090F"/>
    <w:rsid w:val="003109A2"/>
    <w:rsid w:val="00310DA0"/>
    <w:rsid w:val="003111B3"/>
    <w:rsid w:val="00311A69"/>
    <w:rsid w:val="00311C40"/>
    <w:rsid w:val="00311D12"/>
    <w:rsid w:val="00312648"/>
    <w:rsid w:val="00312953"/>
    <w:rsid w:val="0031346C"/>
    <w:rsid w:val="00313C48"/>
    <w:rsid w:val="003149E0"/>
    <w:rsid w:val="00314D85"/>
    <w:rsid w:val="0031508A"/>
    <w:rsid w:val="00316498"/>
    <w:rsid w:val="00316801"/>
    <w:rsid w:val="00316B7D"/>
    <w:rsid w:val="003173B8"/>
    <w:rsid w:val="00317BE2"/>
    <w:rsid w:val="00317C5F"/>
    <w:rsid w:val="00317E60"/>
    <w:rsid w:val="00317FC3"/>
    <w:rsid w:val="003202E6"/>
    <w:rsid w:val="00320628"/>
    <w:rsid w:val="0032117D"/>
    <w:rsid w:val="003217BB"/>
    <w:rsid w:val="00321DD0"/>
    <w:rsid w:val="00321EE1"/>
    <w:rsid w:val="00322457"/>
    <w:rsid w:val="00322473"/>
    <w:rsid w:val="00322B5A"/>
    <w:rsid w:val="00322F58"/>
    <w:rsid w:val="00323005"/>
    <w:rsid w:val="00323193"/>
    <w:rsid w:val="003234F5"/>
    <w:rsid w:val="003236AB"/>
    <w:rsid w:val="00323912"/>
    <w:rsid w:val="00323979"/>
    <w:rsid w:val="00323A11"/>
    <w:rsid w:val="00323A3E"/>
    <w:rsid w:val="003241E1"/>
    <w:rsid w:val="00325362"/>
    <w:rsid w:val="00326B88"/>
    <w:rsid w:val="00326F57"/>
    <w:rsid w:val="0032710C"/>
    <w:rsid w:val="00327D12"/>
    <w:rsid w:val="00330645"/>
    <w:rsid w:val="00330901"/>
    <w:rsid w:val="003313E9"/>
    <w:rsid w:val="0033140E"/>
    <w:rsid w:val="003314EB"/>
    <w:rsid w:val="0033173F"/>
    <w:rsid w:val="00331BC5"/>
    <w:rsid w:val="00331F6E"/>
    <w:rsid w:val="00332120"/>
    <w:rsid w:val="003322CA"/>
    <w:rsid w:val="00332689"/>
    <w:rsid w:val="00332DB9"/>
    <w:rsid w:val="00332F86"/>
    <w:rsid w:val="00333C04"/>
    <w:rsid w:val="003345D2"/>
    <w:rsid w:val="00334CF8"/>
    <w:rsid w:val="00334D20"/>
    <w:rsid w:val="00334E5F"/>
    <w:rsid w:val="00334EFE"/>
    <w:rsid w:val="00335159"/>
    <w:rsid w:val="00335719"/>
    <w:rsid w:val="00335C4A"/>
    <w:rsid w:val="0033652C"/>
    <w:rsid w:val="0033666B"/>
    <w:rsid w:val="00336A4D"/>
    <w:rsid w:val="00337023"/>
    <w:rsid w:val="00337865"/>
    <w:rsid w:val="00340306"/>
    <w:rsid w:val="00340471"/>
    <w:rsid w:val="003408CF"/>
    <w:rsid w:val="00340CB9"/>
    <w:rsid w:val="00340F36"/>
    <w:rsid w:val="0034104C"/>
    <w:rsid w:val="00341185"/>
    <w:rsid w:val="00341B57"/>
    <w:rsid w:val="003420DA"/>
    <w:rsid w:val="0034243E"/>
    <w:rsid w:val="003425E3"/>
    <w:rsid w:val="003427CF"/>
    <w:rsid w:val="00343192"/>
    <w:rsid w:val="00343290"/>
    <w:rsid w:val="00343314"/>
    <w:rsid w:val="0034338E"/>
    <w:rsid w:val="003435E7"/>
    <w:rsid w:val="00343B2B"/>
    <w:rsid w:val="00343B6F"/>
    <w:rsid w:val="00343C12"/>
    <w:rsid w:val="00344540"/>
    <w:rsid w:val="00344F44"/>
    <w:rsid w:val="00344FB7"/>
    <w:rsid w:val="00345889"/>
    <w:rsid w:val="00345C9E"/>
    <w:rsid w:val="00345CA4"/>
    <w:rsid w:val="00346179"/>
    <w:rsid w:val="00346F95"/>
    <w:rsid w:val="00346FAF"/>
    <w:rsid w:val="0034727F"/>
    <w:rsid w:val="0035033F"/>
    <w:rsid w:val="003504D4"/>
    <w:rsid w:val="003505A5"/>
    <w:rsid w:val="00350908"/>
    <w:rsid w:val="0035094D"/>
    <w:rsid w:val="003509B7"/>
    <w:rsid w:val="00350C59"/>
    <w:rsid w:val="00350C69"/>
    <w:rsid w:val="00350D3A"/>
    <w:rsid w:val="00351B3F"/>
    <w:rsid w:val="00351C08"/>
    <w:rsid w:val="00351CA4"/>
    <w:rsid w:val="00351CBD"/>
    <w:rsid w:val="00352123"/>
    <w:rsid w:val="0035239C"/>
    <w:rsid w:val="003529C1"/>
    <w:rsid w:val="00352BDD"/>
    <w:rsid w:val="00352DC3"/>
    <w:rsid w:val="00352F08"/>
    <w:rsid w:val="0035397B"/>
    <w:rsid w:val="0035491A"/>
    <w:rsid w:val="00354AEC"/>
    <w:rsid w:val="00354BA6"/>
    <w:rsid w:val="00354D5B"/>
    <w:rsid w:val="003551AB"/>
    <w:rsid w:val="003555BF"/>
    <w:rsid w:val="003555F1"/>
    <w:rsid w:val="00355B18"/>
    <w:rsid w:val="003561C9"/>
    <w:rsid w:val="00356214"/>
    <w:rsid w:val="00356237"/>
    <w:rsid w:val="003562E3"/>
    <w:rsid w:val="003564FF"/>
    <w:rsid w:val="0035650B"/>
    <w:rsid w:val="00356611"/>
    <w:rsid w:val="00356EC5"/>
    <w:rsid w:val="00357088"/>
    <w:rsid w:val="00357627"/>
    <w:rsid w:val="0035792C"/>
    <w:rsid w:val="0035798D"/>
    <w:rsid w:val="003605CD"/>
    <w:rsid w:val="003606CE"/>
    <w:rsid w:val="003606E3"/>
    <w:rsid w:val="00361C14"/>
    <w:rsid w:val="00361DFA"/>
    <w:rsid w:val="00362131"/>
    <w:rsid w:val="00362316"/>
    <w:rsid w:val="003623D3"/>
    <w:rsid w:val="003626C1"/>
    <w:rsid w:val="003627B7"/>
    <w:rsid w:val="00362F2A"/>
    <w:rsid w:val="003634AA"/>
    <w:rsid w:val="0036357E"/>
    <w:rsid w:val="003638B2"/>
    <w:rsid w:val="00363E3A"/>
    <w:rsid w:val="00363E4C"/>
    <w:rsid w:val="003642AD"/>
    <w:rsid w:val="003646A9"/>
    <w:rsid w:val="003648AF"/>
    <w:rsid w:val="00364CCB"/>
    <w:rsid w:val="00365BAE"/>
    <w:rsid w:val="00365C1C"/>
    <w:rsid w:val="00365C51"/>
    <w:rsid w:val="00366049"/>
    <w:rsid w:val="003660A4"/>
    <w:rsid w:val="003660C1"/>
    <w:rsid w:val="003662FB"/>
    <w:rsid w:val="003663CC"/>
    <w:rsid w:val="00366703"/>
    <w:rsid w:val="003668B7"/>
    <w:rsid w:val="00366923"/>
    <w:rsid w:val="00366E98"/>
    <w:rsid w:val="00367AC5"/>
    <w:rsid w:val="00370941"/>
    <w:rsid w:val="00370B4B"/>
    <w:rsid w:val="00370D42"/>
    <w:rsid w:val="00370EBD"/>
    <w:rsid w:val="00370EFE"/>
    <w:rsid w:val="003714CE"/>
    <w:rsid w:val="0037186C"/>
    <w:rsid w:val="00371C18"/>
    <w:rsid w:val="00372C15"/>
    <w:rsid w:val="00372CB0"/>
    <w:rsid w:val="00373C04"/>
    <w:rsid w:val="00373EED"/>
    <w:rsid w:val="003746C6"/>
    <w:rsid w:val="0037481F"/>
    <w:rsid w:val="00374D1B"/>
    <w:rsid w:val="003752D1"/>
    <w:rsid w:val="00375842"/>
    <w:rsid w:val="003758BC"/>
    <w:rsid w:val="00375B50"/>
    <w:rsid w:val="00375FF5"/>
    <w:rsid w:val="00376D1C"/>
    <w:rsid w:val="00377356"/>
    <w:rsid w:val="00380750"/>
    <w:rsid w:val="00380917"/>
    <w:rsid w:val="00380974"/>
    <w:rsid w:val="00380B81"/>
    <w:rsid w:val="00380CE4"/>
    <w:rsid w:val="00380D41"/>
    <w:rsid w:val="00380EB6"/>
    <w:rsid w:val="00381518"/>
    <w:rsid w:val="00381918"/>
    <w:rsid w:val="00381A3E"/>
    <w:rsid w:val="00381C5E"/>
    <w:rsid w:val="00381D44"/>
    <w:rsid w:val="00381E13"/>
    <w:rsid w:val="00381F72"/>
    <w:rsid w:val="00382CF0"/>
    <w:rsid w:val="00383124"/>
    <w:rsid w:val="00383300"/>
    <w:rsid w:val="00383377"/>
    <w:rsid w:val="00383968"/>
    <w:rsid w:val="003842F0"/>
    <w:rsid w:val="00384867"/>
    <w:rsid w:val="003852C5"/>
    <w:rsid w:val="003853C0"/>
    <w:rsid w:val="003858CC"/>
    <w:rsid w:val="00385AAA"/>
    <w:rsid w:val="00385BFD"/>
    <w:rsid w:val="00385DAC"/>
    <w:rsid w:val="003866FA"/>
    <w:rsid w:val="00386C44"/>
    <w:rsid w:val="003870C4"/>
    <w:rsid w:val="003870FD"/>
    <w:rsid w:val="00387529"/>
    <w:rsid w:val="00387576"/>
    <w:rsid w:val="003879BD"/>
    <w:rsid w:val="00387BA2"/>
    <w:rsid w:val="00387D17"/>
    <w:rsid w:val="00387FDE"/>
    <w:rsid w:val="0039013E"/>
    <w:rsid w:val="00390E25"/>
    <w:rsid w:val="00391160"/>
    <w:rsid w:val="003913BD"/>
    <w:rsid w:val="003915B9"/>
    <w:rsid w:val="00391BD7"/>
    <w:rsid w:val="00391CF5"/>
    <w:rsid w:val="00391D73"/>
    <w:rsid w:val="00392705"/>
    <w:rsid w:val="00392C98"/>
    <w:rsid w:val="00392F81"/>
    <w:rsid w:val="003939BE"/>
    <w:rsid w:val="00393A40"/>
    <w:rsid w:val="00393D0F"/>
    <w:rsid w:val="00394133"/>
    <w:rsid w:val="00394F50"/>
    <w:rsid w:val="00395271"/>
    <w:rsid w:val="00395492"/>
    <w:rsid w:val="00395541"/>
    <w:rsid w:val="003956FC"/>
    <w:rsid w:val="00395D43"/>
    <w:rsid w:val="00395DC8"/>
    <w:rsid w:val="003961CE"/>
    <w:rsid w:val="00396B97"/>
    <w:rsid w:val="0039701E"/>
    <w:rsid w:val="00397469"/>
    <w:rsid w:val="00397A9C"/>
    <w:rsid w:val="00397C1F"/>
    <w:rsid w:val="003A0137"/>
    <w:rsid w:val="003A01FB"/>
    <w:rsid w:val="003A0272"/>
    <w:rsid w:val="003A0944"/>
    <w:rsid w:val="003A09F3"/>
    <w:rsid w:val="003A0BBB"/>
    <w:rsid w:val="003A10DA"/>
    <w:rsid w:val="003A10ED"/>
    <w:rsid w:val="003A10EF"/>
    <w:rsid w:val="003A1D9F"/>
    <w:rsid w:val="003A22EE"/>
    <w:rsid w:val="003A2392"/>
    <w:rsid w:val="003A2609"/>
    <w:rsid w:val="003A287B"/>
    <w:rsid w:val="003A2A1C"/>
    <w:rsid w:val="003A2C49"/>
    <w:rsid w:val="003A359C"/>
    <w:rsid w:val="003A3641"/>
    <w:rsid w:val="003A3699"/>
    <w:rsid w:val="003A3970"/>
    <w:rsid w:val="003A3BF5"/>
    <w:rsid w:val="003A3F1F"/>
    <w:rsid w:val="003A40FF"/>
    <w:rsid w:val="003A425C"/>
    <w:rsid w:val="003A42B3"/>
    <w:rsid w:val="003A47C1"/>
    <w:rsid w:val="003A4B29"/>
    <w:rsid w:val="003A4BB7"/>
    <w:rsid w:val="003A4C51"/>
    <w:rsid w:val="003A4D88"/>
    <w:rsid w:val="003A4E20"/>
    <w:rsid w:val="003A4FF6"/>
    <w:rsid w:val="003A56E3"/>
    <w:rsid w:val="003A6E77"/>
    <w:rsid w:val="003A6FEF"/>
    <w:rsid w:val="003A7086"/>
    <w:rsid w:val="003A7241"/>
    <w:rsid w:val="003A739C"/>
    <w:rsid w:val="003A75A8"/>
    <w:rsid w:val="003A7950"/>
    <w:rsid w:val="003B03DD"/>
    <w:rsid w:val="003B0474"/>
    <w:rsid w:val="003B0565"/>
    <w:rsid w:val="003B05BD"/>
    <w:rsid w:val="003B06C1"/>
    <w:rsid w:val="003B07E6"/>
    <w:rsid w:val="003B0900"/>
    <w:rsid w:val="003B09B0"/>
    <w:rsid w:val="003B0B2E"/>
    <w:rsid w:val="003B1501"/>
    <w:rsid w:val="003B16E0"/>
    <w:rsid w:val="003B1819"/>
    <w:rsid w:val="003B1DE8"/>
    <w:rsid w:val="003B1F5F"/>
    <w:rsid w:val="003B269A"/>
    <w:rsid w:val="003B331F"/>
    <w:rsid w:val="003B3657"/>
    <w:rsid w:val="003B3F1B"/>
    <w:rsid w:val="003B409D"/>
    <w:rsid w:val="003B4113"/>
    <w:rsid w:val="003B441E"/>
    <w:rsid w:val="003B4501"/>
    <w:rsid w:val="003B497A"/>
    <w:rsid w:val="003B4CD4"/>
    <w:rsid w:val="003B5032"/>
    <w:rsid w:val="003B5523"/>
    <w:rsid w:val="003B57EA"/>
    <w:rsid w:val="003B5B28"/>
    <w:rsid w:val="003B6474"/>
    <w:rsid w:val="003B65C0"/>
    <w:rsid w:val="003B6770"/>
    <w:rsid w:val="003B722F"/>
    <w:rsid w:val="003B743F"/>
    <w:rsid w:val="003B78FE"/>
    <w:rsid w:val="003B7D24"/>
    <w:rsid w:val="003B7F58"/>
    <w:rsid w:val="003B7FDE"/>
    <w:rsid w:val="003C064B"/>
    <w:rsid w:val="003C119F"/>
    <w:rsid w:val="003C1BB8"/>
    <w:rsid w:val="003C1E86"/>
    <w:rsid w:val="003C1EA9"/>
    <w:rsid w:val="003C1F6F"/>
    <w:rsid w:val="003C241B"/>
    <w:rsid w:val="003C2A0F"/>
    <w:rsid w:val="003C2B64"/>
    <w:rsid w:val="003C2CFF"/>
    <w:rsid w:val="003C2D90"/>
    <w:rsid w:val="003C2DE3"/>
    <w:rsid w:val="003C384C"/>
    <w:rsid w:val="003C38A8"/>
    <w:rsid w:val="003C3B8F"/>
    <w:rsid w:val="003C3CB5"/>
    <w:rsid w:val="003C4585"/>
    <w:rsid w:val="003C4692"/>
    <w:rsid w:val="003C4AE8"/>
    <w:rsid w:val="003C4D48"/>
    <w:rsid w:val="003C4F35"/>
    <w:rsid w:val="003C5B23"/>
    <w:rsid w:val="003C5E9C"/>
    <w:rsid w:val="003C664D"/>
    <w:rsid w:val="003C6AB2"/>
    <w:rsid w:val="003C6E3B"/>
    <w:rsid w:val="003C6F77"/>
    <w:rsid w:val="003C716D"/>
    <w:rsid w:val="003C7556"/>
    <w:rsid w:val="003D000D"/>
    <w:rsid w:val="003D0199"/>
    <w:rsid w:val="003D0352"/>
    <w:rsid w:val="003D03A1"/>
    <w:rsid w:val="003D1051"/>
    <w:rsid w:val="003D10D2"/>
    <w:rsid w:val="003D118C"/>
    <w:rsid w:val="003D16F5"/>
    <w:rsid w:val="003D178B"/>
    <w:rsid w:val="003D2015"/>
    <w:rsid w:val="003D20C0"/>
    <w:rsid w:val="003D20CD"/>
    <w:rsid w:val="003D2AC7"/>
    <w:rsid w:val="003D2D87"/>
    <w:rsid w:val="003D2E86"/>
    <w:rsid w:val="003D350E"/>
    <w:rsid w:val="003D35CC"/>
    <w:rsid w:val="003D37BF"/>
    <w:rsid w:val="003D3BC2"/>
    <w:rsid w:val="003D3E07"/>
    <w:rsid w:val="003D408A"/>
    <w:rsid w:val="003D497A"/>
    <w:rsid w:val="003D4BA6"/>
    <w:rsid w:val="003D5AEB"/>
    <w:rsid w:val="003D5B92"/>
    <w:rsid w:val="003D6A1A"/>
    <w:rsid w:val="003D6B45"/>
    <w:rsid w:val="003D6B5F"/>
    <w:rsid w:val="003D70C7"/>
    <w:rsid w:val="003D70ED"/>
    <w:rsid w:val="003D748B"/>
    <w:rsid w:val="003D790C"/>
    <w:rsid w:val="003D7C2B"/>
    <w:rsid w:val="003D7F61"/>
    <w:rsid w:val="003E067C"/>
    <w:rsid w:val="003E0BBB"/>
    <w:rsid w:val="003E11FF"/>
    <w:rsid w:val="003E158C"/>
    <w:rsid w:val="003E199E"/>
    <w:rsid w:val="003E1A71"/>
    <w:rsid w:val="003E1B35"/>
    <w:rsid w:val="003E1D8A"/>
    <w:rsid w:val="003E1F18"/>
    <w:rsid w:val="003E220E"/>
    <w:rsid w:val="003E266C"/>
    <w:rsid w:val="003E27C2"/>
    <w:rsid w:val="003E2B29"/>
    <w:rsid w:val="003E2B49"/>
    <w:rsid w:val="003E2EF0"/>
    <w:rsid w:val="003E3623"/>
    <w:rsid w:val="003E38E4"/>
    <w:rsid w:val="003E3CD3"/>
    <w:rsid w:val="003E3DD8"/>
    <w:rsid w:val="003E41B2"/>
    <w:rsid w:val="003E433E"/>
    <w:rsid w:val="003E4726"/>
    <w:rsid w:val="003E4B30"/>
    <w:rsid w:val="003E4EB4"/>
    <w:rsid w:val="003E5DC1"/>
    <w:rsid w:val="003E5F3D"/>
    <w:rsid w:val="003E6188"/>
    <w:rsid w:val="003E63D8"/>
    <w:rsid w:val="003E66EE"/>
    <w:rsid w:val="003E6C81"/>
    <w:rsid w:val="003E7391"/>
    <w:rsid w:val="003E7550"/>
    <w:rsid w:val="003E7647"/>
    <w:rsid w:val="003E7AA7"/>
    <w:rsid w:val="003F09B1"/>
    <w:rsid w:val="003F0A5A"/>
    <w:rsid w:val="003F0B5A"/>
    <w:rsid w:val="003F0E2F"/>
    <w:rsid w:val="003F0E67"/>
    <w:rsid w:val="003F17BC"/>
    <w:rsid w:val="003F2080"/>
    <w:rsid w:val="003F2134"/>
    <w:rsid w:val="003F2298"/>
    <w:rsid w:val="003F2B04"/>
    <w:rsid w:val="003F2E3B"/>
    <w:rsid w:val="003F2F20"/>
    <w:rsid w:val="003F2F51"/>
    <w:rsid w:val="003F325C"/>
    <w:rsid w:val="003F376C"/>
    <w:rsid w:val="003F39B5"/>
    <w:rsid w:val="003F3F19"/>
    <w:rsid w:val="003F46CD"/>
    <w:rsid w:val="003F48D5"/>
    <w:rsid w:val="003F4AB7"/>
    <w:rsid w:val="003F4E1D"/>
    <w:rsid w:val="003F4F55"/>
    <w:rsid w:val="003F50B2"/>
    <w:rsid w:val="003F57CB"/>
    <w:rsid w:val="003F5886"/>
    <w:rsid w:val="003F5A19"/>
    <w:rsid w:val="003F5BDE"/>
    <w:rsid w:val="003F5C7C"/>
    <w:rsid w:val="003F6225"/>
    <w:rsid w:val="003F6568"/>
    <w:rsid w:val="003F69E5"/>
    <w:rsid w:val="003F6A07"/>
    <w:rsid w:val="003F6C7E"/>
    <w:rsid w:val="003F7235"/>
    <w:rsid w:val="003F7546"/>
    <w:rsid w:val="003F7608"/>
    <w:rsid w:val="003F7CC7"/>
    <w:rsid w:val="003F7EAB"/>
    <w:rsid w:val="004002C9"/>
    <w:rsid w:val="0040090F"/>
    <w:rsid w:val="00400BC0"/>
    <w:rsid w:val="00402971"/>
    <w:rsid w:val="00402D4B"/>
    <w:rsid w:val="00402D9E"/>
    <w:rsid w:val="00402DA2"/>
    <w:rsid w:val="00403424"/>
    <w:rsid w:val="00403C0B"/>
    <w:rsid w:val="0040413B"/>
    <w:rsid w:val="00404331"/>
    <w:rsid w:val="00405232"/>
    <w:rsid w:val="004056C4"/>
    <w:rsid w:val="004058B6"/>
    <w:rsid w:val="004062B3"/>
    <w:rsid w:val="004063D3"/>
    <w:rsid w:val="00406640"/>
    <w:rsid w:val="00406CBF"/>
    <w:rsid w:val="00406FD9"/>
    <w:rsid w:val="00406FF3"/>
    <w:rsid w:val="00407298"/>
    <w:rsid w:val="00407763"/>
    <w:rsid w:val="00407932"/>
    <w:rsid w:val="00407E0B"/>
    <w:rsid w:val="00410120"/>
    <w:rsid w:val="00410347"/>
    <w:rsid w:val="00410BA8"/>
    <w:rsid w:val="00410CF1"/>
    <w:rsid w:val="00410E1C"/>
    <w:rsid w:val="00410FD0"/>
    <w:rsid w:val="00411220"/>
    <w:rsid w:val="00411509"/>
    <w:rsid w:val="004118D9"/>
    <w:rsid w:val="004118F7"/>
    <w:rsid w:val="0041190F"/>
    <w:rsid w:val="004121F2"/>
    <w:rsid w:val="004126B2"/>
    <w:rsid w:val="004127CB"/>
    <w:rsid w:val="004129F4"/>
    <w:rsid w:val="00412FEC"/>
    <w:rsid w:val="004139D0"/>
    <w:rsid w:val="004139FF"/>
    <w:rsid w:val="00413A65"/>
    <w:rsid w:val="00413E2B"/>
    <w:rsid w:val="00414434"/>
    <w:rsid w:val="00414E4B"/>
    <w:rsid w:val="00414FCE"/>
    <w:rsid w:val="00415499"/>
    <w:rsid w:val="004154D0"/>
    <w:rsid w:val="0041582B"/>
    <w:rsid w:val="00415B90"/>
    <w:rsid w:val="00415C9A"/>
    <w:rsid w:val="00416473"/>
    <w:rsid w:val="00416533"/>
    <w:rsid w:val="0041684D"/>
    <w:rsid w:val="00417329"/>
    <w:rsid w:val="00417525"/>
    <w:rsid w:val="00420801"/>
    <w:rsid w:val="0042084F"/>
    <w:rsid w:val="00420A05"/>
    <w:rsid w:val="004213FE"/>
    <w:rsid w:val="004217B1"/>
    <w:rsid w:val="00421AD4"/>
    <w:rsid w:val="00421E26"/>
    <w:rsid w:val="00422987"/>
    <w:rsid w:val="00422E77"/>
    <w:rsid w:val="00423504"/>
    <w:rsid w:val="00423F99"/>
    <w:rsid w:val="004240FE"/>
    <w:rsid w:val="004242AA"/>
    <w:rsid w:val="004246ED"/>
    <w:rsid w:val="0042491B"/>
    <w:rsid w:val="00424DA3"/>
    <w:rsid w:val="00424E13"/>
    <w:rsid w:val="00424F33"/>
    <w:rsid w:val="004253B8"/>
    <w:rsid w:val="004254F5"/>
    <w:rsid w:val="004254F6"/>
    <w:rsid w:val="0042567B"/>
    <w:rsid w:val="00425D1C"/>
    <w:rsid w:val="00425E56"/>
    <w:rsid w:val="00426028"/>
    <w:rsid w:val="004262EF"/>
    <w:rsid w:val="00427575"/>
    <w:rsid w:val="00427DBB"/>
    <w:rsid w:val="0043002B"/>
    <w:rsid w:val="00430040"/>
    <w:rsid w:val="004300D5"/>
    <w:rsid w:val="004307CC"/>
    <w:rsid w:val="00430B69"/>
    <w:rsid w:val="00431FE9"/>
    <w:rsid w:val="004321E6"/>
    <w:rsid w:val="00432F5E"/>
    <w:rsid w:val="004333C0"/>
    <w:rsid w:val="0043362B"/>
    <w:rsid w:val="004336B6"/>
    <w:rsid w:val="00433AA8"/>
    <w:rsid w:val="00433B9C"/>
    <w:rsid w:val="00433F56"/>
    <w:rsid w:val="00434461"/>
    <w:rsid w:val="004345F6"/>
    <w:rsid w:val="00434BD3"/>
    <w:rsid w:val="004357C7"/>
    <w:rsid w:val="004358C3"/>
    <w:rsid w:val="00435AE6"/>
    <w:rsid w:val="00435D28"/>
    <w:rsid w:val="00435E02"/>
    <w:rsid w:val="0043601A"/>
    <w:rsid w:val="00436664"/>
    <w:rsid w:val="00436996"/>
    <w:rsid w:val="004378BE"/>
    <w:rsid w:val="00437AAC"/>
    <w:rsid w:val="00437C12"/>
    <w:rsid w:val="00437D7B"/>
    <w:rsid w:val="0044051E"/>
    <w:rsid w:val="00440E57"/>
    <w:rsid w:val="00440F81"/>
    <w:rsid w:val="00441224"/>
    <w:rsid w:val="004413AA"/>
    <w:rsid w:val="00441D7B"/>
    <w:rsid w:val="004421B9"/>
    <w:rsid w:val="00442502"/>
    <w:rsid w:val="0044250F"/>
    <w:rsid w:val="004427EB"/>
    <w:rsid w:val="00442C86"/>
    <w:rsid w:val="00442E59"/>
    <w:rsid w:val="0044360C"/>
    <w:rsid w:val="0044392F"/>
    <w:rsid w:val="00443E36"/>
    <w:rsid w:val="0044415D"/>
    <w:rsid w:val="004442B5"/>
    <w:rsid w:val="00444FFF"/>
    <w:rsid w:val="00445268"/>
    <w:rsid w:val="0044549C"/>
    <w:rsid w:val="00445603"/>
    <w:rsid w:val="00445C29"/>
    <w:rsid w:val="00445C8E"/>
    <w:rsid w:val="004462F3"/>
    <w:rsid w:val="00446880"/>
    <w:rsid w:val="00446F75"/>
    <w:rsid w:val="00447419"/>
    <w:rsid w:val="0044742E"/>
    <w:rsid w:val="004478AD"/>
    <w:rsid w:val="00447C87"/>
    <w:rsid w:val="004506E3"/>
    <w:rsid w:val="00450B2A"/>
    <w:rsid w:val="00450DD1"/>
    <w:rsid w:val="00450F26"/>
    <w:rsid w:val="00450FE2"/>
    <w:rsid w:val="00451043"/>
    <w:rsid w:val="00451365"/>
    <w:rsid w:val="004515DC"/>
    <w:rsid w:val="00451A2F"/>
    <w:rsid w:val="00452164"/>
    <w:rsid w:val="004529B3"/>
    <w:rsid w:val="004529F6"/>
    <w:rsid w:val="00452C00"/>
    <w:rsid w:val="00452F6B"/>
    <w:rsid w:val="00453131"/>
    <w:rsid w:val="0045375F"/>
    <w:rsid w:val="00453E63"/>
    <w:rsid w:val="0045410F"/>
    <w:rsid w:val="00454203"/>
    <w:rsid w:val="004545BF"/>
    <w:rsid w:val="00454767"/>
    <w:rsid w:val="0045493E"/>
    <w:rsid w:val="00454CF9"/>
    <w:rsid w:val="00454E64"/>
    <w:rsid w:val="004556BF"/>
    <w:rsid w:val="004556FD"/>
    <w:rsid w:val="004558A6"/>
    <w:rsid w:val="00455B6D"/>
    <w:rsid w:val="00455E62"/>
    <w:rsid w:val="0045615A"/>
    <w:rsid w:val="004561BC"/>
    <w:rsid w:val="004569A6"/>
    <w:rsid w:val="00456AE2"/>
    <w:rsid w:val="0045703F"/>
    <w:rsid w:val="004577B5"/>
    <w:rsid w:val="004579E5"/>
    <w:rsid w:val="00457C1A"/>
    <w:rsid w:val="00457CDE"/>
    <w:rsid w:val="00457D03"/>
    <w:rsid w:val="0046030D"/>
    <w:rsid w:val="0046055C"/>
    <w:rsid w:val="004605E8"/>
    <w:rsid w:val="00460A54"/>
    <w:rsid w:val="00461512"/>
    <w:rsid w:val="00461675"/>
    <w:rsid w:val="00461F51"/>
    <w:rsid w:val="004622A1"/>
    <w:rsid w:val="0046288F"/>
    <w:rsid w:val="00462F0F"/>
    <w:rsid w:val="004631D3"/>
    <w:rsid w:val="0046387D"/>
    <w:rsid w:val="004641B7"/>
    <w:rsid w:val="00464DC0"/>
    <w:rsid w:val="00465232"/>
    <w:rsid w:val="004655E4"/>
    <w:rsid w:val="00465934"/>
    <w:rsid w:val="004659BC"/>
    <w:rsid w:val="00465EF7"/>
    <w:rsid w:val="004664A3"/>
    <w:rsid w:val="004667BF"/>
    <w:rsid w:val="00466D35"/>
    <w:rsid w:val="0046719D"/>
    <w:rsid w:val="0046789F"/>
    <w:rsid w:val="00467954"/>
    <w:rsid w:val="00467EB5"/>
    <w:rsid w:val="004701B6"/>
    <w:rsid w:val="004702BC"/>
    <w:rsid w:val="00470612"/>
    <w:rsid w:val="00470A1F"/>
    <w:rsid w:val="0047109D"/>
    <w:rsid w:val="0047115F"/>
    <w:rsid w:val="00471777"/>
    <w:rsid w:val="00471F39"/>
    <w:rsid w:val="00472365"/>
    <w:rsid w:val="0047239E"/>
    <w:rsid w:val="004723FF"/>
    <w:rsid w:val="00472498"/>
    <w:rsid w:val="00472B31"/>
    <w:rsid w:val="00472D78"/>
    <w:rsid w:val="00473D9C"/>
    <w:rsid w:val="00474A81"/>
    <w:rsid w:val="00474AB6"/>
    <w:rsid w:val="00474C95"/>
    <w:rsid w:val="00474F17"/>
    <w:rsid w:val="00475293"/>
    <w:rsid w:val="004754F7"/>
    <w:rsid w:val="00475AC1"/>
    <w:rsid w:val="00475D3E"/>
    <w:rsid w:val="00475DCA"/>
    <w:rsid w:val="00476B56"/>
    <w:rsid w:val="00476E8F"/>
    <w:rsid w:val="00477072"/>
    <w:rsid w:val="00477428"/>
    <w:rsid w:val="00477EB0"/>
    <w:rsid w:val="00477FE7"/>
    <w:rsid w:val="00480CA4"/>
    <w:rsid w:val="00480E9E"/>
    <w:rsid w:val="00481852"/>
    <w:rsid w:val="00481A77"/>
    <w:rsid w:val="00481A85"/>
    <w:rsid w:val="00481CAA"/>
    <w:rsid w:val="00482208"/>
    <w:rsid w:val="0048248D"/>
    <w:rsid w:val="00482B94"/>
    <w:rsid w:val="00482EF0"/>
    <w:rsid w:val="00483005"/>
    <w:rsid w:val="004836A0"/>
    <w:rsid w:val="00483B7C"/>
    <w:rsid w:val="004846AE"/>
    <w:rsid w:val="0048487D"/>
    <w:rsid w:val="00485005"/>
    <w:rsid w:val="0048533F"/>
    <w:rsid w:val="00485351"/>
    <w:rsid w:val="004853EA"/>
    <w:rsid w:val="004859B8"/>
    <w:rsid w:val="00485BB5"/>
    <w:rsid w:val="00485ECE"/>
    <w:rsid w:val="00485FD0"/>
    <w:rsid w:val="00486146"/>
    <w:rsid w:val="00486148"/>
    <w:rsid w:val="00486595"/>
    <w:rsid w:val="00486FEF"/>
    <w:rsid w:val="00487276"/>
    <w:rsid w:val="0048729A"/>
    <w:rsid w:val="004872AA"/>
    <w:rsid w:val="004872CA"/>
    <w:rsid w:val="004872D9"/>
    <w:rsid w:val="00487360"/>
    <w:rsid w:val="004873B5"/>
    <w:rsid w:val="00487474"/>
    <w:rsid w:val="004879B6"/>
    <w:rsid w:val="00487B70"/>
    <w:rsid w:val="00487F1A"/>
    <w:rsid w:val="00490168"/>
    <w:rsid w:val="00490244"/>
    <w:rsid w:val="004902A8"/>
    <w:rsid w:val="004907C8"/>
    <w:rsid w:val="00490876"/>
    <w:rsid w:val="00490BFB"/>
    <w:rsid w:val="00490CFE"/>
    <w:rsid w:val="00490D5F"/>
    <w:rsid w:val="00490E23"/>
    <w:rsid w:val="00491368"/>
    <w:rsid w:val="00491649"/>
    <w:rsid w:val="00491736"/>
    <w:rsid w:val="00491A96"/>
    <w:rsid w:val="00492627"/>
    <w:rsid w:val="004929E8"/>
    <w:rsid w:val="0049334C"/>
    <w:rsid w:val="00493401"/>
    <w:rsid w:val="00493E5E"/>
    <w:rsid w:val="0049416D"/>
    <w:rsid w:val="00494311"/>
    <w:rsid w:val="004943F3"/>
    <w:rsid w:val="00494654"/>
    <w:rsid w:val="00494703"/>
    <w:rsid w:val="0049492E"/>
    <w:rsid w:val="004950DA"/>
    <w:rsid w:val="00495263"/>
    <w:rsid w:val="00495B50"/>
    <w:rsid w:val="00495D28"/>
    <w:rsid w:val="00495D77"/>
    <w:rsid w:val="00495F52"/>
    <w:rsid w:val="00496339"/>
    <w:rsid w:val="00496C04"/>
    <w:rsid w:val="00496E5C"/>
    <w:rsid w:val="00496ED0"/>
    <w:rsid w:val="00497625"/>
    <w:rsid w:val="0049769F"/>
    <w:rsid w:val="0049778D"/>
    <w:rsid w:val="00497ACC"/>
    <w:rsid w:val="00497BD7"/>
    <w:rsid w:val="004A07A0"/>
    <w:rsid w:val="004A0F5C"/>
    <w:rsid w:val="004A126B"/>
    <w:rsid w:val="004A17DC"/>
    <w:rsid w:val="004A19C3"/>
    <w:rsid w:val="004A1F22"/>
    <w:rsid w:val="004A2051"/>
    <w:rsid w:val="004A290C"/>
    <w:rsid w:val="004A2C69"/>
    <w:rsid w:val="004A31E3"/>
    <w:rsid w:val="004A340E"/>
    <w:rsid w:val="004A3518"/>
    <w:rsid w:val="004A3725"/>
    <w:rsid w:val="004A3D2B"/>
    <w:rsid w:val="004A4108"/>
    <w:rsid w:val="004A4168"/>
    <w:rsid w:val="004A4C00"/>
    <w:rsid w:val="004A4D9D"/>
    <w:rsid w:val="004A4DDC"/>
    <w:rsid w:val="004A51BD"/>
    <w:rsid w:val="004A5821"/>
    <w:rsid w:val="004A6134"/>
    <w:rsid w:val="004A63DA"/>
    <w:rsid w:val="004A65FD"/>
    <w:rsid w:val="004A664C"/>
    <w:rsid w:val="004A6874"/>
    <w:rsid w:val="004A687B"/>
    <w:rsid w:val="004A6E4A"/>
    <w:rsid w:val="004A6F39"/>
    <w:rsid w:val="004A76A4"/>
    <w:rsid w:val="004A76FF"/>
    <w:rsid w:val="004A7A98"/>
    <w:rsid w:val="004A7B38"/>
    <w:rsid w:val="004A7EEE"/>
    <w:rsid w:val="004B00B5"/>
    <w:rsid w:val="004B02DC"/>
    <w:rsid w:val="004B13C4"/>
    <w:rsid w:val="004B1AF4"/>
    <w:rsid w:val="004B2023"/>
    <w:rsid w:val="004B2080"/>
    <w:rsid w:val="004B2294"/>
    <w:rsid w:val="004B26E8"/>
    <w:rsid w:val="004B29A9"/>
    <w:rsid w:val="004B2B98"/>
    <w:rsid w:val="004B3018"/>
    <w:rsid w:val="004B3086"/>
    <w:rsid w:val="004B3193"/>
    <w:rsid w:val="004B332A"/>
    <w:rsid w:val="004B3764"/>
    <w:rsid w:val="004B3DC1"/>
    <w:rsid w:val="004B40B6"/>
    <w:rsid w:val="004B4191"/>
    <w:rsid w:val="004B42F0"/>
    <w:rsid w:val="004B4DE3"/>
    <w:rsid w:val="004B52CF"/>
    <w:rsid w:val="004B5A91"/>
    <w:rsid w:val="004B5FF5"/>
    <w:rsid w:val="004B61FB"/>
    <w:rsid w:val="004B6657"/>
    <w:rsid w:val="004B6B0F"/>
    <w:rsid w:val="004B71A1"/>
    <w:rsid w:val="004B7414"/>
    <w:rsid w:val="004B7EB5"/>
    <w:rsid w:val="004C02ED"/>
    <w:rsid w:val="004C11D1"/>
    <w:rsid w:val="004C12B4"/>
    <w:rsid w:val="004C1A10"/>
    <w:rsid w:val="004C3212"/>
    <w:rsid w:val="004C35FB"/>
    <w:rsid w:val="004C38CD"/>
    <w:rsid w:val="004C392F"/>
    <w:rsid w:val="004C3CDB"/>
    <w:rsid w:val="004C4266"/>
    <w:rsid w:val="004C4662"/>
    <w:rsid w:val="004C4890"/>
    <w:rsid w:val="004C4D8B"/>
    <w:rsid w:val="004C51F6"/>
    <w:rsid w:val="004C5397"/>
    <w:rsid w:val="004C5D42"/>
    <w:rsid w:val="004C5E39"/>
    <w:rsid w:val="004C6552"/>
    <w:rsid w:val="004C667A"/>
    <w:rsid w:val="004C6E53"/>
    <w:rsid w:val="004C719C"/>
    <w:rsid w:val="004C7893"/>
    <w:rsid w:val="004C7DA2"/>
    <w:rsid w:val="004D110F"/>
    <w:rsid w:val="004D11CA"/>
    <w:rsid w:val="004D1300"/>
    <w:rsid w:val="004D158C"/>
    <w:rsid w:val="004D1B07"/>
    <w:rsid w:val="004D29FF"/>
    <w:rsid w:val="004D2AB5"/>
    <w:rsid w:val="004D2AE9"/>
    <w:rsid w:val="004D2DA8"/>
    <w:rsid w:val="004D2E88"/>
    <w:rsid w:val="004D30A8"/>
    <w:rsid w:val="004D3777"/>
    <w:rsid w:val="004D3BE6"/>
    <w:rsid w:val="004D43A1"/>
    <w:rsid w:val="004D50AB"/>
    <w:rsid w:val="004D55A0"/>
    <w:rsid w:val="004D58E3"/>
    <w:rsid w:val="004D5DCE"/>
    <w:rsid w:val="004D5EDF"/>
    <w:rsid w:val="004D62FE"/>
    <w:rsid w:val="004D6551"/>
    <w:rsid w:val="004D7084"/>
    <w:rsid w:val="004D7256"/>
    <w:rsid w:val="004D73E4"/>
    <w:rsid w:val="004D78E6"/>
    <w:rsid w:val="004E0042"/>
    <w:rsid w:val="004E0A71"/>
    <w:rsid w:val="004E0C8F"/>
    <w:rsid w:val="004E0D45"/>
    <w:rsid w:val="004E16C6"/>
    <w:rsid w:val="004E174F"/>
    <w:rsid w:val="004E1D39"/>
    <w:rsid w:val="004E1E1B"/>
    <w:rsid w:val="004E277D"/>
    <w:rsid w:val="004E2F88"/>
    <w:rsid w:val="004E3004"/>
    <w:rsid w:val="004E325F"/>
    <w:rsid w:val="004E345E"/>
    <w:rsid w:val="004E3498"/>
    <w:rsid w:val="004E36B9"/>
    <w:rsid w:val="004E3AE6"/>
    <w:rsid w:val="004E3CFA"/>
    <w:rsid w:val="004E453B"/>
    <w:rsid w:val="004E4949"/>
    <w:rsid w:val="004E4BF7"/>
    <w:rsid w:val="004E4C94"/>
    <w:rsid w:val="004E53FF"/>
    <w:rsid w:val="004E5544"/>
    <w:rsid w:val="004E5864"/>
    <w:rsid w:val="004E5A78"/>
    <w:rsid w:val="004E5DCD"/>
    <w:rsid w:val="004E62A3"/>
    <w:rsid w:val="004E6DBB"/>
    <w:rsid w:val="004E70E4"/>
    <w:rsid w:val="004E79AE"/>
    <w:rsid w:val="004E7AB5"/>
    <w:rsid w:val="004E7FC3"/>
    <w:rsid w:val="004F02FD"/>
    <w:rsid w:val="004F046F"/>
    <w:rsid w:val="004F061F"/>
    <w:rsid w:val="004F07D6"/>
    <w:rsid w:val="004F0A98"/>
    <w:rsid w:val="004F0C6E"/>
    <w:rsid w:val="004F0CBD"/>
    <w:rsid w:val="004F0F66"/>
    <w:rsid w:val="004F12BD"/>
    <w:rsid w:val="004F1465"/>
    <w:rsid w:val="004F166F"/>
    <w:rsid w:val="004F2081"/>
    <w:rsid w:val="004F2540"/>
    <w:rsid w:val="004F30CD"/>
    <w:rsid w:val="004F38B9"/>
    <w:rsid w:val="004F3ACA"/>
    <w:rsid w:val="004F3D5C"/>
    <w:rsid w:val="004F3E10"/>
    <w:rsid w:val="004F43EC"/>
    <w:rsid w:val="004F4491"/>
    <w:rsid w:val="004F46D9"/>
    <w:rsid w:val="004F5017"/>
    <w:rsid w:val="004F5144"/>
    <w:rsid w:val="004F6D7B"/>
    <w:rsid w:val="004F7042"/>
    <w:rsid w:val="004F765B"/>
    <w:rsid w:val="004F7680"/>
    <w:rsid w:val="004F78C4"/>
    <w:rsid w:val="004F7B58"/>
    <w:rsid w:val="00500446"/>
    <w:rsid w:val="0050072F"/>
    <w:rsid w:val="005008F1"/>
    <w:rsid w:val="00500DE2"/>
    <w:rsid w:val="00500F16"/>
    <w:rsid w:val="005010BC"/>
    <w:rsid w:val="0050146F"/>
    <w:rsid w:val="005016D2"/>
    <w:rsid w:val="00501EFE"/>
    <w:rsid w:val="0050283B"/>
    <w:rsid w:val="00502D94"/>
    <w:rsid w:val="005030A0"/>
    <w:rsid w:val="00503429"/>
    <w:rsid w:val="00503693"/>
    <w:rsid w:val="00503895"/>
    <w:rsid w:val="00503D89"/>
    <w:rsid w:val="00503E85"/>
    <w:rsid w:val="00503FD1"/>
    <w:rsid w:val="00504159"/>
    <w:rsid w:val="00504278"/>
    <w:rsid w:val="00504866"/>
    <w:rsid w:val="00505410"/>
    <w:rsid w:val="00505665"/>
    <w:rsid w:val="005067B3"/>
    <w:rsid w:val="005068B4"/>
    <w:rsid w:val="0050694D"/>
    <w:rsid w:val="005069B1"/>
    <w:rsid w:val="00507003"/>
    <w:rsid w:val="00507072"/>
    <w:rsid w:val="005073FE"/>
    <w:rsid w:val="005078D7"/>
    <w:rsid w:val="00510288"/>
    <w:rsid w:val="00510CDC"/>
    <w:rsid w:val="00510CFD"/>
    <w:rsid w:val="005111BE"/>
    <w:rsid w:val="00511249"/>
    <w:rsid w:val="005112C7"/>
    <w:rsid w:val="00511567"/>
    <w:rsid w:val="00511B0F"/>
    <w:rsid w:val="00511C56"/>
    <w:rsid w:val="00511FD1"/>
    <w:rsid w:val="0051218C"/>
    <w:rsid w:val="00512431"/>
    <w:rsid w:val="005126BD"/>
    <w:rsid w:val="00512A52"/>
    <w:rsid w:val="00512EB7"/>
    <w:rsid w:val="0051327A"/>
    <w:rsid w:val="0051340C"/>
    <w:rsid w:val="00513C0D"/>
    <w:rsid w:val="00513C20"/>
    <w:rsid w:val="00513EAE"/>
    <w:rsid w:val="0051435F"/>
    <w:rsid w:val="0051503D"/>
    <w:rsid w:val="0051549C"/>
    <w:rsid w:val="00515CBF"/>
    <w:rsid w:val="00516179"/>
    <w:rsid w:val="0051653E"/>
    <w:rsid w:val="005166E2"/>
    <w:rsid w:val="005167F1"/>
    <w:rsid w:val="00516AF8"/>
    <w:rsid w:val="00516B9F"/>
    <w:rsid w:val="005179F1"/>
    <w:rsid w:val="00517A2F"/>
    <w:rsid w:val="00517B2E"/>
    <w:rsid w:val="00517BAD"/>
    <w:rsid w:val="00520401"/>
    <w:rsid w:val="005208D2"/>
    <w:rsid w:val="00520A67"/>
    <w:rsid w:val="00520F12"/>
    <w:rsid w:val="00521343"/>
    <w:rsid w:val="00521357"/>
    <w:rsid w:val="00521B37"/>
    <w:rsid w:val="0052209E"/>
    <w:rsid w:val="00522305"/>
    <w:rsid w:val="00522B9A"/>
    <w:rsid w:val="00522F76"/>
    <w:rsid w:val="005234EC"/>
    <w:rsid w:val="005239D8"/>
    <w:rsid w:val="00523A55"/>
    <w:rsid w:val="00523DC6"/>
    <w:rsid w:val="00524127"/>
    <w:rsid w:val="0052412F"/>
    <w:rsid w:val="00524FAB"/>
    <w:rsid w:val="0052503A"/>
    <w:rsid w:val="005254B4"/>
    <w:rsid w:val="00525CC6"/>
    <w:rsid w:val="00525E42"/>
    <w:rsid w:val="005261CC"/>
    <w:rsid w:val="0052629F"/>
    <w:rsid w:val="00526538"/>
    <w:rsid w:val="00526551"/>
    <w:rsid w:val="005270AE"/>
    <w:rsid w:val="00527216"/>
    <w:rsid w:val="005276B9"/>
    <w:rsid w:val="00527B23"/>
    <w:rsid w:val="00530347"/>
    <w:rsid w:val="005305FA"/>
    <w:rsid w:val="00530768"/>
    <w:rsid w:val="00530F4E"/>
    <w:rsid w:val="00531054"/>
    <w:rsid w:val="0053117C"/>
    <w:rsid w:val="00531303"/>
    <w:rsid w:val="00531AA0"/>
    <w:rsid w:val="00531EF0"/>
    <w:rsid w:val="00532273"/>
    <w:rsid w:val="005324BB"/>
    <w:rsid w:val="00532602"/>
    <w:rsid w:val="00532A3B"/>
    <w:rsid w:val="00532E8C"/>
    <w:rsid w:val="00533DE5"/>
    <w:rsid w:val="00533E1B"/>
    <w:rsid w:val="00534284"/>
    <w:rsid w:val="005346D0"/>
    <w:rsid w:val="00534952"/>
    <w:rsid w:val="005349BA"/>
    <w:rsid w:val="0053502B"/>
    <w:rsid w:val="005356DC"/>
    <w:rsid w:val="00536112"/>
    <w:rsid w:val="00536120"/>
    <w:rsid w:val="00536C00"/>
    <w:rsid w:val="00536DD2"/>
    <w:rsid w:val="00536FBA"/>
    <w:rsid w:val="00537EF0"/>
    <w:rsid w:val="0054010F"/>
    <w:rsid w:val="00540258"/>
    <w:rsid w:val="0054090A"/>
    <w:rsid w:val="005410CA"/>
    <w:rsid w:val="00541575"/>
    <w:rsid w:val="005415AD"/>
    <w:rsid w:val="005415C7"/>
    <w:rsid w:val="005418EE"/>
    <w:rsid w:val="00541CB2"/>
    <w:rsid w:val="005420CF"/>
    <w:rsid w:val="0054213F"/>
    <w:rsid w:val="005425FA"/>
    <w:rsid w:val="00542B9C"/>
    <w:rsid w:val="00542D62"/>
    <w:rsid w:val="00542EAF"/>
    <w:rsid w:val="005430B1"/>
    <w:rsid w:val="0054354C"/>
    <w:rsid w:val="00544AF1"/>
    <w:rsid w:val="00544DB5"/>
    <w:rsid w:val="00545594"/>
    <w:rsid w:val="005461B7"/>
    <w:rsid w:val="00546379"/>
    <w:rsid w:val="00546EA2"/>
    <w:rsid w:val="00546F61"/>
    <w:rsid w:val="00547022"/>
    <w:rsid w:val="005471F2"/>
    <w:rsid w:val="00547551"/>
    <w:rsid w:val="00547678"/>
    <w:rsid w:val="005500EA"/>
    <w:rsid w:val="0055016E"/>
    <w:rsid w:val="00550816"/>
    <w:rsid w:val="005508BD"/>
    <w:rsid w:val="00550CE2"/>
    <w:rsid w:val="00550D32"/>
    <w:rsid w:val="00550E1E"/>
    <w:rsid w:val="005510F2"/>
    <w:rsid w:val="00551122"/>
    <w:rsid w:val="00551424"/>
    <w:rsid w:val="005514AA"/>
    <w:rsid w:val="00552369"/>
    <w:rsid w:val="0055295E"/>
    <w:rsid w:val="0055299B"/>
    <w:rsid w:val="00552A94"/>
    <w:rsid w:val="00552B4D"/>
    <w:rsid w:val="00552DFE"/>
    <w:rsid w:val="00552EE7"/>
    <w:rsid w:val="00552F9F"/>
    <w:rsid w:val="005531A9"/>
    <w:rsid w:val="00553206"/>
    <w:rsid w:val="005533AC"/>
    <w:rsid w:val="0055419D"/>
    <w:rsid w:val="005546E3"/>
    <w:rsid w:val="00554D44"/>
    <w:rsid w:val="00554D89"/>
    <w:rsid w:val="00554E65"/>
    <w:rsid w:val="00555147"/>
    <w:rsid w:val="00555580"/>
    <w:rsid w:val="005557C2"/>
    <w:rsid w:val="005559F6"/>
    <w:rsid w:val="00555A7D"/>
    <w:rsid w:val="00555AB6"/>
    <w:rsid w:val="00555DB7"/>
    <w:rsid w:val="005560CA"/>
    <w:rsid w:val="005561FF"/>
    <w:rsid w:val="0055686B"/>
    <w:rsid w:val="0055691D"/>
    <w:rsid w:val="0055692C"/>
    <w:rsid w:val="00556A0B"/>
    <w:rsid w:val="00556A45"/>
    <w:rsid w:val="00556B84"/>
    <w:rsid w:val="00556D6C"/>
    <w:rsid w:val="00556F82"/>
    <w:rsid w:val="005571E3"/>
    <w:rsid w:val="005572CD"/>
    <w:rsid w:val="00557906"/>
    <w:rsid w:val="005579D3"/>
    <w:rsid w:val="0056044D"/>
    <w:rsid w:val="00560AD9"/>
    <w:rsid w:val="00560E10"/>
    <w:rsid w:val="00561989"/>
    <w:rsid w:val="00561B2C"/>
    <w:rsid w:val="00561E33"/>
    <w:rsid w:val="00562068"/>
    <w:rsid w:val="00562172"/>
    <w:rsid w:val="005624C1"/>
    <w:rsid w:val="00562CFA"/>
    <w:rsid w:val="00562D56"/>
    <w:rsid w:val="005634BD"/>
    <w:rsid w:val="0056377B"/>
    <w:rsid w:val="00563805"/>
    <w:rsid w:val="00563B54"/>
    <w:rsid w:val="00563D11"/>
    <w:rsid w:val="00563E43"/>
    <w:rsid w:val="0056507C"/>
    <w:rsid w:val="0056512A"/>
    <w:rsid w:val="0056557D"/>
    <w:rsid w:val="00565BC3"/>
    <w:rsid w:val="0056606F"/>
    <w:rsid w:val="005660E5"/>
    <w:rsid w:val="00566463"/>
    <w:rsid w:val="00566942"/>
    <w:rsid w:val="00566B64"/>
    <w:rsid w:val="00566B79"/>
    <w:rsid w:val="00566D6F"/>
    <w:rsid w:val="00566E5C"/>
    <w:rsid w:val="00567076"/>
    <w:rsid w:val="005670E4"/>
    <w:rsid w:val="00567A51"/>
    <w:rsid w:val="005711FE"/>
    <w:rsid w:val="00571894"/>
    <w:rsid w:val="00571D0B"/>
    <w:rsid w:val="00571FF3"/>
    <w:rsid w:val="00572242"/>
    <w:rsid w:val="005726F4"/>
    <w:rsid w:val="00572B38"/>
    <w:rsid w:val="00572D08"/>
    <w:rsid w:val="005737F4"/>
    <w:rsid w:val="00573B68"/>
    <w:rsid w:val="00573C1C"/>
    <w:rsid w:val="00573D0E"/>
    <w:rsid w:val="00573DD2"/>
    <w:rsid w:val="00574023"/>
    <w:rsid w:val="00574160"/>
    <w:rsid w:val="005750B1"/>
    <w:rsid w:val="00575744"/>
    <w:rsid w:val="00575C5C"/>
    <w:rsid w:val="005763B8"/>
    <w:rsid w:val="005769B0"/>
    <w:rsid w:val="00576AA0"/>
    <w:rsid w:val="00576C31"/>
    <w:rsid w:val="00577017"/>
    <w:rsid w:val="0057795C"/>
    <w:rsid w:val="00577BB2"/>
    <w:rsid w:val="00580135"/>
    <w:rsid w:val="005809C5"/>
    <w:rsid w:val="00580A3A"/>
    <w:rsid w:val="005812FC"/>
    <w:rsid w:val="0058135C"/>
    <w:rsid w:val="00581B13"/>
    <w:rsid w:val="00582716"/>
    <w:rsid w:val="00583735"/>
    <w:rsid w:val="005842DE"/>
    <w:rsid w:val="00584605"/>
    <w:rsid w:val="005849E3"/>
    <w:rsid w:val="00584AA9"/>
    <w:rsid w:val="00584F79"/>
    <w:rsid w:val="005851DB"/>
    <w:rsid w:val="005854AB"/>
    <w:rsid w:val="00585755"/>
    <w:rsid w:val="00585839"/>
    <w:rsid w:val="00585A06"/>
    <w:rsid w:val="00585B96"/>
    <w:rsid w:val="00585D81"/>
    <w:rsid w:val="00586356"/>
    <w:rsid w:val="005863AE"/>
    <w:rsid w:val="0058688C"/>
    <w:rsid w:val="005868BF"/>
    <w:rsid w:val="005870B6"/>
    <w:rsid w:val="005870DA"/>
    <w:rsid w:val="005875DB"/>
    <w:rsid w:val="00587792"/>
    <w:rsid w:val="0058782B"/>
    <w:rsid w:val="005878A4"/>
    <w:rsid w:val="00587E63"/>
    <w:rsid w:val="00590298"/>
    <w:rsid w:val="00590596"/>
    <w:rsid w:val="00590927"/>
    <w:rsid w:val="00590ADA"/>
    <w:rsid w:val="00590E75"/>
    <w:rsid w:val="005917D1"/>
    <w:rsid w:val="00591A0D"/>
    <w:rsid w:val="00591E82"/>
    <w:rsid w:val="00591F52"/>
    <w:rsid w:val="00591F59"/>
    <w:rsid w:val="00591FD2"/>
    <w:rsid w:val="00592353"/>
    <w:rsid w:val="0059256A"/>
    <w:rsid w:val="005926ED"/>
    <w:rsid w:val="00592847"/>
    <w:rsid w:val="0059298B"/>
    <w:rsid w:val="00592C89"/>
    <w:rsid w:val="00592E94"/>
    <w:rsid w:val="00592F01"/>
    <w:rsid w:val="0059419E"/>
    <w:rsid w:val="005941D5"/>
    <w:rsid w:val="00594300"/>
    <w:rsid w:val="005946DE"/>
    <w:rsid w:val="00594846"/>
    <w:rsid w:val="005948B8"/>
    <w:rsid w:val="00594914"/>
    <w:rsid w:val="00594CA7"/>
    <w:rsid w:val="00594E59"/>
    <w:rsid w:val="00595A2D"/>
    <w:rsid w:val="00595C06"/>
    <w:rsid w:val="005964FB"/>
    <w:rsid w:val="00597665"/>
    <w:rsid w:val="0059766B"/>
    <w:rsid w:val="005976C3"/>
    <w:rsid w:val="00597824"/>
    <w:rsid w:val="00597E9F"/>
    <w:rsid w:val="005A052D"/>
    <w:rsid w:val="005A12CE"/>
    <w:rsid w:val="005A140D"/>
    <w:rsid w:val="005A1A93"/>
    <w:rsid w:val="005A25FC"/>
    <w:rsid w:val="005A2E2C"/>
    <w:rsid w:val="005A34FA"/>
    <w:rsid w:val="005A390D"/>
    <w:rsid w:val="005A3B74"/>
    <w:rsid w:val="005A3B8C"/>
    <w:rsid w:val="005A3C3E"/>
    <w:rsid w:val="005A3E62"/>
    <w:rsid w:val="005A434C"/>
    <w:rsid w:val="005A4A1F"/>
    <w:rsid w:val="005A57C2"/>
    <w:rsid w:val="005A5A08"/>
    <w:rsid w:val="005A5D7D"/>
    <w:rsid w:val="005A5F55"/>
    <w:rsid w:val="005A6335"/>
    <w:rsid w:val="005A67C0"/>
    <w:rsid w:val="005A6BEC"/>
    <w:rsid w:val="005A7720"/>
    <w:rsid w:val="005A7C33"/>
    <w:rsid w:val="005A7FD6"/>
    <w:rsid w:val="005B01E6"/>
    <w:rsid w:val="005B0488"/>
    <w:rsid w:val="005B0865"/>
    <w:rsid w:val="005B08FB"/>
    <w:rsid w:val="005B0B4D"/>
    <w:rsid w:val="005B0FB7"/>
    <w:rsid w:val="005B0FD8"/>
    <w:rsid w:val="005B10BB"/>
    <w:rsid w:val="005B1984"/>
    <w:rsid w:val="005B1E23"/>
    <w:rsid w:val="005B1F32"/>
    <w:rsid w:val="005B208F"/>
    <w:rsid w:val="005B231B"/>
    <w:rsid w:val="005B25CF"/>
    <w:rsid w:val="005B2A93"/>
    <w:rsid w:val="005B3695"/>
    <w:rsid w:val="005B375A"/>
    <w:rsid w:val="005B382F"/>
    <w:rsid w:val="005B3CA4"/>
    <w:rsid w:val="005B40B9"/>
    <w:rsid w:val="005B4E7F"/>
    <w:rsid w:val="005B557D"/>
    <w:rsid w:val="005B5EF6"/>
    <w:rsid w:val="005B68F4"/>
    <w:rsid w:val="005B6B6B"/>
    <w:rsid w:val="005B6BC2"/>
    <w:rsid w:val="005B74EE"/>
    <w:rsid w:val="005B78AF"/>
    <w:rsid w:val="005B78DA"/>
    <w:rsid w:val="005C0727"/>
    <w:rsid w:val="005C0BB4"/>
    <w:rsid w:val="005C0D44"/>
    <w:rsid w:val="005C1128"/>
    <w:rsid w:val="005C1301"/>
    <w:rsid w:val="005C140D"/>
    <w:rsid w:val="005C15EB"/>
    <w:rsid w:val="005C168A"/>
    <w:rsid w:val="005C17A2"/>
    <w:rsid w:val="005C1AD4"/>
    <w:rsid w:val="005C207E"/>
    <w:rsid w:val="005C2B6C"/>
    <w:rsid w:val="005C30E1"/>
    <w:rsid w:val="005C35EA"/>
    <w:rsid w:val="005C381E"/>
    <w:rsid w:val="005C3ADC"/>
    <w:rsid w:val="005C45B3"/>
    <w:rsid w:val="005C4D07"/>
    <w:rsid w:val="005C533E"/>
    <w:rsid w:val="005C549A"/>
    <w:rsid w:val="005C5882"/>
    <w:rsid w:val="005C5C87"/>
    <w:rsid w:val="005C5D63"/>
    <w:rsid w:val="005C5E1A"/>
    <w:rsid w:val="005C665E"/>
    <w:rsid w:val="005C6835"/>
    <w:rsid w:val="005C7320"/>
    <w:rsid w:val="005C7501"/>
    <w:rsid w:val="005C77AC"/>
    <w:rsid w:val="005C7CFF"/>
    <w:rsid w:val="005C7DDA"/>
    <w:rsid w:val="005C7EBC"/>
    <w:rsid w:val="005D00A9"/>
    <w:rsid w:val="005D0186"/>
    <w:rsid w:val="005D0630"/>
    <w:rsid w:val="005D0640"/>
    <w:rsid w:val="005D0686"/>
    <w:rsid w:val="005D093D"/>
    <w:rsid w:val="005D0C85"/>
    <w:rsid w:val="005D18BE"/>
    <w:rsid w:val="005D196D"/>
    <w:rsid w:val="005D19EF"/>
    <w:rsid w:val="005D1A31"/>
    <w:rsid w:val="005D1B7F"/>
    <w:rsid w:val="005D35F0"/>
    <w:rsid w:val="005D3748"/>
    <w:rsid w:val="005D3A34"/>
    <w:rsid w:val="005D3C41"/>
    <w:rsid w:val="005D3E2D"/>
    <w:rsid w:val="005D4CE9"/>
    <w:rsid w:val="005D5335"/>
    <w:rsid w:val="005D5629"/>
    <w:rsid w:val="005D5B0F"/>
    <w:rsid w:val="005D62AD"/>
    <w:rsid w:val="005D6521"/>
    <w:rsid w:val="005D66F0"/>
    <w:rsid w:val="005D6749"/>
    <w:rsid w:val="005D67C3"/>
    <w:rsid w:val="005D6C3A"/>
    <w:rsid w:val="005D6CDA"/>
    <w:rsid w:val="005D71F6"/>
    <w:rsid w:val="005D78B7"/>
    <w:rsid w:val="005D7DAD"/>
    <w:rsid w:val="005D7DAF"/>
    <w:rsid w:val="005E04D4"/>
    <w:rsid w:val="005E0750"/>
    <w:rsid w:val="005E09A5"/>
    <w:rsid w:val="005E0C21"/>
    <w:rsid w:val="005E0D5A"/>
    <w:rsid w:val="005E0D9A"/>
    <w:rsid w:val="005E14EA"/>
    <w:rsid w:val="005E1A6A"/>
    <w:rsid w:val="005E2146"/>
    <w:rsid w:val="005E230A"/>
    <w:rsid w:val="005E350E"/>
    <w:rsid w:val="005E39D2"/>
    <w:rsid w:val="005E3DD2"/>
    <w:rsid w:val="005E4169"/>
    <w:rsid w:val="005E43F0"/>
    <w:rsid w:val="005E495B"/>
    <w:rsid w:val="005E4A07"/>
    <w:rsid w:val="005E4EBD"/>
    <w:rsid w:val="005E5166"/>
    <w:rsid w:val="005E5A6E"/>
    <w:rsid w:val="005E618C"/>
    <w:rsid w:val="005E6711"/>
    <w:rsid w:val="005E780E"/>
    <w:rsid w:val="005E79D7"/>
    <w:rsid w:val="005E7B60"/>
    <w:rsid w:val="005E7E6E"/>
    <w:rsid w:val="005F071C"/>
    <w:rsid w:val="005F077F"/>
    <w:rsid w:val="005F0851"/>
    <w:rsid w:val="005F09BB"/>
    <w:rsid w:val="005F0CF6"/>
    <w:rsid w:val="005F17B5"/>
    <w:rsid w:val="005F1D17"/>
    <w:rsid w:val="005F1EA1"/>
    <w:rsid w:val="005F1F44"/>
    <w:rsid w:val="005F2095"/>
    <w:rsid w:val="005F249B"/>
    <w:rsid w:val="005F2C3C"/>
    <w:rsid w:val="005F2C53"/>
    <w:rsid w:val="005F2D0E"/>
    <w:rsid w:val="005F2F13"/>
    <w:rsid w:val="005F37AE"/>
    <w:rsid w:val="005F3901"/>
    <w:rsid w:val="005F4065"/>
    <w:rsid w:val="005F48ED"/>
    <w:rsid w:val="005F4B28"/>
    <w:rsid w:val="005F51CB"/>
    <w:rsid w:val="005F5951"/>
    <w:rsid w:val="005F5A78"/>
    <w:rsid w:val="005F5DED"/>
    <w:rsid w:val="005F6676"/>
    <w:rsid w:val="005F6CB4"/>
    <w:rsid w:val="005F6ECD"/>
    <w:rsid w:val="005F74E5"/>
    <w:rsid w:val="005F7B98"/>
    <w:rsid w:val="005F7E19"/>
    <w:rsid w:val="00600144"/>
    <w:rsid w:val="006003A2"/>
    <w:rsid w:val="00600B58"/>
    <w:rsid w:val="00600C10"/>
    <w:rsid w:val="00601241"/>
    <w:rsid w:val="00601987"/>
    <w:rsid w:val="00602471"/>
    <w:rsid w:val="00602A6B"/>
    <w:rsid w:val="00602AD7"/>
    <w:rsid w:val="00602C17"/>
    <w:rsid w:val="00602C73"/>
    <w:rsid w:val="00602CDB"/>
    <w:rsid w:val="00602ECA"/>
    <w:rsid w:val="0060381C"/>
    <w:rsid w:val="00604C17"/>
    <w:rsid w:val="006057CA"/>
    <w:rsid w:val="00606663"/>
    <w:rsid w:val="00606914"/>
    <w:rsid w:val="00606C1F"/>
    <w:rsid w:val="00606E43"/>
    <w:rsid w:val="0060739A"/>
    <w:rsid w:val="00607BEA"/>
    <w:rsid w:val="0061005A"/>
    <w:rsid w:val="006100DA"/>
    <w:rsid w:val="0061026C"/>
    <w:rsid w:val="006102BB"/>
    <w:rsid w:val="00610A8D"/>
    <w:rsid w:val="00611634"/>
    <w:rsid w:val="006119B5"/>
    <w:rsid w:val="0061338A"/>
    <w:rsid w:val="0061363A"/>
    <w:rsid w:val="00613F8B"/>
    <w:rsid w:val="0061409F"/>
    <w:rsid w:val="006140A2"/>
    <w:rsid w:val="00614461"/>
    <w:rsid w:val="00614658"/>
    <w:rsid w:val="00614CAC"/>
    <w:rsid w:val="00614F46"/>
    <w:rsid w:val="00614F5A"/>
    <w:rsid w:val="006163DA"/>
    <w:rsid w:val="006166EA"/>
    <w:rsid w:val="0061675B"/>
    <w:rsid w:val="0061683C"/>
    <w:rsid w:val="00616A5F"/>
    <w:rsid w:val="00616A8B"/>
    <w:rsid w:val="00616FF3"/>
    <w:rsid w:val="006175D7"/>
    <w:rsid w:val="006176F4"/>
    <w:rsid w:val="00617E87"/>
    <w:rsid w:val="006207BC"/>
    <w:rsid w:val="006207D8"/>
    <w:rsid w:val="00620CD4"/>
    <w:rsid w:val="00620CF4"/>
    <w:rsid w:val="006211F2"/>
    <w:rsid w:val="0062127E"/>
    <w:rsid w:val="00621695"/>
    <w:rsid w:val="006217E4"/>
    <w:rsid w:val="00621B8B"/>
    <w:rsid w:val="00622B3B"/>
    <w:rsid w:val="00622DD7"/>
    <w:rsid w:val="006230CA"/>
    <w:rsid w:val="00623291"/>
    <w:rsid w:val="0062332B"/>
    <w:rsid w:val="006233DC"/>
    <w:rsid w:val="006233E8"/>
    <w:rsid w:val="0062474E"/>
    <w:rsid w:val="00624D8B"/>
    <w:rsid w:val="00624E28"/>
    <w:rsid w:val="006251CA"/>
    <w:rsid w:val="00625281"/>
    <w:rsid w:val="0062595E"/>
    <w:rsid w:val="00625AFD"/>
    <w:rsid w:val="0062610C"/>
    <w:rsid w:val="00626146"/>
    <w:rsid w:val="00626366"/>
    <w:rsid w:val="00626646"/>
    <w:rsid w:val="00626927"/>
    <w:rsid w:val="00626937"/>
    <w:rsid w:val="00626989"/>
    <w:rsid w:val="00626D34"/>
    <w:rsid w:val="00626D56"/>
    <w:rsid w:val="006272E3"/>
    <w:rsid w:val="006275AB"/>
    <w:rsid w:val="006277DA"/>
    <w:rsid w:val="00627B32"/>
    <w:rsid w:val="00630058"/>
    <w:rsid w:val="00630542"/>
    <w:rsid w:val="0063062E"/>
    <w:rsid w:val="00630A92"/>
    <w:rsid w:val="006311CB"/>
    <w:rsid w:val="00631271"/>
    <w:rsid w:val="00631AC3"/>
    <w:rsid w:val="00631CC3"/>
    <w:rsid w:val="00632102"/>
    <w:rsid w:val="006325A2"/>
    <w:rsid w:val="00632D7D"/>
    <w:rsid w:val="00633AFB"/>
    <w:rsid w:val="00633E75"/>
    <w:rsid w:val="00635DCD"/>
    <w:rsid w:val="00635EEF"/>
    <w:rsid w:val="006364E6"/>
    <w:rsid w:val="006366C8"/>
    <w:rsid w:val="00636CD0"/>
    <w:rsid w:val="006375E3"/>
    <w:rsid w:val="006379A5"/>
    <w:rsid w:val="00637EBE"/>
    <w:rsid w:val="0064012E"/>
    <w:rsid w:val="0064030D"/>
    <w:rsid w:val="006405A7"/>
    <w:rsid w:val="006408BD"/>
    <w:rsid w:val="006409BB"/>
    <w:rsid w:val="00640B94"/>
    <w:rsid w:val="0064141D"/>
    <w:rsid w:val="00641447"/>
    <w:rsid w:val="006414A3"/>
    <w:rsid w:val="0064154E"/>
    <w:rsid w:val="006416CF"/>
    <w:rsid w:val="00641B28"/>
    <w:rsid w:val="0064244A"/>
    <w:rsid w:val="006431FC"/>
    <w:rsid w:val="006443EE"/>
    <w:rsid w:val="006447B1"/>
    <w:rsid w:val="0064496F"/>
    <w:rsid w:val="00644C0A"/>
    <w:rsid w:val="00644ED9"/>
    <w:rsid w:val="006451C0"/>
    <w:rsid w:val="00645310"/>
    <w:rsid w:val="00645B9E"/>
    <w:rsid w:val="00645BC0"/>
    <w:rsid w:val="0064615D"/>
    <w:rsid w:val="0064645B"/>
    <w:rsid w:val="00646971"/>
    <w:rsid w:val="006473EF"/>
    <w:rsid w:val="006478E6"/>
    <w:rsid w:val="006479A8"/>
    <w:rsid w:val="00647A65"/>
    <w:rsid w:val="006502EC"/>
    <w:rsid w:val="00650CC6"/>
    <w:rsid w:val="00650EEB"/>
    <w:rsid w:val="00650EFB"/>
    <w:rsid w:val="00651744"/>
    <w:rsid w:val="006519F8"/>
    <w:rsid w:val="00651F23"/>
    <w:rsid w:val="00652422"/>
    <w:rsid w:val="00652800"/>
    <w:rsid w:val="00652DA3"/>
    <w:rsid w:val="00652E26"/>
    <w:rsid w:val="00653B8A"/>
    <w:rsid w:val="00653C87"/>
    <w:rsid w:val="00653CB2"/>
    <w:rsid w:val="00653DEC"/>
    <w:rsid w:val="006543A3"/>
    <w:rsid w:val="00654894"/>
    <w:rsid w:val="00654F98"/>
    <w:rsid w:val="00654F9F"/>
    <w:rsid w:val="00655285"/>
    <w:rsid w:val="00655E1D"/>
    <w:rsid w:val="006561A5"/>
    <w:rsid w:val="0065676E"/>
    <w:rsid w:val="006568A1"/>
    <w:rsid w:val="00656A10"/>
    <w:rsid w:val="00656AC3"/>
    <w:rsid w:val="00656FB3"/>
    <w:rsid w:val="006579FF"/>
    <w:rsid w:val="00657A02"/>
    <w:rsid w:val="0066046F"/>
    <w:rsid w:val="006606B6"/>
    <w:rsid w:val="006608FC"/>
    <w:rsid w:val="00660C35"/>
    <w:rsid w:val="00660CB9"/>
    <w:rsid w:val="00661676"/>
    <w:rsid w:val="00661713"/>
    <w:rsid w:val="006618DC"/>
    <w:rsid w:val="006619D3"/>
    <w:rsid w:val="00661C60"/>
    <w:rsid w:val="00662128"/>
    <w:rsid w:val="00662523"/>
    <w:rsid w:val="0066271E"/>
    <w:rsid w:val="00662832"/>
    <w:rsid w:val="00662F36"/>
    <w:rsid w:val="00662F80"/>
    <w:rsid w:val="00663969"/>
    <w:rsid w:val="00663B4C"/>
    <w:rsid w:val="00663DB2"/>
    <w:rsid w:val="0066409E"/>
    <w:rsid w:val="00664AB0"/>
    <w:rsid w:val="00664B2E"/>
    <w:rsid w:val="006650A2"/>
    <w:rsid w:val="00665A74"/>
    <w:rsid w:val="00665F12"/>
    <w:rsid w:val="006668EE"/>
    <w:rsid w:val="006670C3"/>
    <w:rsid w:val="00667506"/>
    <w:rsid w:val="006679FC"/>
    <w:rsid w:val="00670547"/>
    <w:rsid w:val="006711B5"/>
    <w:rsid w:val="00671492"/>
    <w:rsid w:val="0067159C"/>
    <w:rsid w:val="006715C7"/>
    <w:rsid w:val="00671A59"/>
    <w:rsid w:val="00671DEF"/>
    <w:rsid w:val="00671FA8"/>
    <w:rsid w:val="0067228E"/>
    <w:rsid w:val="00672541"/>
    <w:rsid w:val="006729DC"/>
    <w:rsid w:val="006732F2"/>
    <w:rsid w:val="006733B8"/>
    <w:rsid w:val="006735EA"/>
    <w:rsid w:val="006736A7"/>
    <w:rsid w:val="006737D0"/>
    <w:rsid w:val="00673B20"/>
    <w:rsid w:val="00673F36"/>
    <w:rsid w:val="0067448E"/>
    <w:rsid w:val="00674BA4"/>
    <w:rsid w:val="00674BC0"/>
    <w:rsid w:val="00674C9E"/>
    <w:rsid w:val="00674EA4"/>
    <w:rsid w:val="006755C5"/>
    <w:rsid w:val="00675F43"/>
    <w:rsid w:val="006767AB"/>
    <w:rsid w:val="00676DF1"/>
    <w:rsid w:val="006770F0"/>
    <w:rsid w:val="00677537"/>
    <w:rsid w:val="00677965"/>
    <w:rsid w:val="00677DC0"/>
    <w:rsid w:val="006802DC"/>
    <w:rsid w:val="00680773"/>
    <w:rsid w:val="00680B4B"/>
    <w:rsid w:val="00680D03"/>
    <w:rsid w:val="0068111C"/>
    <w:rsid w:val="00681179"/>
    <w:rsid w:val="0068145E"/>
    <w:rsid w:val="006814FC"/>
    <w:rsid w:val="00682886"/>
    <w:rsid w:val="006828B2"/>
    <w:rsid w:val="00682E61"/>
    <w:rsid w:val="0068318C"/>
    <w:rsid w:val="00683392"/>
    <w:rsid w:val="00683A2F"/>
    <w:rsid w:val="00683C10"/>
    <w:rsid w:val="00684227"/>
    <w:rsid w:val="006842D6"/>
    <w:rsid w:val="006843B2"/>
    <w:rsid w:val="00684692"/>
    <w:rsid w:val="006848B0"/>
    <w:rsid w:val="00684ED5"/>
    <w:rsid w:val="006856DA"/>
    <w:rsid w:val="006859EC"/>
    <w:rsid w:val="00685C13"/>
    <w:rsid w:val="00685DCC"/>
    <w:rsid w:val="006865F2"/>
    <w:rsid w:val="00686F6C"/>
    <w:rsid w:val="006870A8"/>
    <w:rsid w:val="006878E6"/>
    <w:rsid w:val="00687EB2"/>
    <w:rsid w:val="00690112"/>
    <w:rsid w:val="006902EE"/>
    <w:rsid w:val="006927DF"/>
    <w:rsid w:val="006929C7"/>
    <w:rsid w:val="006929F9"/>
    <w:rsid w:val="00692C13"/>
    <w:rsid w:val="00692D16"/>
    <w:rsid w:val="0069311D"/>
    <w:rsid w:val="0069389B"/>
    <w:rsid w:val="006940D2"/>
    <w:rsid w:val="00694969"/>
    <w:rsid w:val="00694B70"/>
    <w:rsid w:val="00694D2B"/>
    <w:rsid w:val="006951D9"/>
    <w:rsid w:val="006952F6"/>
    <w:rsid w:val="0069532E"/>
    <w:rsid w:val="006953BC"/>
    <w:rsid w:val="00695409"/>
    <w:rsid w:val="006955DC"/>
    <w:rsid w:val="00695A5C"/>
    <w:rsid w:val="00695D4A"/>
    <w:rsid w:val="00695DA2"/>
    <w:rsid w:val="00695E25"/>
    <w:rsid w:val="00695FD3"/>
    <w:rsid w:val="00696088"/>
    <w:rsid w:val="00696483"/>
    <w:rsid w:val="00696706"/>
    <w:rsid w:val="006968A2"/>
    <w:rsid w:val="00696A2E"/>
    <w:rsid w:val="00697394"/>
    <w:rsid w:val="006975AB"/>
    <w:rsid w:val="00697F7E"/>
    <w:rsid w:val="00697FF2"/>
    <w:rsid w:val="006A059D"/>
    <w:rsid w:val="006A0635"/>
    <w:rsid w:val="006A0732"/>
    <w:rsid w:val="006A0D12"/>
    <w:rsid w:val="006A1134"/>
    <w:rsid w:val="006A12EC"/>
    <w:rsid w:val="006A1C1F"/>
    <w:rsid w:val="006A1DB6"/>
    <w:rsid w:val="006A1EAF"/>
    <w:rsid w:val="006A254C"/>
    <w:rsid w:val="006A2652"/>
    <w:rsid w:val="006A2854"/>
    <w:rsid w:val="006A2905"/>
    <w:rsid w:val="006A337C"/>
    <w:rsid w:val="006A3C76"/>
    <w:rsid w:val="006A3EC7"/>
    <w:rsid w:val="006A424F"/>
    <w:rsid w:val="006A4BFC"/>
    <w:rsid w:val="006A4D25"/>
    <w:rsid w:val="006A4DA4"/>
    <w:rsid w:val="006A4FEB"/>
    <w:rsid w:val="006A5079"/>
    <w:rsid w:val="006A5B75"/>
    <w:rsid w:val="006A5F43"/>
    <w:rsid w:val="006A6061"/>
    <w:rsid w:val="006A60F7"/>
    <w:rsid w:val="006A6B52"/>
    <w:rsid w:val="006A6BFB"/>
    <w:rsid w:val="006A6D3F"/>
    <w:rsid w:val="006A6DBA"/>
    <w:rsid w:val="006A71D0"/>
    <w:rsid w:val="006A7517"/>
    <w:rsid w:val="006A76FB"/>
    <w:rsid w:val="006A78B7"/>
    <w:rsid w:val="006A7A08"/>
    <w:rsid w:val="006A7ACC"/>
    <w:rsid w:val="006A7B78"/>
    <w:rsid w:val="006A7BB3"/>
    <w:rsid w:val="006B0144"/>
    <w:rsid w:val="006B01FF"/>
    <w:rsid w:val="006B068F"/>
    <w:rsid w:val="006B07B6"/>
    <w:rsid w:val="006B0E92"/>
    <w:rsid w:val="006B1B4A"/>
    <w:rsid w:val="006B1B7C"/>
    <w:rsid w:val="006B2C4E"/>
    <w:rsid w:val="006B2EED"/>
    <w:rsid w:val="006B3D99"/>
    <w:rsid w:val="006B4542"/>
    <w:rsid w:val="006B4755"/>
    <w:rsid w:val="006B4912"/>
    <w:rsid w:val="006B4A7A"/>
    <w:rsid w:val="006B4B2F"/>
    <w:rsid w:val="006B4BE2"/>
    <w:rsid w:val="006B5844"/>
    <w:rsid w:val="006B58AD"/>
    <w:rsid w:val="006B5B7A"/>
    <w:rsid w:val="006B5BB2"/>
    <w:rsid w:val="006B6ABB"/>
    <w:rsid w:val="006B759D"/>
    <w:rsid w:val="006B78A9"/>
    <w:rsid w:val="006B7B90"/>
    <w:rsid w:val="006B7F6E"/>
    <w:rsid w:val="006C046A"/>
    <w:rsid w:val="006C050F"/>
    <w:rsid w:val="006C088C"/>
    <w:rsid w:val="006C08D3"/>
    <w:rsid w:val="006C0D34"/>
    <w:rsid w:val="006C145C"/>
    <w:rsid w:val="006C286E"/>
    <w:rsid w:val="006C2D41"/>
    <w:rsid w:val="006C3016"/>
    <w:rsid w:val="006C3239"/>
    <w:rsid w:val="006C387F"/>
    <w:rsid w:val="006C3BCF"/>
    <w:rsid w:val="006C3BE6"/>
    <w:rsid w:val="006C3F48"/>
    <w:rsid w:val="006C3F95"/>
    <w:rsid w:val="006C49B8"/>
    <w:rsid w:val="006C4C32"/>
    <w:rsid w:val="006C542D"/>
    <w:rsid w:val="006C5628"/>
    <w:rsid w:val="006C5B12"/>
    <w:rsid w:val="006C5F7E"/>
    <w:rsid w:val="006C6912"/>
    <w:rsid w:val="006C6BFE"/>
    <w:rsid w:val="006C6E25"/>
    <w:rsid w:val="006C6EF7"/>
    <w:rsid w:val="006C6F75"/>
    <w:rsid w:val="006C6FB3"/>
    <w:rsid w:val="006C70D3"/>
    <w:rsid w:val="006C76E6"/>
    <w:rsid w:val="006C7AFC"/>
    <w:rsid w:val="006C7E2B"/>
    <w:rsid w:val="006C7E7A"/>
    <w:rsid w:val="006C7E81"/>
    <w:rsid w:val="006D01DB"/>
    <w:rsid w:val="006D04AB"/>
    <w:rsid w:val="006D0D61"/>
    <w:rsid w:val="006D0E21"/>
    <w:rsid w:val="006D2146"/>
    <w:rsid w:val="006D2165"/>
    <w:rsid w:val="006D2612"/>
    <w:rsid w:val="006D2C91"/>
    <w:rsid w:val="006D2F29"/>
    <w:rsid w:val="006D3491"/>
    <w:rsid w:val="006D4D4C"/>
    <w:rsid w:val="006D4F07"/>
    <w:rsid w:val="006D505C"/>
    <w:rsid w:val="006D52FB"/>
    <w:rsid w:val="006D5674"/>
    <w:rsid w:val="006D5AA4"/>
    <w:rsid w:val="006D5C4B"/>
    <w:rsid w:val="006D5CA5"/>
    <w:rsid w:val="006D7056"/>
    <w:rsid w:val="006D70E2"/>
    <w:rsid w:val="006D7E26"/>
    <w:rsid w:val="006E0482"/>
    <w:rsid w:val="006E07CF"/>
    <w:rsid w:val="006E0D0C"/>
    <w:rsid w:val="006E14A9"/>
    <w:rsid w:val="006E1B90"/>
    <w:rsid w:val="006E1C1A"/>
    <w:rsid w:val="006E1E4F"/>
    <w:rsid w:val="006E220E"/>
    <w:rsid w:val="006E2301"/>
    <w:rsid w:val="006E25CB"/>
    <w:rsid w:val="006E2DBB"/>
    <w:rsid w:val="006E30B3"/>
    <w:rsid w:val="006E33E9"/>
    <w:rsid w:val="006E39E4"/>
    <w:rsid w:val="006E3A84"/>
    <w:rsid w:val="006E3E81"/>
    <w:rsid w:val="006E3F37"/>
    <w:rsid w:val="006E43C5"/>
    <w:rsid w:val="006E44E7"/>
    <w:rsid w:val="006E47FB"/>
    <w:rsid w:val="006E4957"/>
    <w:rsid w:val="006E4F89"/>
    <w:rsid w:val="006E5152"/>
    <w:rsid w:val="006E51C7"/>
    <w:rsid w:val="006E53CE"/>
    <w:rsid w:val="006E5483"/>
    <w:rsid w:val="006E5798"/>
    <w:rsid w:val="006E5FA2"/>
    <w:rsid w:val="006E6055"/>
    <w:rsid w:val="006E6768"/>
    <w:rsid w:val="006E699F"/>
    <w:rsid w:val="006E6B40"/>
    <w:rsid w:val="006E6E89"/>
    <w:rsid w:val="006E770B"/>
    <w:rsid w:val="006E7CB6"/>
    <w:rsid w:val="006F00B7"/>
    <w:rsid w:val="006F01AE"/>
    <w:rsid w:val="006F084D"/>
    <w:rsid w:val="006F0A76"/>
    <w:rsid w:val="006F0B7A"/>
    <w:rsid w:val="006F0F6D"/>
    <w:rsid w:val="006F15AC"/>
    <w:rsid w:val="006F174D"/>
    <w:rsid w:val="006F19C6"/>
    <w:rsid w:val="006F1BED"/>
    <w:rsid w:val="006F1E83"/>
    <w:rsid w:val="006F242A"/>
    <w:rsid w:val="006F2581"/>
    <w:rsid w:val="006F27D0"/>
    <w:rsid w:val="006F298A"/>
    <w:rsid w:val="006F2E45"/>
    <w:rsid w:val="006F2F63"/>
    <w:rsid w:val="006F33BE"/>
    <w:rsid w:val="006F34F6"/>
    <w:rsid w:val="006F3B88"/>
    <w:rsid w:val="006F3B91"/>
    <w:rsid w:val="006F4485"/>
    <w:rsid w:val="006F47DF"/>
    <w:rsid w:val="006F537D"/>
    <w:rsid w:val="006F5437"/>
    <w:rsid w:val="006F59B4"/>
    <w:rsid w:val="006F5B04"/>
    <w:rsid w:val="006F63DA"/>
    <w:rsid w:val="006F6498"/>
    <w:rsid w:val="006F69E4"/>
    <w:rsid w:val="006F6AB8"/>
    <w:rsid w:val="006F6C9A"/>
    <w:rsid w:val="006F6E3B"/>
    <w:rsid w:val="006F6F3C"/>
    <w:rsid w:val="006F7018"/>
    <w:rsid w:val="006F7059"/>
    <w:rsid w:val="006F72A8"/>
    <w:rsid w:val="006F73C8"/>
    <w:rsid w:val="006F7981"/>
    <w:rsid w:val="006F7D31"/>
    <w:rsid w:val="006F7D6E"/>
    <w:rsid w:val="006F7DCA"/>
    <w:rsid w:val="007000CD"/>
    <w:rsid w:val="00700140"/>
    <w:rsid w:val="0070019F"/>
    <w:rsid w:val="007006DA"/>
    <w:rsid w:val="007007F3"/>
    <w:rsid w:val="0070098A"/>
    <w:rsid w:val="00700D2F"/>
    <w:rsid w:val="00700ED3"/>
    <w:rsid w:val="0070105F"/>
    <w:rsid w:val="0070126D"/>
    <w:rsid w:val="0070186F"/>
    <w:rsid w:val="007018B1"/>
    <w:rsid w:val="007018EA"/>
    <w:rsid w:val="00701F21"/>
    <w:rsid w:val="00702104"/>
    <w:rsid w:val="007022D4"/>
    <w:rsid w:val="00702338"/>
    <w:rsid w:val="007027B1"/>
    <w:rsid w:val="00702E40"/>
    <w:rsid w:val="00702E5B"/>
    <w:rsid w:val="007033CE"/>
    <w:rsid w:val="00703663"/>
    <w:rsid w:val="00703873"/>
    <w:rsid w:val="0070387A"/>
    <w:rsid w:val="007039AB"/>
    <w:rsid w:val="007043A5"/>
    <w:rsid w:val="00704B07"/>
    <w:rsid w:val="00704D36"/>
    <w:rsid w:val="00704F62"/>
    <w:rsid w:val="00705829"/>
    <w:rsid w:val="0070584A"/>
    <w:rsid w:val="0070594B"/>
    <w:rsid w:val="00705D41"/>
    <w:rsid w:val="00705DC7"/>
    <w:rsid w:val="00706218"/>
    <w:rsid w:val="00706638"/>
    <w:rsid w:val="007066C7"/>
    <w:rsid w:val="00706AF3"/>
    <w:rsid w:val="00707443"/>
    <w:rsid w:val="00710026"/>
    <w:rsid w:val="0071014D"/>
    <w:rsid w:val="00710A84"/>
    <w:rsid w:val="00710A8A"/>
    <w:rsid w:val="007112CF"/>
    <w:rsid w:val="007113C6"/>
    <w:rsid w:val="007114F2"/>
    <w:rsid w:val="00711775"/>
    <w:rsid w:val="00711EED"/>
    <w:rsid w:val="0071237D"/>
    <w:rsid w:val="0071249C"/>
    <w:rsid w:val="00712C00"/>
    <w:rsid w:val="007131CD"/>
    <w:rsid w:val="007138DA"/>
    <w:rsid w:val="007142A8"/>
    <w:rsid w:val="00715694"/>
    <w:rsid w:val="00715695"/>
    <w:rsid w:val="0071587D"/>
    <w:rsid w:val="00715F8E"/>
    <w:rsid w:val="0071657E"/>
    <w:rsid w:val="00716AEF"/>
    <w:rsid w:val="00716C4E"/>
    <w:rsid w:val="00716FDA"/>
    <w:rsid w:val="007172B0"/>
    <w:rsid w:val="0071760D"/>
    <w:rsid w:val="007176D5"/>
    <w:rsid w:val="007176F2"/>
    <w:rsid w:val="007177DA"/>
    <w:rsid w:val="00717EFD"/>
    <w:rsid w:val="00720116"/>
    <w:rsid w:val="0072014A"/>
    <w:rsid w:val="0072026D"/>
    <w:rsid w:val="007205A6"/>
    <w:rsid w:val="007205DA"/>
    <w:rsid w:val="00720FFD"/>
    <w:rsid w:val="007218C9"/>
    <w:rsid w:val="00722902"/>
    <w:rsid w:val="007229EA"/>
    <w:rsid w:val="00722A78"/>
    <w:rsid w:val="00722B44"/>
    <w:rsid w:val="00722E81"/>
    <w:rsid w:val="00722ED3"/>
    <w:rsid w:val="00723682"/>
    <w:rsid w:val="007236FB"/>
    <w:rsid w:val="00723BF7"/>
    <w:rsid w:val="00723FA0"/>
    <w:rsid w:val="007240EB"/>
    <w:rsid w:val="00724895"/>
    <w:rsid w:val="00724949"/>
    <w:rsid w:val="00724ACE"/>
    <w:rsid w:val="00724DBC"/>
    <w:rsid w:val="007258EF"/>
    <w:rsid w:val="00725E55"/>
    <w:rsid w:val="00726229"/>
    <w:rsid w:val="007269B2"/>
    <w:rsid w:val="00726A0C"/>
    <w:rsid w:val="00727564"/>
    <w:rsid w:val="00727A16"/>
    <w:rsid w:val="00727D55"/>
    <w:rsid w:val="00727DF0"/>
    <w:rsid w:val="007305FE"/>
    <w:rsid w:val="007309DA"/>
    <w:rsid w:val="00731FFE"/>
    <w:rsid w:val="00732055"/>
    <w:rsid w:val="007323D0"/>
    <w:rsid w:val="00732550"/>
    <w:rsid w:val="0073304E"/>
    <w:rsid w:val="00733B91"/>
    <w:rsid w:val="00733C29"/>
    <w:rsid w:val="00733F70"/>
    <w:rsid w:val="007340EC"/>
    <w:rsid w:val="00734874"/>
    <w:rsid w:val="00734B99"/>
    <w:rsid w:val="00734D64"/>
    <w:rsid w:val="007350AC"/>
    <w:rsid w:val="00735B27"/>
    <w:rsid w:val="00735CAC"/>
    <w:rsid w:val="00735E87"/>
    <w:rsid w:val="00736296"/>
    <w:rsid w:val="007369DD"/>
    <w:rsid w:val="00736FF1"/>
    <w:rsid w:val="00737172"/>
    <w:rsid w:val="00737314"/>
    <w:rsid w:val="00737467"/>
    <w:rsid w:val="007374F3"/>
    <w:rsid w:val="00737505"/>
    <w:rsid w:val="00737A89"/>
    <w:rsid w:val="00737B7B"/>
    <w:rsid w:val="007400D7"/>
    <w:rsid w:val="007402E0"/>
    <w:rsid w:val="00740FD4"/>
    <w:rsid w:val="007411D6"/>
    <w:rsid w:val="00741736"/>
    <w:rsid w:val="00741F94"/>
    <w:rsid w:val="0074261C"/>
    <w:rsid w:val="00742A53"/>
    <w:rsid w:val="00742D86"/>
    <w:rsid w:val="00743374"/>
    <w:rsid w:val="007438FB"/>
    <w:rsid w:val="00743916"/>
    <w:rsid w:val="00743CB2"/>
    <w:rsid w:val="0074458A"/>
    <w:rsid w:val="00744FCF"/>
    <w:rsid w:val="00745079"/>
    <w:rsid w:val="00745267"/>
    <w:rsid w:val="007459E9"/>
    <w:rsid w:val="00745C22"/>
    <w:rsid w:val="00745CB0"/>
    <w:rsid w:val="00746092"/>
    <w:rsid w:val="0074656E"/>
    <w:rsid w:val="0074680E"/>
    <w:rsid w:val="00746BD7"/>
    <w:rsid w:val="00746EC3"/>
    <w:rsid w:val="00746F49"/>
    <w:rsid w:val="00746FCE"/>
    <w:rsid w:val="00747799"/>
    <w:rsid w:val="007477E8"/>
    <w:rsid w:val="00747A95"/>
    <w:rsid w:val="007500B2"/>
    <w:rsid w:val="007502B1"/>
    <w:rsid w:val="00750357"/>
    <w:rsid w:val="0075046D"/>
    <w:rsid w:val="007509F8"/>
    <w:rsid w:val="00750AF7"/>
    <w:rsid w:val="0075171B"/>
    <w:rsid w:val="00751B6A"/>
    <w:rsid w:val="00752457"/>
    <w:rsid w:val="00752836"/>
    <w:rsid w:val="007528F0"/>
    <w:rsid w:val="00752922"/>
    <w:rsid w:val="0075298F"/>
    <w:rsid w:val="00752B47"/>
    <w:rsid w:val="0075392D"/>
    <w:rsid w:val="00753BF0"/>
    <w:rsid w:val="007540BD"/>
    <w:rsid w:val="007548DF"/>
    <w:rsid w:val="00754C96"/>
    <w:rsid w:val="00754E8F"/>
    <w:rsid w:val="0075500D"/>
    <w:rsid w:val="007556E1"/>
    <w:rsid w:val="0075598F"/>
    <w:rsid w:val="00755B7A"/>
    <w:rsid w:val="00755CA8"/>
    <w:rsid w:val="00756193"/>
    <w:rsid w:val="007561F6"/>
    <w:rsid w:val="0075624F"/>
    <w:rsid w:val="00756686"/>
    <w:rsid w:val="0075692D"/>
    <w:rsid w:val="00756C20"/>
    <w:rsid w:val="00756D08"/>
    <w:rsid w:val="00756EA4"/>
    <w:rsid w:val="00757031"/>
    <w:rsid w:val="00757151"/>
    <w:rsid w:val="007575B5"/>
    <w:rsid w:val="00757AF0"/>
    <w:rsid w:val="00757C78"/>
    <w:rsid w:val="00757DB5"/>
    <w:rsid w:val="007604DA"/>
    <w:rsid w:val="00760D81"/>
    <w:rsid w:val="007614CA"/>
    <w:rsid w:val="007618B0"/>
    <w:rsid w:val="007618E0"/>
    <w:rsid w:val="00761D70"/>
    <w:rsid w:val="00761DBE"/>
    <w:rsid w:val="00762370"/>
    <w:rsid w:val="0076270F"/>
    <w:rsid w:val="00762C52"/>
    <w:rsid w:val="00762C62"/>
    <w:rsid w:val="00762E14"/>
    <w:rsid w:val="00762FE5"/>
    <w:rsid w:val="007639C7"/>
    <w:rsid w:val="007639F5"/>
    <w:rsid w:val="00763A57"/>
    <w:rsid w:val="00763C8A"/>
    <w:rsid w:val="00763F90"/>
    <w:rsid w:val="00764436"/>
    <w:rsid w:val="00764AFF"/>
    <w:rsid w:val="00764FB0"/>
    <w:rsid w:val="00765510"/>
    <w:rsid w:val="007658B2"/>
    <w:rsid w:val="00765901"/>
    <w:rsid w:val="00765E7D"/>
    <w:rsid w:val="007669E3"/>
    <w:rsid w:val="00767383"/>
    <w:rsid w:val="0076762D"/>
    <w:rsid w:val="007677C8"/>
    <w:rsid w:val="00767900"/>
    <w:rsid w:val="00767D74"/>
    <w:rsid w:val="00770F8C"/>
    <w:rsid w:val="007712D0"/>
    <w:rsid w:val="007714EF"/>
    <w:rsid w:val="0077153C"/>
    <w:rsid w:val="0077169A"/>
    <w:rsid w:val="007716A6"/>
    <w:rsid w:val="00771DAB"/>
    <w:rsid w:val="00771E52"/>
    <w:rsid w:val="00771F80"/>
    <w:rsid w:val="007720E2"/>
    <w:rsid w:val="00772498"/>
    <w:rsid w:val="007728D2"/>
    <w:rsid w:val="007730D9"/>
    <w:rsid w:val="0077339C"/>
    <w:rsid w:val="007738E6"/>
    <w:rsid w:val="0077392A"/>
    <w:rsid w:val="007739C0"/>
    <w:rsid w:val="00773ADF"/>
    <w:rsid w:val="00773B46"/>
    <w:rsid w:val="007741E2"/>
    <w:rsid w:val="00774202"/>
    <w:rsid w:val="00774212"/>
    <w:rsid w:val="00774AB4"/>
    <w:rsid w:val="00774AC5"/>
    <w:rsid w:val="00775A32"/>
    <w:rsid w:val="00775C7A"/>
    <w:rsid w:val="00775E16"/>
    <w:rsid w:val="00776181"/>
    <w:rsid w:val="0077661A"/>
    <w:rsid w:val="0077696D"/>
    <w:rsid w:val="00776991"/>
    <w:rsid w:val="00776B72"/>
    <w:rsid w:val="00776C92"/>
    <w:rsid w:val="007778EA"/>
    <w:rsid w:val="00777B92"/>
    <w:rsid w:val="00780818"/>
    <w:rsid w:val="00781014"/>
    <w:rsid w:val="007819EB"/>
    <w:rsid w:val="00781BB6"/>
    <w:rsid w:val="00781D04"/>
    <w:rsid w:val="00782136"/>
    <w:rsid w:val="00782BFF"/>
    <w:rsid w:val="00782CAA"/>
    <w:rsid w:val="007832CF"/>
    <w:rsid w:val="007836C7"/>
    <w:rsid w:val="00783AC7"/>
    <w:rsid w:val="00783F57"/>
    <w:rsid w:val="0078401C"/>
    <w:rsid w:val="00784110"/>
    <w:rsid w:val="00784154"/>
    <w:rsid w:val="00784736"/>
    <w:rsid w:val="007847DA"/>
    <w:rsid w:val="00784A8C"/>
    <w:rsid w:val="00784C28"/>
    <w:rsid w:val="00784FC7"/>
    <w:rsid w:val="00785BD5"/>
    <w:rsid w:val="00786060"/>
    <w:rsid w:val="0078611B"/>
    <w:rsid w:val="0078629A"/>
    <w:rsid w:val="007865BF"/>
    <w:rsid w:val="00786986"/>
    <w:rsid w:val="007869CC"/>
    <w:rsid w:val="00786C0C"/>
    <w:rsid w:val="00786DC4"/>
    <w:rsid w:val="00787176"/>
    <w:rsid w:val="0078747D"/>
    <w:rsid w:val="0078781B"/>
    <w:rsid w:val="00787C04"/>
    <w:rsid w:val="00790A04"/>
    <w:rsid w:val="00790A4E"/>
    <w:rsid w:val="00790DAF"/>
    <w:rsid w:val="007912A2"/>
    <w:rsid w:val="007912A9"/>
    <w:rsid w:val="007912E2"/>
    <w:rsid w:val="00791A05"/>
    <w:rsid w:val="00791D6B"/>
    <w:rsid w:val="00791D74"/>
    <w:rsid w:val="00791F6D"/>
    <w:rsid w:val="007924CE"/>
    <w:rsid w:val="007934BD"/>
    <w:rsid w:val="00793C65"/>
    <w:rsid w:val="00793E7D"/>
    <w:rsid w:val="00794E2C"/>
    <w:rsid w:val="00794E72"/>
    <w:rsid w:val="007951A4"/>
    <w:rsid w:val="007951CC"/>
    <w:rsid w:val="0079526F"/>
    <w:rsid w:val="00795321"/>
    <w:rsid w:val="007957D8"/>
    <w:rsid w:val="00795B5B"/>
    <w:rsid w:val="007961B6"/>
    <w:rsid w:val="00796267"/>
    <w:rsid w:val="007966DA"/>
    <w:rsid w:val="00796755"/>
    <w:rsid w:val="0079695B"/>
    <w:rsid w:val="00796A63"/>
    <w:rsid w:val="00796B65"/>
    <w:rsid w:val="00796DAC"/>
    <w:rsid w:val="00797112"/>
    <w:rsid w:val="00797195"/>
    <w:rsid w:val="007972C9"/>
    <w:rsid w:val="00797D46"/>
    <w:rsid w:val="007A02E4"/>
    <w:rsid w:val="007A0965"/>
    <w:rsid w:val="007A0A67"/>
    <w:rsid w:val="007A10EA"/>
    <w:rsid w:val="007A1404"/>
    <w:rsid w:val="007A1DB3"/>
    <w:rsid w:val="007A24A1"/>
    <w:rsid w:val="007A257D"/>
    <w:rsid w:val="007A2AA8"/>
    <w:rsid w:val="007A2C82"/>
    <w:rsid w:val="007A2DC5"/>
    <w:rsid w:val="007A3308"/>
    <w:rsid w:val="007A33BF"/>
    <w:rsid w:val="007A34C3"/>
    <w:rsid w:val="007A3698"/>
    <w:rsid w:val="007A3AB0"/>
    <w:rsid w:val="007A3C0C"/>
    <w:rsid w:val="007A3C8C"/>
    <w:rsid w:val="007A3DFB"/>
    <w:rsid w:val="007A410C"/>
    <w:rsid w:val="007A45C6"/>
    <w:rsid w:val="007A4C29"/>
    <w:rsid w:val="007A4E3E"/>
    <w:rsid w:val="007A551B"/>
    <w:rsid w:val="007A59F7"/>
    <w:rsid w:val="007A5D1B"/>
    <w:rsid w:val="007A5D8A"/>
    <w:rsid w:val="007A607F"/>
    <w:rsid w:val="007A61D7"/>
    <w:rsid w:val="007A7A4B"/>
    <w:rsid w:val="007B05B7"/>
    <w:rsid w:val="007B096C"/>
    <w:rsid w:val="007B0E96"/>
    <w:rsid w:val="007B1136"/>
    <w:rsid w:val="007B1195"/>
    <w:rsid w:val="007B147E"/>
    <w:rsid w:val="007B1CFA"/>
    <w:rsid w:val="007B1F2E"/>
    <w:rsid w:val="007B2048"/>
    <w:rsid w:val="007B3018"/>
    <w:rsid w:val="007B328A"/>
    <w:rsid w:val="007B3521"/>
    <w:rsid w:val="007B3E87"/>
    <w:rsid w:val="007B3FC1"/>
    <w:rsid w:val="007B4305"/>
    <w:rsid w:val="007B4497"/>
    <w:rsid w:val="007B46B4"/>
    <w:rsid w:val="007B4703"/>
    <w:rsid w:val="007B4E6F"/>
    <w:rsid w:val="007B505E"/>
    <w:rsid w:val="007B50AD"/>
    <w:rsid w:val="007B5113"/>
    <w:rsid w:val="007B5195"/>
    <w:rsid w:val="007B545C"/>
    <w:rsid w:val="007B59B2"/>
    <w:rsid w:val="007B5FA2"/>
    <w:rsid w:val="007B69AD"/>
    <w:rsid w:val="007B6FCC"/>
    <w:rsid w:val="007B7FF2"/>
    <w:rsid w:val="007C008F"/>
    <w:rsid w:val="007C0169"/>
    <w:rsid w:val="007C02D2"/>
    <w:rsid w:val="007C06CE"/>
    <w:rsid w:val="007C09F2"/>
    <w:rsid w:val="007C182C"/>
    <w:rsid w:val="007C2303"/>
    <w:rsid w:val="007C257C"/>
    <w:rsid w:val="007C277F"/>
    <w:rsid w:val="007C2D2F"/>
    <w:rsid w:val="007C2E86"/>
    <w:rsid w:val="007C378F"/>
    <w:rsid w:val="007C3E15"/>
    <w:rsid w:val="007C449C"/>
    <w:rsid w:val="007C46BF"/>
    <w:rsid w:val="007C4C94"/>
    <w:rsid w:val="007C52F0"/>
    <w:rsid w:val="007C57B2"/>
    <w:rsid w:val="007C58FE"/>
    <w:rsid w:val="007C648F"/>
    <w:rsid w:val="007C64C0"/>
    <w:rsid w:val="007C655A"/>
    <w:rsid w:val="007C65AF"/>
    <w:rsid w:val="007C677F"/>
    <w:rsid w:val="007C69D4"/>
    <w:rsid w:val="007C7329"/>
    <w:rsid w:val="007C77F7"/>
    <w:rsid w:val="007D0299"/>
    <w:rsid w:val="007D084B"/>
    <w:rsid w:val="007D0965"/>
    <w:rsid w:val="007D0976"/>
    <w:rsid w:val="007D0A6E"/>
    <w:rsid w:val="007D1452"/>
    <w:rsid w:val="007D18FD"/>
    <w:rsid w:val="007D1947"/>
    <w:rsid w:val="007D2D1C"/>
    <w:rsid w:val="007D3113"/>
    <w:rsid w:val="007D3429"/>
    <w:rsid w:val="007D3987"/>
    <w:rsid w:val="007D3D80"/>
    <w:rsid w:val="007D4044"/>
    <w:rsid w:val="007D4245"/>
    <w:rsid w:val="007D450F"/>
    <w:rsid w:val="007D4795"/>
    <w:rsid w:val="007D4CE7"/>
    <w:rsid w:val="007D5417"/>
    <w:rsid w:val="007D5A68"/>
    <w:rsid w:val="007D69A5"/>
    <w:rsid w:val="007D745C"/>
    <w:rsid w:val="007D74A2"/>
    <w:rsid w:val="007D7814"/>
    <w:rsid w:val="007D7866"/>
    <w:rsid w:val="007D796E"/>
    <w:rsid w:val="007D7A02"/>
    <w:rsid w:val="007D7DDF"/>
    <w:rsid w:val="007E00A4"/>
    <w:rsid w:val="007E058D"/>
    <w:rsid w:val="007E07CC"/>
    <w:rsid w:val="007E0BB9"/>
    <w:rsid w:val="007E0C61"/>
    <w:rsid w:val="007E0E15"/>
    <w:rsid w:val="007E109D"/>
    <w:rsid w:val="007E1714"/>
    <w:rsid w:val="007E1979"/>
    <w:rsid w:val="007E1E93"/>
    <w:rsid w:val="007E23D7"/>
    <w:rsid w:val="007E2A19"/>
    <w:rsid w:val="007E328C"/>
    <w:rsid w:val="007E3465"/>
    <w:rsid w:val="007E3974"/>
    <w:rsid w:val="007E3ADA"/>
    <w:rsid w:val="007E4406"/>
    <w:rsid w:val="007E49F5"/>
    <w:rsid w:val="007E4CB7"/>
    <w:rsid w:val="007E4E65"/>
    <w:rsid w:val="007E4F72"/>
    <w:rsid w:val="007E556F"/>
    <w:rsid w:val="007E5C38"/>
    <w:rsid w:val="007E6158"/>
    <w:rsid w:val="007E625E"/>
    <w:rsid w:val="007E6332"/>
    <w:rsid w:val="007E64E8"/>
    <w:rsid w:val="007E67C4"/>
    <w:rsid w:val="007E6833"/>
    <w:rsid w:val="007E6B1F"/>
    <w:rsid w:val="007E70EE"/>
    <w:rsid w:val="007E7CB7"/>
    <w:rsid w:val="007F0376"/>
    <w:rsid w:val="007F0D12"/>
    <w:rsid w:val="007F1503"/>
    <w:rsid w:val="007F1579"/>
    <w:rsid w:val="007F1886"/>
    <w:rsid w:val="007F209A"/>
    <w:rsid w:val="007F217B"/>
    <w:rsid w:val="007F2308"/>
    <w:rsid w:val="007F2A80"/>
    <w:rsid w:val="007F2AA9"/>
    <w:rsid w:val="007F2C82"/>
    <w:rsid w:val="007F3CD2"/>
    <w:rsid w:val="007F43D6"/>
    <w:rsid w:val="007F4556"/>
    <w:rsid w:val="007F4A20"/>
    <w:rsid w:val="007F4D95"/>
    <w:rsid w:val="007F4E65"/>
    <w:rsid w:val="007F5932"/>
    <w:rsid w:val="007F5E8E"/>
    <w:rsid w:val="007F62F3"/>
    <w:rsid w:val="007F71EE"/>
    <w:rsid w:val="007F7CE4"/>
    <w:rsid w:val="00800072"/>
    <w:rsid w:val="008009B9"/>
    <w:rsid w:val="00800A5D"/>
    <w:rsid w:val="00800B2B"/>
    <w:rsid w:val="00800B4C"/>
    <w:rsid w:val="00800CBF"/>
    <w:rsid w:val="0080125C"/>
    <w:rsid w:val="0080192C"/>
    <w:rsid w:val="00801DC9"/>
    <w:rsid w:val="00801E33"/>
    <w:rsid w:val="00802E81"/>
    <w:rsid w:val="008030DA"/>
    <w:rsid w:val="0080359C"/>
    <w:rsid w:val="00803656"/>
    <w:rsid w:val="0080382A"/>
    <w:rsid w:val="00803CED"/>
    <w:rsid w:val="0080464D"/>
    <w:rsid w:val="00804A26"/>
    <w:rsid w:val="00804D46"/>
    <w:rsid w:val="00805A03"/>
    <w:rsid w:val="00805D0E"/>
    <w:rsid w:val="0080657F"/>
    <w:rsid w:val="00806831"/>
    <w:rsid w:val="00806DDB"/>
    <w:rsid w:val="00806FD7"/>
    <w:rsid w:val="0080735B"/>
    <w:rsid w:val="008073BC"/>
    <w:rsid w:val="0080775B"/>
    <w:rsid w:val="00807B1F"/>
    <w:rsid w:val="00810017"/>
    <w:rsid w:val="00811233"/>
    <w:rsid w:val="00811469"/>
    <w:rsid w:val="008115C4"/>
    <w:rsid w:val="00811DF4"/>
    <w:rsid w:val="00812505"/>
    <w:rsid w:val="008129B2"/>
    <w:rsid w:val="00812DEF"/>
    <w:rsid w:val="00813092"/>
    <w:rsid w:val="008130F9"/>
    <w:rsid w:val="0081313B"/>
    <w:rsid w:val="00813400"/>
    <w:rsid w:val="00813610"/>
    <w:rsid w:val="00813AB5"/>
    <w:rsid w:val="00813D4B"/>
    <w:rsid w:val="00813D99"/>
    <w:rsid w:val="00813E8F"/>
    <w:rsid w:val="00813F83"/>
    <w:rsid w:val="00814DA4"/>
    <w:rsid w:val="00814DBD"/>
    <w:rsid w:val="00815096"/>
    <w:rsid w:val="00815517"/>
    <w:rsid w:val="008159C7"/>
    <w:rsid w:val="008159EE"/>
    <w:rsid w:val="00815D6A"/>
    <w:rsid w:val="00815E18"/>
    <w:rsid w:val="008160B6"/>
    <w:rsid w:val="00816A59"/>
    <w:rsid w:val="00816F55"/>
    <w:rsid w:val="00816F9A"/>
    <w:rsid w:val="0081734C"/>
    <w:rsid w:val="008175DE"/>
    <w:rsid w:val="00817BAC"/>
    <w:rsid w:val="0082073F"/>
    <w:rsid w:val="00820915"/>
    <w:rsid w:val="008213BF"/>
    <w:rsid w:val="00821453"/>
    <w:rsid w:val="008216CB"/>
    <w:rsid w:val="00822CB7"/>
    <w:rsid w:val="00823D39"/>
    <w:rsid w:val="00823E7A"/>
    <w:rsid w:val="008243BC"/>
    <w:rsid w:val="008243CD"/>
    <w:rsid w:val="00824E2D"/>
    <w:rsid w:val="00824F14"/>
    <w:rsid w:val="00825483"/>
    <w:rsid w:val="00825769"/>
    <w:rsid w:val="008260FA"/>
    <w:rsid w:val="00826188"/>
    <w:rsid w:val="00826862"/>
    <w:rsid w:val="008269EE"/>
    <w:rsid w:val="00826C40"/>
    <w:rsid w:val="00827483"/>
    <w:rsid w:val="008276CE"/>
    <w:rsid w:val="00827716"/>
    <w:rsid w:val="00827EF9"/>
    <w:rsid w:val="008307A5"/>
    <w:rsid w:val="00831BF7"/>
    <w:rsid w:val="00831C21"/>
    <w:rsid w:val="00831C7C"/>
    <w:rsid w:val="00831CC3"/>
    <w:rsid w:val="0083222A"/>
    <w:rsid w:val="0083286C"/>
    <w:rsid w:val="00832D3F"/>
    <w:rsid w:val="00833015"/>
    <w:rsid w:val="00833366"/>
    <w:rsid w:val="008334DC"/>
    <w:rsid w:val="00833B50"/>
    <w:rsid w:val="008341E7"/>
    <w:rsid w:val="0083454C"/>
    <w:rsid w:val="008346EF"/>
    <w:rsid w:val="00834A87"/>
    <w:rsid w:val="00834C10"/>
    <w:rsid w:val="00834D8D"/>
    <w:rsid w:val="00834E5A"/>
    <w:rsid w:val="00835022"/>
    <w:rsid w:val="00835111"/>
    <w:rsid w:val="008353BF"/>
    <w:rsid w:val="00835A64"/>
    <w:rsid w:val="00835D17"/>
    <w:rsid w:val="00835D69"/>
    <w:rsid w:val="008361DC"/>
    <w:rsid w:val="0083641B"/>
    <w:rsid w:val="008365EA"/>
    <w:rsid w:val="008366EE"/>
    <w:rsid w:val="008367F2"/>
    <w:rsid w:val="008368B5"/>
    <w:rsid w:val="00836AEB"/>
    <w:rsid w:val="0083707A"/>
    <w:rsid w:val="00837A56"/>
    <w:rsid w:val="00837D50"/>
    <w:rsid w:val="00837EC0"/>
    <w:rsid w:val="00840199"/>
    <w:rsid w:val="0084044C"/>
    <w:rsid w:val="00840F1A"/>
    <w:rsid w:val="00841108"/>
    <w:rsid w:val="008418E0"/>
    <w:rsid w:val="00842418"/>
    <w:rsid w:val="0084252B"/>
    <w:rsid w:val="0084258D"/>
    <w:rsid w:val="0084274D"/>
    <w:rsid w:val="008427AD"/>
    <w:rsid w:val="00842F9F"/>
    <w:rsid w:val="00843358"/>
    <w:rsid w:val="0084373A"/>
    <w:rsid w:val="008437D7"/>
    <w:rsid w:val="00843C79"/>
    <w:rsid w:val="008445C8"/>
    <w:rsid w:val="00844EF7"/>
    <w:rsid w:val="00845484"/>
    <w:rsid w:val="008454FC"/>
    <w:rsid w:val="00845726"/>
    <w:rsid w:val="00845864"/>
    <w:rsid w:val="0084593D"/>
    <w:rsid w:val="00845A1D"/>
    <w:rsid w:val="00845B8D"/>
    <w:rsid w:val="00845EED"/>
    <w:rsid w:val="0084642F"/>
    <w:rsid w:val="008464BE"/>
    <w:rsid w:val="00846895"/>
    <w:rsid w:val="00846932"/>
    <w:rsid w:val="00846CAE"/>
    <w:rsid w:val="00846E69"/>
    <w:rsid w:val="0084740A"/>
    <w:rsid w:val="00847451"/>
    <w:rsid w:val="00850088"/>
    <w:rsid w:val="00850279"/>
    <w:rsid w:val="008504B5"/>
    <w:rsid w:val="008504F9"/>
    <w:rsid w:val="00850B5A"/>
    <w:rsid w:val="00850B5D"/>
    <w:rsid w:val="00850B7C"/>
    <w:rsid w:val="00850E51"/>
    <w:rsid w:val="008511AF"/>
    <w:rsid w:val="00851653"/>
    <w:rsid w:val="00851896"/>
    <w:rsid w:val="00851BB3"/>
    <w:rsid w:val="00851EA9"/>
    <w:rsid w:val="0085206E"/>
    <w:rsid w:val="008521BD"/>
    <w:rsid w:val="00852241"/>
    <w:rsid w:val="00852761"/>
    <w:rsid w:val="00852B5A"/>
    <w:rsid w:val="00852BD9"/>
    <w:rsid w:val="00852C88"/>
    <w:rsid w:val="00852FAB"/>
    <w:rsid w:val="00853058"/>
    <w:rsid w:val="008532FA"/>
    <w:rsid w:val="00853B2F"/>
    <w:rsid w:val="00853D67"/>
    <w:rsid w:val="0085496A"/>
    <w:rsid w:val="00854D1A"/>
    <w:rsid w:val="00855202"/>
    <w:rsid w:val="00855205"/>
    <w:rsid w:val="008553FD"/>
    <w:rsid w:val="0085549D"/>
    <w:rsid w:val="00855954"/>
    <w:rsid w:val="00856104"/>
    <w:rsid w:val="0085651D"/>
    <w:rsid w:val="008565E8"/>
    <w:rsid w:val="00856662"/>
    <w:rsid w:val="008568FE"/>
    <w:rsid w:val="00856C44"/>
    <w:rsid w:val="00856F4D"/>
    <w:rsid w:val="0085705B"/>
    <w:rsid w:val="008570C4"/>
    <w:rsid w:val="0085781B"/>
    <w:rsid w:val="008578F8"/>
    <w:rsid w:val="00857EA4"/>
    <w:rsid w:val="00860486"/>
    <w:rsid w:val="008605B2"/>
    <w:rsid w:val="008614D9"/>
    <w:rsid w:val="00861AA4"/>
    <w:rsid w:val="00861C85"/>
    <w:rsid w:val="00861EE4"/>
    <w:rsid w:val="00861FB6"/>
    <w:rsid w:val="00862178"/>
    <w:rsid w:val="008621AC"/>
    <w:rsid w:val="0086232F"/>
    <w:rsid w:val="00862410"/>
    <w:rsid w:val="00862970"/>
    <w:rsid w:val="00862B46"/>
    <w:rsid w:val="008632B5"/>
    <w:rsid w:val="0086341F"/>
    <w:rsid w:val="00863DEB"/>
    <w:rsid w:val="008640A6"/>
    <w:rsid w:val="00864458"/>
    <w:rsid w:val="008644F7"/>
    <w:rsid w:val="0086497D"/>
    <w:rsid w:val="00865442"/>
    <w:rsid w:val="0086566C"/>
    <w:rsid w:val="008656BD"/>
    <w:rsid w:val="00865EF3"/>
    <w:rsid w:val="00865F19"/>
    <w:rsid w:val="00866057"/>
    <w:rsid w:val="008660C1"/>
    <w:rsid w:val="00866335"/>
    <w:rsid w:val="00866858"/>
    <w:rsid w:val="008677D6"/>
    <w:rsid w:val="00867BAD"/>
    <w:rsid w:val="00867D0D"/>
    <w:rsid w:val="0087034C"/>
    <w:rsid w:val="00870568"/>
    <w:rsid w:val="0087098E"/>
    <w:rsid w:val="00871F49"/>
    <w:rsid w:val="00871FFF"/>
    <w:rsid w:val="008723C6"/>
    <w:rsid w:val="00872B4E"/>
    <w:rsid w:val="00872BE2"/>
    <w:rsid w:val="00872D80"/>
    <w:rsid w:val="00873311"/>
    <w:rsid w:val="008733D5"/>
    <w:rsid w:val="0087373E"/>
    <w:rsid w:val="00873B9C"/>
    <w:rsid w:val="00873BEF"/>
    <w:rsid w:val="00873F05"/>
    <w:rsid w:val="008755FC"/>
    <w:rsid w:val="00875710"/>
    <w:rsid w:val="00875A53"/>
    <w:rsid w:val="008765E3"/>
    <w:rsid w:val="00876D4A"/>
    <w:rsid w:val="00876DE7"/>
    <w:rsid w:val="008773DC"/>
    <w:rsid w:val="0088001C"/>
    <w:rsid w:val="008804F1"/>
    <w:rsid w:val="00881302"/>
    <w:rsid w:val="0088166A"/>
    <w:rsid w:val="008819D2"/>
    <w:rsid w:val="00881AA6"/>
    <w:rsid w:val="008823CD"/>
    <w:rsid w:val="00882403"/>
    <w:rsid w:val="0088251E"/>
    <w:rsid w:val="00882748"/>
    <w:rsid w:val="00882B66"/>
    <w:rsid w:val="00882C90"/>
    <w:rsid w:val="00882E8A"/>
    <w:rsid w:val="00882F80"/>
    <w:rsid w:val="0088346A"/>
    <w:rsid w:val="008835F8"/>
    <w:rsid w:val="00883B2D"/>
    <w:rsid w:val="00884794"/>
    <w:rsid w:val="00884CBE"/>
    <w:rsid w:val="00884F3A"/>
    <w:rsid w:val="00884F41"/>
    <w:rsid w:val="00884FC6"/>
    <w:rsid w:val="008855F4"/>
    <w:rsid w:val="00885F7C"/>
    <w:rsid w:val="00886121"/>
    <w:rsid w:val="008862FE"/>
    <w:rsid w:val="00886482"/>
    <w:rsid w:val="00886A38"/>
    <w:rsid w:val="0088718C"/>
    <w:rsid w:val="008871AB"/>
    <w:rsid w:val="00887D4B"/>
    <w:rsid w:val="0089030E"/>
    <w:rsid w:val="0089068D"/>
    <w:rsid w:val="00890851"/>
    <w:rsid w:val="00890B29"/>
    <w:rsid w:val="008912F5"/>
    <w:rsid w:val="00892307"/>
    <w:rsid w:val="00892316"/>
    <w:rsid w:val="00892635"/>
    <w:rsid w:val="008926E3"/>
    <w:rsid w:val="008928AC"/>
    <w:rsid w:val="00892AD5"/>
    <w:rsid w:val="00892DCA"/>
    <w:rsid w:val="00892E8B"/>
    <w:rsid w:val="00893024"/>
    <w:rsid w:val="0089350C"/>
    <w:rsid w:val="00893626"/>
    <w:rsid w:val="0089375B"/>
    <w:rsid w:val="00893A69"/>
    <w:rsid w:val="00893CA5"/>
    <w:rsid w:val="00894170"/>
    <w:rsid w:val="0089448D"/>
    <w:rsid w:val="008955B4"/>
    <w:rsid w:val="00895687"/>
    <w:rsid w:val="008963B5"/>
    <w:rsid w:val="008973E3"/>
    <w:rsid w:val="00897777"/>
    <w:rsid w:val="00897912"/>
    <w:rsid w:val="008979D8"/>
    <w:rsid w:val="00897CE4"/>
    <w:rsid w:val="00897DA8"/>
    <w:rsid w:val="00897FA2"/>
    <w:rsid w:val="008A037F"/>
    <w:rsid w:val="008A0419"/>
    <w:rsid w:val="008A0F55"/>
    <w:rsid w:val="008A0FDD"/>
    <w:rsid w:val="008A121A"/>
    <w:rsid w:val="008A1B5C"/>
    <w:rsid w:val="008A1F65"/>
    <w:rsid w:val="008A1FF5"/>
    <w:rsid w:val="008A2327"/>
    <w:rsid w:val="008A259F"/>
    <w:rsid w:val="008A25AF"/>
    <w:rsid w:val="008A2E91"/>
    <w:rsid w:val="008A33D0"/>
    <w:rsid w:val="008A356E"/>
    <w:rsid w:val="008A37BB"/>
    <w:rsid w:val="008A37D1"/>
    <w:rsid w:val="008A3869"/>
    <w:rsid w:val="008A4328"/>
    <w:rsid w:val="008A4855"/>
    <w:rsid w:val="008A4EC2"/>
    <w:rsid w:val="008A4F28"/>
    <w:rsid w:val="008A5A9A"/>
    <w:rsid w:val="008A5ABE"/>
    <w:rsid w:val="008A5EA6"/>
    <w:rsid w:val="008A6C50"/>
    <w:rsid w:val="008A6CA9"/>
    <w:rsid w:val="008A73EF"/>
    <w:rsid w:val="008A74C5"/>
    <w:rsid w:val="008A79CD"/>
    <w:rsid w:val="008A79D6"/>
    <w:rsid w:val="008B0250"/>
    <w:rsid w:val="008B03AA"/>
    <w:rsid w:val="008B05B3"/>
    <w:rsid w:val="008B067E"/>
    <w:rsid w:val="008B0EC0"/>
    <w:rsid w:val="008B0FC5"/>
    <w:rsid w:val="008B1331"/>
    <w:rsid w:val="008B141E"/>
    <w:rsid w:val="008B15FD"/>
    <w:rsid w:val="008B2280"/>
    <w:rsid w:val="008B298B"/>
    <w:rsid w:val="008B29B5"/>
    <w:rsid w:val="008B3063"/>
    <w:rsid w:val="008B30CF"/>
    <w:rsid w:val="008B33F9"/>
    <w:rsid w:val="008B48E6"/>
    <w:rsid w:val="008B4EFA"/>
    <w:rsid w:val="008B5285"/>
    <w:rsid w:val="008B57C4"/>
    <w:rsid w:val="008B58C0"/>
    <w:rsid w:val="008B59B4"/>
    <w:rsid w:val="008B638B"/>
    <w:rsid w:val="008B6594"/>
    <w:rsid w:val="008B65A4"/>
    <w:rsid w:val="008B67F3"/>
    <w:rsid w:val="008B69A0"/>
    <w:rsid w:val="008B6A70"/>
    <w:rsid w:val="008B6C56"/>
    <w:rsid w:val="008B6ED2"/>
    <w:rsid w:val="008B7068"/>
    <w:rsid w:val="008B7188"/>
    <w:rsid w:val="008B7BFF"/>
    <w:rsid w:val="008B7E39"/>
    <w:rsid w:val="008C05D6"/>
    <w:rsid w:val="008C088C"/>
    <w:rsid w:val="008C094E"/>
    <w:rsid w:val="008C10E2"/>
    <w:rsid w:val="008C135E"/>
    <w:rsid w:val="008C15AE"/>
    <w:rsid w:val="008C1714"/>
    <w:rsid w:val="008C19B5"/>
    <w:rsid w:val="008C1EDC"/>
    <w:rsid w:val="008C210A"/>
    <w:rsid w:val="008C224D"/>
    <w:rsid w:val="008C23A8"/>
    <w:rsid w:val="008C23C8"/>
    <w:rsid w:val="008C29B6"/>
    <w:rsid w:val="008C2ADE"/>
    <w:rsid w:val="008C31B3"/>
    <w:rsid w:val="008C3349"/>
    <w:rsid w:val="008C3428"/>
    <w:rsid w:val="008C3750"/>
    <w:rsid w:val="008C3998"/>
    <w:rsid w:val="008C3C2C"/>
    <w:rsid w:val="008C422C"/>
    <w:rsid w:val="008C4E6F"/>
    <w:rsid w:val="008C5477"/>
    <w:rsid w:val="008C59FD"/>
    <w:rsid w:val="008C5A6D"/>
    <w:rsid w:val="008C5B95"/>
    <w:rsid w:val="008C5C07"/>
    <w:rsid w:val="008C5E09"/>
    <w:rsid w:val="008C5F95"/>
    <w:rsid w:val="008C6325"/>
    <w:rsid w:val="008C672F"/>
    <w:rsid w:val="008C67A2"/>
    <w:rsid w:val="008C6ED1"/>
    <w:rsid w:val="008C6FA2"/>
    <w:rsid w:val="008C73A5"/>
    <w:rsid w:val="008C7972"/>
    <w:rsid w:val="008D00CF"/>
    <w:rsid w:val="008D01F7"/>
    <w:rsid w:val="008D0309"/>
    <w:rsid w:val="008D054D"/>
    <w:rsid w:val="008D07CF"/>
    <w:rsid w:val="008D09CB"/>
    <w:rsid w:val="008D1CD4"/>
    <w:rsid w:val="008D1CDC"/>
    <w:rsid w:val="008D1D05"/>
    <w:rsid w:val="008D20B6"/>
    <w:rsid w:val="008D21EF"/>
    <w:rsid w:val="008D2820"/>
    <w:rsid w:val="008D287E"/>
    <w:rsid w:val="008D290D"/>
    <w:rsid w:val="008D33F2"/>
    <w:rsid w:val="008D3AC5"/>
    <w:rsid w:val="008D40CB"/>
    <w:rsid w:val="008D482B"/>
    <w:rsid w:val="008D4D2D"/>
    <w:rsid w:val="008D4D71"/>
    <w:rsid w:val="008D5154"/>
    <w:rsid w:val="008D5194"/>
    <w:rsid w:val="008D5346"/>
    <w:rsid w:val="008D58D3"/>
    <w:rsid w:val="008D59A5"/>
    <w:rsid w:val="008D5EDB"/>
    <w:rsid w:val="008D62B0"/>
    <w:rsid w:val="008D64CA"/>
    <w:rsid w:val="008D6737"/>
    <w:rsid w:val="008D69C8"/>
    <w:rsid w:val="008D6AF9"/>
    <w:rsid w:val="008D72AA"/>
    <w:rsid w:val="008D756C"/>
    <w:rsid w:val="008D7E34"/>
    <w:rsid w:val="008E0C21"/>
    <w:rsid w:val="008E0F91"/>
    <w:rsid w:val="008E15FB"/>
    <w:rsid w:val="008E1953"/>
    <w:rsid w:val="008E1E63"/>
    <w:rsid w:val="008E2150"/>
    <w:rsid w:val="008E2676"/>
    <w:rsid w:val="008E2769"/>
    <w:rsid w:val="008E2793"/>
    <w:rsid w:val="008E3927"/>
    <w:rsid w:val="008E3DB0"/>
    <w:rsid w:val="008E4458"/>
    <w:rsid w:val="008E4B78"/>
    <w:rsid w:val="008E4C00"/>
    <w:rsid w:val="008E4C9D"/>
    <w:rsid w:val="008E4D64"/>
    <w:rsid w:val="008E4EA0"/>
    <w:rsid w:val="008E527E"/>
    <w:rsid w:val="008E52F5"/>
    <w:rsid w:val="008E5490"/>
    <w:rsid w:val="008E55EF"/>
    <w:rsid w:val="008E5EE0"/>
    <w:rsid w:val="008E6226"/>
    <w:rsid w:val="008E638F"/>
    <w:rsid w:val="008E660E"/>
    <w:rsid w:val="008E69FD"/>
    <w:rsid w:val="008E6FCA"/>
    <w:rsid w:val="008E729E"/>
    <w:rsid w:val="008E7724"/>
    <w:rsid w:val="008E7ABD"/>
    <w:rsid w:val="008F051A"/>
    <w:rsid w:val="008F0ACF"/>
    <w:rsid w:val="008F0CAB"/>
    <w:rsid w:val="008F0EE2"/>
    <w:rsid w:val="008F165D"/>
    <w:rsid w:val="008F197D"/>
    <w:rsid w:val="008F1A8C"/>
    <w:rsid w:val="008F27B2"/>
    <w:rsid w:val="008F2B2A"/>
    <w:rsid w:val="008F2C17"/>
    <w:rsid w:val="008F2E2C"/>
    <w:rsid w:val="008F311D"/>
    <w:rsid w:val="008F32B1"/>
    <w:rsid w:val="008F3741"/>
    <w:rsid w:val="008F37E5"/>
    <w:rsid w:val="008F3843"/>
    <w:rsid w:val="008F3CE3"/>
    <w:rsid w:val="008F408C"/>
    <w:rsid w:val="008F49EA"/>
    <w:rsid w:val="008F5087"/>
    <w:rsid w:val="008F5113"/>
    <w:rsid w:val="008F524E"/>
    <w:rsid w:val="008F525B"/>
    <w:rsid w:val="008F540D"/>
    <w:rsid w:val="008F5E1E"/>
    <w:rsid w:val="008F6382"/>
    <w:rsid w:val="008F63D7"/>
    <w:rsid w:val="008F6D4F"/>
    <w:rsid w:val="008F6EAD"/>
    <w:rsid w:val="008F6F6E"/>
    <w:rsid w:val="008F710B"/>
    <w:rsid w:val="008F7507"/>
    <w:rsid w:val="008F77EB"/>
    <w:rsid w:val="008F7F91"/>
    <w:rsid w:val="00900043"/>
    <w:rsid w:val="00900E3C"/>
    <w:rsid w:val="009012C5"/>
    <w:rsid w:val="0090157A"/>
    <w:rsid w:val="00901B2D"/>
    <w:rsid w:val="00901BF3"/>
    <w:rsid w:val="00901C3C"/>
    <w:rsid w:val="009020EE"/>
    <w:rsid w:val="00902185"/>
    <w:rsid w:val="009021E2"/>
    <w:rsid w:val="00902363"/>
    <w:rsid w:val="0090258B"/>
    <w:rsid w:val="00902672"/>
    <w:rsid w:val="009027BC"/>
    <w:rsid w:val="009027D1"/>
    <w:rsid w:val="00902892"/>
    <w:rsid w:val="00902A04"/>
    <w:rsid w:val="00902D01"/>
    <w:rsid w:val="00903328"/>
    <w:rsid w:val="00903B79"/>
    <w:rsid w:val="00903E87"/>
    <w:rsid w:val="0090441B"/>
    <w:rsid w:val="009045BD"/>
    <w:rsid w:val="009046CF"/>
    <w:rsid w:val="00904B0C"/>
    <w:rsid w:val="00904C46"/>
    <w:rsid w:val="00905116"/>
    <w:rsid w:val="00905405"/>
    <w:rsid w:val="0090554F"/>
    <w:rsid w:val="00905C61"/>
    <w:rsid w:val="00905F94"/>
    <w:rsid w:val="00906333"/>
    <w:rsid w:val="0090641C"/>
    <w:rsid w:val="009069FB"/>
    <w:rsid w:val="009073B6"/>
    <w:rsid w:val="0090745C"/>
    <w:rsid w:val="00907558"/>
    <w:rsid w:val="00907607"/>
    <w:rsid w:val="0090784F"/>
    <w:rsid w:val="00907E1C"/>
    <w:rsid w:val="00907E1F"/>
    <w:rsid w:val="00910906"/>
    <w:rsid w:val="00910DBD"/>
    <w:rsid w:val="00910E1B"/>
    <w:rsid w:val="0091145D"/>
    <w:rsid w:val="0091151A"/>
    <w:rsid w:val="00911C8A"/>
    <w:rsid w:val="00911E88"/>
    <w:rsid w:val="00912008"/>
    <w:rsid w:val="009121FA"/>
    <w:rsid w:val="00912847"/>
    <w:rsid w:val="00912E2B"/>
    <w:rsid w:val="00913246"/>
    <w:rsid w:val="0091387E"/>
    <w:rsid w:val="0091414C"/>
    <w:rsid w:val="00914639"/>
    <w:rsid w:val="00915118"/>
    <w:rsid w:val="0091527C"/>
    <w:rsid w:val="00915472"/>
    <w:rsid w:val="00916173"/>
    <w:rsid w:val="00916BD8"/>
    <w:rsid w:val="00920840"/>
    <w:rsid w:val="00920983"/>
    <w:rsid w:val="00920A01"/>
    <w:rsid w:val="00920DDD"/>
    <w:rsid w:val="00920EED"/>
    <w:rsid w:val="00921C63"/>
    <w:rsid w:val="00922335"/>
    <w:rsid w:val="00922BD3"/>
    <w:rsid w:val="00922CD3"/>
    <w:rsid w:val="00922E5C"/>
    <w:rsid w:val="0092334C"/>
    <w:rsid w:val="009236B0"/>
    <w:rsid w:val="00923D0B"/>
    <w:rsid w:val="00924052"/>
    <w:rsid w:val="0092420F"/>
    <w:rsid w:val="0092470B"/>
    <w:rsid w:val="00924D57"/>
    <w:rsid w:val="00924DD9"/>
    <w:rsid w:val="00924DE2"/>
    <w:rsid w:val="00924EC1"/>
    <w:rsid w:val="00925003"/>
    <w:rsid w:val="00925193"/>
    <w:rsid w:val="00925487"/>
    <w:rsid w:val="0092635E"/>
    <w:rsid w:val="009266D4"/>
    <w:rsid w:val="00926A08"/>
    <w:rsid w:val="00926BD7"/>
    <w:rsid w:val="00926D64"/>
    <w:rsid w:val="00927088"/>
    <w:rsid w:val="009276F9"/>
    <w:rsid w:val="009277C7"/>
    <w:rsid w:val="00930671"/>
    <w:rsid w:val="00930C97"/>
    <w:rsid w:val="00930D04"/>
    <w:rsid w:val="00931579"/>
    <w:rsid w:val="00931A6E"/>
    <w:rsid w:val="00931A76"/>
    <w:rsid w:val="00933675"/>
    <w:rsid w:val="00933C39"/>
    <w:rsid w:val="00933DE1"/>
    <w:rsid w:val="00933E5F"/>
    <w:rsid w:val="0093413C"/>
    <w:rsid w:val="0093434A"/>
    <w:rsid w:val="00934CA4"/>
    <w:rsid w:val="00935317"/>
    <w:rsid w:val="00936211"/>
    <w:rsid w:val="0093683B"/>
    <w:rsid w:val="00936C9D"/>
    <w:rsid w:val="0093703F"/>
    <w:rsid w:val="009372A7"/>
    <w:rsid w:val="0093780A"/>
    <w:rsid w:val="00937BC8"/>
    <w:rsid w:val="0094086B"/>
    <w:rsid w:val="00940A33"/>
    <w:rsid w:val="00941534"/>
    <w:rsid w:val="00941582"/>
    <w:rsid w:val="00941E44"/>
    <w:rsid w:val="00941F38"/>
    <w:rsid w:val="0094264B"/>
    <w:rsid w:val="00942AB6"/>
    <w:rsid w:val="00942F20"/>
    <w:rsid w:val="00943381"/>
    <w:rsid w:val="00943F62"/>
    <w:rsid w:val="009441CA"/>
    <w:rsid w:val="009441E9"/>
    <w:rsid w:val="00944D3D"/>
    <w:rsid w:val="00945101"/>
    <w:rsid w:val="00945A5A"/>
    <w:rsid w:val="00945DFE"/>
    <w:rsid w:val="00945FBD"/>
    <w:rsid w:val="00946886"/>
    <w:rsid w:val="009468C4"/>
    <w:rsid w:val="009470EA"/>
    <w:rsid w:val="0094712B"/>
    <w:rsid w:val="00947B2E"/>
    <w:rsid w:val="00947B5A"/>
    <w:rsid w:val="00947CB6"/>
    <w:rsid w:val="00947CD7"/>
    <w:rsid w:val="00950657"/>
    <w:rsid w:val="0095117F"/>
    <w:rsid w:val="009514FC"/>
    <w:rsid w:val="00951558"/>
    <w:rsid w:val="009515E4"/>
    <w:rsid w:val="009519DB"/>
    <w:rsid w:val="00951DA2"/>
    <w:rsid w:val="009523F2"/>
    <w:rsid w:val="00952BC6"/>
    <w:rsid w:val="00953A6C"/>
    <w:rsid w:val="00954400"/>
    <w:rsid w:val="009549B2"/>
    <w:rsid w:val="00954C91"/>
    <w:rsid w:val="00954D53"/>
    <w:rsid w:val="00955255"/>
    <w:rsid w:val="00955271"/>
    <w:rsid w:val="009559D8"/>
    <w:rsid w:val="00955CCF"/>
    <w:rsid w:val="009562F5"/>
    <w:rsid w:val="0095680B"/>
    <w:rsid w:val="009570D4"/>
    <w:rsid w:val="009570EC"/>
    <w:rsid w:val="009570F9"/>
    <w:rsid w:val="0095731C"/>
    <w:rsid w:val="00957992"/>
    <w:rsid w:val="00957CFF"/>
    <w:rsid w:val="00957E4C"/>
    <w:rsid w:val="00960A4C"/>
    <w:rsid w:val="00960AE8"/>
    <w:rsid w:val="00960BF3"/>
    <w:rsid w:val="00960D4D"/>
    <w:rsid w:val="0096127A"/>
    <w:rsid w:val="009613A9"/>
    <w:rsid w:val="009614B8"/>
    <w:rsid w:val="00961586"/>
    <w:rsid w:val="009620CA"/>
    <w:rsid w:val="0096276D"/>
    <w:rsid w:val="00962C1C"/>
    <w:rsid w:val="00962FA9"/>
    <w:rsid w:val="00963111"/>
    <w:rsid w:val="00963EDF"/>
    <w:rsid w:val="00963F6D"/>
    <w:rsid w:val="00964288"/>
    <w:rsid w:val="0096479A"/>
    <w:rsid w:val="00964DC3"/>
    <w:rsid w:val="00964F02"/>
    <w:rsid w:val="00965947"/>
    <w:rsid w:val="009659CA"/>
    <w:rsid w:val="00965B84"/>
    <w:rsid w:val="00965C99"/>
    <w:rsid w:val="00966232"/>
    <w:rsid w:val="009665EE"/>
    <w:rsid w:val="0096662F"/>
    <w:rsid w:val="009667E2"/>
    <w:rsid w:val="00966BEF"/>
    <w:rsid w:val="00966D24"/>
    <w:rsid w:val="009673D8"/>
    <w:rsid w:val="00967966"/>
    <w:rsid w:val="00967A88"/>
    <w:rsid w:val="00967B88"/>
    <w:rsid w:val="00967BD9"/>
    <w:rsid w:val="00967CDA"/>
    <w:rsid w:val="00967D26"/>
    <w:rsid w:val="00967FD2"/>
    <w:rsid w:val="0097039C"/>
    <w:rsid w:val="009704D2"/>
    <w:rsid w:val="0097055B"/>
    <w:rsid w:val="009705E7"/>
    <w:rsid w:val="00970669"/>
    <w:rsid w:val="00970AE6"/>
    <w:rsid w:val="00970F7D"/>
    <w:rsid w:val="00971202"/>
    <w:rsid w:val="00971522"/>
    <w:rsid w:val="009716AA"/>
    <w:rsid w:val="009716AD"/>
    <w:rsid w:val="00971BFF"/>
    <w:rsid w:val="00971E14"/>
    <w:rsid w:val="00971F98"/>
    <w:rsid w:val="00972945"/>
    <w:rsid w:val="00972F41"/>
    <w:rsid w:val="00973AC1"/>
    <w:rsid w:val="0097471E"/>
    <w:rsid w:val="00974AF3"/>
    <w:rsid w:val="00974E42"/>
    <w:rsid w:val="00975247"/>
    <w:rsid w:val="00975BEC"/>
    <w:rsid w:val="009765EB"/>
    <w:rsid w:val="009768DF"/>
    <w:rsid w:val="00976B1B"/>
    <w:rsid w:val="00976CF7"/>
    <w:rsid w:val="0097722E"/>
    <w:rsid w:val="009772CD"/>
    <w:rsid w:val="00977A4F"/>
    <w:rsid w:val="00977FB0"/>
    <w:rsid w:val="009800C1"/>
    <w:rsid w:val="00980497"/>
    <w:rsid w:val="0098060F"/>
    <w:rsid w:val="009807D1"/>
    <w:rsid w:val="00981BC8"/>
    <w:rsid w:val="00981DED"/>
    <w:rsid w:val="00982412"/>
    <w:rsid w:val="00982841"/>
    <w:rsid w:val="00983D17"/>
    <w:rsid w:val="00983F5F"/>
    <w:rsid w:val="00984123"/>
    <w:rsid w:val="009843CC"/>
    <w:rsid w:val="00984D94"/>
    <w:rsid w:val="00984E35"/>
    <w:rsid w:val="00985242"/>
    <w:rsid w:val="0098542E"/>
    <w:rsid w:val="009858E4"/>
    <w:rsid w:val="0098591E"/>
    <w:rsid w:val="00985A63"/>
    <w:rsid w:val="009865DD"/>
    <w:rsid w:val="0098695C"/>
    <w:rsid w:val="00986E8C"/>
    <w:rsid w:val="009870CA"/>
    <w:rsid w:val="00987543"/>
    <w:rsid w:val="00987587"/>
    <w:rsid w:val="00987871"/>
    <w:rsid w:val="00987F15"/>
    <w:rsid w:val="0099039E"/>
    <w:rsid w:val="00990CB6"/>
    <w:rsid w:val="00991047"/>
    <w:rsid w:val="009910E3"/>
    <w:rsid w:val="00991546"/>
    <w:rsid w:val="00991CEB"/>
    <w:rsid w:val="00991D24"/>
    <w:rsid w:val="009922C7"/>
    <w:rsid w:val="00992363"/>
    <w:rsid w:val="009927C5"/>
    <w:rsid w:val="00992B73"/>
    <w:rsid w:val="00992DFF"/>
    <w:rsid w:val="00993357"/>
    <w:rsid w:val="009938FB"/>
    <w:rsid w:val="00993CAB"/>
    <w:rsid w:val="00993F10"/>
    <w:rsid w:val="009940B4"/>
    <w:rsid w:val="009954AD"/>
    <w:rsid w:val="00995986"/>
    <w:rsid w:val="00995B93"/>
    <w:rsid w:val="00995BD0"/>
    <w:rsid w:val="00995C3B"/>
    <w:rsid w:val="009968CB"/>
    <w:rsid w:val="00996B1B"/>
    <w:rsid w:val="00996D85"/>
    <w:rsid w:val="009972AE"/>
    <w:rsid w:val="00997586"/>
    <w:rsid w:val="00997646"/>
    <w:rsid w:val="009A02E1"/>
    <w:rsid w:val="009A03AC"/>
    <w:rsid w:val="009A064E"/>
    <w:rsid w:val="009A092F"/>
    <w:rsid w:val="009A0AFF"/>
    <w:rsid w:val="009A0B34"/>
    <w:rsid w:val="009A0B66"/>
    <w:rsid w:val="009A0FE8"/>
    <w:rsid w:val="009A0FED"/>
    <w:rsid w:val="009A0FF6"/>
    <w:rsid w:val="009A1121"/>
    <w:rsid w:val="009A164C"/>
    <w:rsid w:val="009A1E74"/>
    <w:rsid w:val="009A1EF4"/>
    <w:rsid w:val="009A2254"/>
    <w:rsid w:val="009A26EF"/>
    <w:rsid w:val="009A2940"/>
    <w:rsid w:val="009A2A46"/>
    <w:rsid w:val="009A3130"/>
    <w:rsid w:val="009A3472"/>
    <w:rsid w:val="009A377B"/>
    <w:rsid w:val="009A3A72"/>
    <w:rsid w:val="009A3C48"/>
    <w:rsid w:val="009A41BD"/>
    <w:rsid w:val="009A47EF"/>
    <w:rsid w:val="009A4AC0"/>
    <w:rsid w:val="009A4CDF"/>
    <w:rsid w:val="009A5329"/>
    <w:rsid w:val="009A5523"/>
    <w:rsid w:val="009A56C0"/>
    <w:rsid w:val="009A6393"/>
    <w:rsid w:val="009A665E"/>
    <w:rsid w:val="009A6B5C"/>
    <w:rsid w:val="009A6D14"/>
    <w:rsid w:val="009A72DB"/>
    <w:rsid w:val="009A7415"/>
    <w:rsid w:val="009A7541"/>
    <w:rsid w:val="009A7677"/>
    <w:rsid w:val="009A78DB"/>
    <w:rsid w:val="009A7904"/>
    <w:rsid w:val="009A7B5D"/>
    <w:rsid w:val="009A7C12"/>
    <w:rsid w:val="009A7C8C"/>
    <w:rsid w:val="009B0703"/>
    <w:rsid w:val="009B07BA"/>
    <w:rsid w:val="009B090B"/>
    <w:rsid w:val="009B0A21"/>
    <w:rsid w:val="009B0B42"/>
    <w:rsid w:val="009B0F4A"/>
    <w:rsid w:val="009B12D9"/>
    <w:rsid w:val="009B152B"/>
    <w:rsid w:val="009B2442"/>
    <w:rsid w:val="009B269A"/>
    <w:rsid w:val="009B2809"/>
    <w:rsid w:val="009B3B13"/>
    <w:rsid w:val="009B3BDF"/>
    <w:rsid w:val="009B410F"/>
    <w:rsid w:val="009B41CA"/>
    <w:rsid w:val="009B4284"/>
    <w:rsid w:val="009B4985"/>
    <w:rsid w:val="009B4E6E"/>
    <w:rsid w:val="009B510C"/>
    <w:rsid w:val="009B5369"/>
    <w:rsid w:val="009B56CE"/>
    <w:rsid w:val="009B59BC"/>
    <w:rsid w:val="009B5B75"/>
    <w:rsid w:val="009B6073"/>
    <w:rsid w:val="009B6904"/>
    <w:rsid w:val="009B696D"/>
    <w:rsid w:val="009B6F49"/>
    <w:rsid w:val="009B700C"/>
    <w:rsid w:val="009B7104"/>
    <w:rsid w:val="009B7BC6"/>
    <w:rsid w:val="009B7D4F"/>
    <w:rsid w:val="009C0123"/>
    <w:rsid w:val="009C063E"/>
    <w:rsid w:val="009C0A74"/>
    <w:rsid w:val="009C0A95"/>
    <w:rsid w:val="009C0C9A"/>
    <w:rsid w:val="009C0D05"/>
    <w:rsid w:val="009C101B"/>
    <w:rsid w:val="009C1B8D"/>
    <w:rsid w:val="009C1C21"/>
    <w:rsid w:val="009C1FD4"/>
    <w:rsid w:val="009C2D21"/>
    <w:rsid w:val="009C348E"/>
    <w:rsid w:val="009C363B"/>
    <w:rsid w:val="009C3C62"/>
    <w:rsid w:val="009C46CD"/>
    <w:rsid w:val="009C4E65"/>
    <w:rsid w:val="009C52E2"/>
    <w:rsid w:val="009C560D"/>
    <w:rsid w:val="009C572E"/>
    <w:rsid w:val="009C5DA7"/>
    <w:rsid w:val="009C62A9"/>
    <w:rsid w:val="009C6607"/>
    <w:rsid w:val="009C69CF"/>
    <w:rsid w:val="009C69EA"/>
    <w:rsid w:val="009C6D9C"/>
    <w:rsid w:val="009C6F9F"/>
    <w:rsid w:val="009C7036"/>
    <w:rsid w:val="009C7166"/>
    <w:rsid w:val="009C73DC"/>
    <w:rsid w:val="009C761A"/>
    <w:rsid w:val="009C773F"/>
    <w:rsid w:val="009C77E2"/>
    <w:rsid w:val="009D0A05"/>
    <w:rsid w:val="009D12AE"/>
    <w:rsid w:val="009D13FA"/>
    <w:rsid w:val="009D1761"/>
    <w:rsid w:val="009D17C0"/>
    <w:rsid w:val="009D1BEB"/>
    <w:rsid w:val="009D1C81"/>
    <w:rsid w:val="009D2677"/>
    <w:rsid w:val="009D2825"/>
    <w:rsid w:val="009D344F"/>
    <w:rsid w:val="009D3F6F"/>
    <w:rsid w:val="009D402B"/>
    <w:rsid w:val="009D461C"/>
    <w:rsid w:val="009D4678"/>
    <w:rsid w:val="009D4959"/>
    <w:rsid w:val="009D520F"/>
    <w:rsid w:val="009D5235"/>
    <w:rsid w:val="009D5385"/>
    <w:rsid w:val="009D59B8"/>
    <w:rsid w:val="009D5AA8"/>
    <w:rsid w:val="009D5DE8"/>
    <w:rsid w:val="009D5EF1"/>
    <w:rsid w:val="009D6289"/>
    <w:rsid w:val="009D66F0"/>
    <w:rsid w:val="009D7525"/>
    <w:rsid w:val="009D77C7"/>
    <w:rsid w:val="009D7800"/>
    <w:rsid w:val="009D784F"/>
    <w:rsid w:val="009D78AA"/>
    <w:rsid w:val="009D7A50"/>
    <w:rsid w:val="009D7B6E"/>
    <w:rsid w:val="009D7E59"/>
    <w:rsid w:val="009E0A87"/>
    <w:rsid w:val="009E0B10"/>
    <w:rsid w:val="009E0C65"/>
    <w:rsid w:val="009E0C7A"/>
    <w:rsid w:val="009E0E25"/>
    <w:rsid w:val="009E11FF"/>
    <w:rsid w:val="009E1455"/>
    <w:rsid w:val="009E1493"/>
    <w:rsid w:val="009E17C5"/>
    <w:rsid w:val="009E1AFD"/>
    <w:rsid w:val="009E2548"/>
    <w:rsid w:val="009E276C"/>
    <w:rsid w:val="009E2799"/>
    <w:rsid w:val="009E2BF1"/>
    <w:rsid w:val="009E2D7E"/>
    <w:rsid w:val="009E3193"/>
    <w:rsid w:val="009E34DB"/>
    <w:rsid w:val="009E3945"/>
    <w:rsid w:val="009E39D9"/>
    <w:rsid w:val="009E4340"/>
    <w:rsid w:val="009E464D"/>
    <w:rsid w:val="009E4EB2"/>
    <w:rsid w:val="009E4FE1"/>
    <w:rsid w:val="009E5024"/>
    <w:rsid w:val="009E53F4"/>
    <w:rsid w:val="009E559A"/>
    <w:rsid w:val="009E565A"/>
    <w:rsid w:val="009E571E"/>
    <w:rsid w:val="009E578E"/>
    <w:rsid w:val="009E5A0E"/>
    <w:rsid w:val="009E5A59"/>
    <w:rsid w:val="009E5FD1"/>
    <w:rsid w:val="009E6184"/>
    <w:rsid w:val="009E6628"/>
    <w:rsid w:val="009E6B23"/>
    <w:rsid w:val="009E6C48"/>
    <w:rsid w:val="009E6C7F"/>
    <w:rsid w:val="009E6E6A"/>
    <w:rsid w:val="009E79DB"/>
    <w:rsid w:val="009E7DAA"/>
    <w:rsid w:val="009F00AF"/>
    <w:rsid w:val="009F045D"/>
    <w:rsid w:val="009F0602"/>
    <w:rsid w:val="009F0A6F"/>
    <w:rsid w:val="009F0C8B"/>
    <w:rsid w:val="009F0F2D"/>
    <w:rsid w:val="009F10E8"/>
    <w:rsid w:val="009F1188"/>
    <w:rsid w:val="009F11AF"/>
    <w:rsid w:val="009F163F"/>
    <w:rsid w:val="009F1770"/>
    <w:rsid w:val="009F208B"/>
    <w:rsid w:val="009F21D3"/>
    <w:rsid w:val="009F2643"/>
    <w:rsid w:val="009F27F3"/>
    <w:rsid w:val="009F2C3D"/>
    <w:rsid w:val="009F2C95"/>
    <w:rsid w:val="009F3549"/>
    <w:rsid w:val="009F3B2A"/>
    <w:rsid w:val="009F4174"/>
    <w:rsid w:val="009F4179"/>
    <w:rsid w:val="009F4268"/>
    <w:rsid w:val="009F4B21"/>
    <w:rsid w:val="009F4C88"/>
    <w:rsid w:val="009F4ED0"/>
    <w:rsid w:val="009F540B"/>
    <w:rsid w:val="009F57EA"/>
    <w:rsid w:val="009F67D7"/>
    <w:rsid w:val="009F69CD"/>
    <w:rsid w:val="009F6C14"/>
    <w:rsid w:val="009F6F3A"/>
    <w:rsid w:val="009F6F60"/>
    <w:rsid w:val="009F7022"/>
    <w:rsid w:val="009F7297"/>
    <w:rsid w:val="009F7352"/>
    <w:rsid w:val="00A00317"/>
    <w:rsid w:val="00A0051B"/>
    <w:rsid w:val="00A00701"/>
    <w:rsid w:val="00A00EE1"/>
    <w:rsid w:val="00A00F0D"/>
    <w:rsid w:val="00A01283"/>
    <w:rsid w:val="00A01416"/>
    <w:rsid w:val="00A017E9"/>
    <w:rsid w:val="00A01C22"/>
    <w:rsid w:val="00A01D4D"/>
    <w:rsid w:val="00A02502"/>
    <w:rsid w:val="00A0257E"/>
    <w:rsid w:val="00A0298D"/>
    <w:rsid w:val="00A031DB"/>
    <w:rsid w:val="00A0342B"/>
    <w:rsid w:val="00A03798"/>
    <w:rsid w:val="00A038FA"/>
    <w:rsid w:val="00A03968"/>
    <w:rsid w:val="00A03C42"/>
    <w:rsid w:val="00A03C5A"/>
    <w:rsid w:val="00A03D15"/>
    <w:rsid w:val="00A03EC3"/>
    <w:rsid w:val="00A040DE"/>
    <w:rsid w:val="00A047D1"/>
    <w:rsid w:val="00A04851"/>
    <w:rsid w:val="00A04F1F"/>
    <w:rsid w:val="00A0501C"/>
    <w:rsid w:val="00A05204"/>
    <w:rsid w:val="00A052B0"/>
    <w:rsid w:val="00A05928"/>
    <w:rsid w:val="00A0594F"/>
    <w:rsid w:val="00A05A70"/>
    <w:rsid w:val="00A0625B"/>
    <w:rsid w:val="00A062E3"/>
    <w:rsid w:val="00A0656F"/>
    <w:rsid w:val="00A06832"/>
    <w:rsid w:val="00A06CD0"/>
    <w:rsid w:val="00A06D6E"/>
    <w:rsid w:val="00A06DB2"/>
    <w:rsid w:val="00A0700D"/>
    <w:rsid w:val="00A0704D"/>
    <w:rsid w:val="00A075A2"/>
    <w:rsid w:val="00A07AD1"/>
    <w:rsid w:val="00A07E60"/>
    <w:rsid w:val="00A105A8"/>
    <w:rsid w:val="00A10E44"/>
    <w:rsid w:val="00A10F6F"/>
    <w:rsid w:val="00A10FD1"/>
    <w:rsid w:val="00A1102C"/>
    <w:rsid w:val="00A1105F"/>
    <w:rsid w:val="00A1129D"/>
    <w:rsid w:val="00A119E2"/>
    <w:rsid w:val="00A11AE8"/>
    <w:rsid w:val="00A1217B"/>
    <w:rsid w:val="00A12AA2"/>
    <w:rsid w:val="00A12D6A"/>
    <w:rsid w:val="00A12F67"/>
    <w:rsid w:val="00A13760"/>
    <w:rsid w:val="00A145DD"/>
    <w:rsid w:val="00A14B13"/>
    <w:rsid w:val="00A14FE3"/>
    <w:rsid w:val="00A1501C"/>
    <w:rsid w:val="00A161C7"/>
    <w:rsid w:val="00A16398"/>
    <w:rsid w:val="00A1640F"/>
    <w:rsid w:val="00A16680"/>
    <w:rsid w:val="00A1768D"/>
    <w:rsid w:val="00A176F8"/>
    <w:rsid w:val="00A17968"/>
    <w:rsid w:val="00A17F63"/>
    <w:rsid w:val="00A20EA2"/>
    <w:rsid w:val="00A21206"/>
    <w:rsid w:val="00A21310"/>
    <w:rsid w:val="00A21680"/>
    <w:rsid w:val="00A21B7F"/>
    <w:rsid w:val="00A22017"/>
    <w:rsid w:val="00A2215E"/>
    <w:rsid w:val="00A22406"/>
    <w:rsid w:val="00A226D4"/>
    <w:rsid w:val="00A22FFC"/>
    <w:rsid w:val="00A23434"/>
    <w:rsid w:val="00A236B7"/>
    <w:rsid w:val="00A2499F"/>
    <w:rsid w:val="00A24A3C"/>
    <w:rsid w:val="00A24DB8"/>
    <w:rsid w:val="00A25112"/>
    <w:rsid w:val="00A2597F"/>
    <w:rsid w:val="00A25A17"/>
    <w:rsid w:val="00A25D40"/>
    <w:rsid w:val="00A25E1A"/>
    <w:rsid w:val="00A25E55"/>
    <w:rsid w:val="00A25FD3"/>
    <w:rsid w:val="00A26303"/>
    <w:rsid w:val="00A26CAF"/>
    <w:rsid w:val="00A27550"/>
    <w:rsid w:val="00A27933"/>
    <w:rsid w:val="00A279AA"/>
    <w:rsid w:val="00A300CB"/>
    <w:rsid w:val="00A30B48"/>
    <w:rsid w:val="00A30C34"/>
    <w:rsid w:val="00A3109A"/>
    <w:rsid w:val="00A31292"/>
    <w:rsid w:val="00A312A8"/>
    <w:rsid w:val="00A313B0"/>
    <w:rsid w:val="00A316DA"/>
    <w:rsid w:val="00A31827"/>
    <w:rsid w:val="00A319A9"/>
    <w:rsid w:val="00A32361"/>
    <w:rsid w:val="00A32866"/>
    <w:rsid w:val="00A328D2"/>
    <w:rsid w:val="00A32B36"/>
    <w:rsid w:val="00A32D60"/>
    <w:rsid w:val="00A32E7B"/>
    <w:rsid w:val="00A330AB"/>
    <w:rsid w:val="00A345D4"/>
    <w:rsid w:val="00A3476A"/>
    <w:rsid w:val="00A3492B"/>
    <w:rsid w:val="00A35093"/>
    <w:rsid w:val="00A3551A"/>
    <w:rsid w:val="00A35B58"/>
    <w:rsid w:val="00A35D73"/>
    <w:rsid w:val="00A360D6"/>
    <w:rsid w:val="00A36609"/>
    <w:rsid w:val="00A36BFB"/>
    <w:rsid w:val="00A36CD1"/>
    <w:rsid w:val="00A37784"/>
    <w:rsid w:val="00A3791E"/>
    <w:rsid w:val="00A37C20"/>
    <w:rsid w:val="00A37E88"/>
    <w:rsid w:val="00A40683"/>
    <w:rsid w:val="00A407D8"/>
    <w:rsid w:val="00A41175"/>
    <w:rsid w:val="00A413E9"/>
    <w:rsid w:val="00A417E8"/>
    <w:rsid w:val="00A4190F"/>
    <w:rsid w:val="00A41A18"/>
    <w:rsid w:val="00A41AA5"/>
    <w:rsid w:val="00A41FC4"/>
    <w:rsid w:val="00A42438"/>
    <w:rsid w:val="00A424BD"/>
    <w:rsid w:val="00A42529"/>
    <w:rsid w:val="00A425D5"/>
    <w:rsid w:val="00A42DE4"/>
    <w:rsid w:val="00A42F0D"/>
    <w:rsid w:val="00A43EDB"/>
    <w:rsid w:val="00A43F3E"/>
    <w:rsid w:val="00A442EF"/>
    <w:rsid w:val="00A4448B"/>
    <w:rsid w:val="00A44F45"/>
    <w:rsid w:val="00A452A2"/>
    <w:rsid w:val="00A4539E"/>
    <w:rsid w:val="00A45A93"/>
    <w:rsid w:val="00A45C4C"/>
    <w:rsid w:val="00A460A6"/>
    <w:rsid w:val="00A4630E"/>
    <w:rsid w:val="00A46491"/>
    <w:rsid w:val="00A469F8"/>
    <w:rsid w:val="00A46A60"/>
    <w:rsid w:val="00A46D7C"/>
    <w:rsid w:val="00A46EF3"/>
    <w:rsid w:val="00A47163"/>
    <w:rsid w:val="00A4716A"/>
    <w:rsid w:val="00A47326"/>
    <w:rsid w:val="00A47D23"/>
    <w:rsid w:val="00A47DA0"/>
    <w:rsid w:val="00A501D9"/>
    <w:rsid w:val="00A502C7"/>
    <w:rsid w:val="00A50773"/>
    <w:rsid w:val="00A50C5B"/>
    <w:rsid w:val="00A50D93"/>
    <w:rsid w:val="00A50E7F"/>
    <w:rsid w:val="00A5112B"/>
    <w:rsid w:val="00A518D5"/>
    <w:rsid w:val="00A51ED3"/>
    <w:rsid w:val="00A521BE"/>
    <w:rsid w:val="00A5221A"/>
    <w:rsid w:val="00A52AD1"/>
    <w:rsid w:val="00A52C6A"/>
    <w:rsid w:val="00A53259"/>
    <w:rsid w:val="00A534CB"/>
    <w:rsid w:val="00A53965"/>
    <w:rsid w:val="00A53D85"/>
    <w:rsid w:val="00A541C9"/>
    <w:rsid w:val="00A5436E"/>
    <w:rsid w:val="00A54685"/>
    <w:rsid w:val="00A548A7"/>
    <w:rsid w:val="00A549A3"/>
    <w:rsid w:val="00A54B5F"/>
    <w:rsid w:val="00A54F29"/>
    <w:rsid w:val="00A55275"/>
    <w:rsid w:val="00A5536F"/>
    <w:rsid w:val="00A55D6A"/>
    <w:rsid w:val="00A55EB1"/>
    <w:rsid w:val="00A563AE"/>
    <w:rsid w:val="00A56A32"/>
    <w:rsid w:val="00A57431"/>
    <w:rsid w:val="00A574D8"/>
    <w:rsid w:val="00A57A4A"/>
    <w:rsid w:val="00A57B01"/>
    <w:rsid w:val="00A57DA1"/>
    <w:rsid w:val="00A603AF"/>
    <w:rsid w:val="00A60785"/>
    <w:rsid w:val="00A60B0B"/>
    <w:rsid w:val="00A61317"/>
    <w:rsid w:val="00A61EE9"/>
    <w:rsid w:val="00A6212B"/>
    <w:rsid w:val="00A624D3"/>
    <w:rsid w:val="00A626F2"/>
    <w:rsid w:val="00A62AC5"/>
    <w:rsid w:val="00A62BBE"/>
    <w:rsid w:val="00A63045"/>
    <w:rsid w:val="00A6384B"/>
    <w:rsid w:val="00A63A9E"/>
    <w:rsid w:val="00A63C95"/>
    <w:rsid w:val="00A63E72"/>
    <w:rsid w:val="00A64A88"/>
    <w:rsid w:val="00A653A0"/>
    <w:rsid w:val="00A655EE"/>
    <w:rsid w:val="00A6580D"/>
    <w:rsid w:val="00A659B8"/>
    <w:rsid w:val="00A65F23"/>
    <w:rsid w:val="00A65FC0"/>
    <w:rsid w:val="00A661A4"/>
    <w:rsid w:val="00A6653E"/>
    <w:rsid w:val="00A66663"/>
    <w:rsid w:val="00A66A57"/>
    <w:rsid w:val="00A671A1"/>
    <w:rsid w:val="00A6758D"/>
    <w:rsid w:val="00A706F4"/>
    <w:rsid w:val="00A71B8A"/>
    <w:rsid w:val="00A71BB5"/>
    <w:rsid w:val="00A72109"/>
    <w:rsid w:val="00A72202"/>
    <w:rsid w:val="00A732B0"/>
    <w:rsid w:val="00A737A1"/>
    <w:rsid w:val="00A73DB8"/>
    <w:rsid w:val="00A73FA8"/>
    <w:rsid w:val="00A7415C"/>
    <w:rsid w:val="00A74196"/>
    <w:rsid w:val="00A74340"/>
    <w:rsid w:val="00A7435B"/>
    <w:rsid w:val="00A74A7E"/>
    <w:rsid w:val="00A75BDD"/>
    <w:rsid w:val="00A7645E"/>
    <w:rsid w:val="00A77020"/>
    <w:rsid w:val="00A7720F"/>
    <w:rsid w:val="00A776C6"/>
    <w:rsid w:val="00A77722"/>
    <w:rsid w:val="00A778EA"/>
    <w:rsid w:val="00A77B93"/>
    <w:rsid w:val="00A80B3E"/>
    <w:rsid w:val="00A80D53"/>
    <w:rsid w:val="00A80DBE"/>
    <w:rsid w:val="00A80EBE"/>
    <w:rsid w:val="00A8109F"/>
    <w:rsid w:val="00A8141A"/>
    <w:rsid w:val="00A81A0D"/>
    <w:rsid w:val="00A81BC6"/>
    <w:rsid w:val="00A81D4F"/>
    <w:rsid w:val="00A823E8"/>
    <w:rsid w:val="00A827B4"/>
    <w:rsid w:val="00A828DE"/>
    <w:rsid w:val="00A82CB8"/>
    <w:rsid w:val="00A82EC6"/>
    <w:rsid w:val="00A83697"/>
    <w:rsid w:val="00A83E8B"/>
    <w:rsid w:val="00A844DE"/>
    <w:rsid w:val="00A847EE"/>
    <w:rsid w:val="00A84819"/>
    <w:rsid w:val="00A852AD"/>
    <w:rsid w:val="00A8538D"/>
    <w:rsid w:val="00A8645C"/>
    <w:rsid w:val="00A86489"/>
    <w:rsid w:val="00A86596"/>
    <w:rsid w:val="00A87021"/>
    <w:rsid w:val="00A87323"/>
    <w:rsid w:val="00A87D0E"/>
    <w:rsid w:val="00A87DE2"/>
    <w:rsid w:val="00A90292"/>
    <w:rsid w:val="00A90353"/>
    <w:rsid w:val="00A904D7"/>
    <w:rsid w:val="00A9107F"/>
    <w:rsid w:val="00A91492"/>
    <w:rsid w:val="00A91997"/>
    <w:rsid w:val="00A92449"/>
    <w:rsid w:val="00A9270A"/>
    <w:rsid w:val="00A9344D"/>
    <w:rsid w:val="00A935C1"/>
    <w:rsid w:val="00A93608"/>
    <w:rsid w:val="00A93955"/>
    <w:rsid w:val="00A93DFF"/>
    <w:rsid w:val="00A943E3"/>
    <w:rsid w:val="00A948D9"/>
    <w:rsid w:val="00A949D4"/>
    <w:rsid w:val="00A94C99"/>
    <w:rsid w:val="00A94F1A"/>
    <w:rsid w:val="00A95069"/>
    <w:rsid w:val="00A950F3"/>
    <w:rsid w:val="00A95A39"/>
    <w:rsid w:val="00A95CA3"/>
    <w:rsid w:val="00A9623E"/>
    <w:rsid w:val="00A967E1"/>
    <w:rsid w:val="00A96ACC"/>
    <w:rsid w:val="00A96D10"/>
    <w:rsid w:val="00A96DAE"/>
    <w:rsid w:val="00A96FB3"/>
    <w:rsid w:val="00A9777F"/>
    <w:rsid w:val="00A97D9B"/>
    <w:rsid w:val="00A97F72"/>
    <w:rsid w:val="00A97FEE"/>
    <w:rsid w:val="00AA01D3"/>
    <w:rsid w:val="00AA0B7C"/>
    <w:rsid w:val="00AA13F2"/>
    <w:rsid w:val="00AA145B"/>
    <w:rsid w:val="00AA17F2"/>
    <w:rsid w:val="00AA1DD6"/>
    <w:rsid w:val="00AA1E14"/>
    <w:rsid w:val="00AA1FE4"/>
    <w:rsid w:val="00AA214C"/>
    <w:rsid w:val="00AA21AB"/>
    <w:rsid w:val="00AA2307"/>
    <w:rsid w:val="00AA27CC"/>
    <w:rsid w:val="00AA32ED"/>
    <w:rsid w:val="00AA38D9"/>
    <w:rsid w:val="00AA3B49"/>
    <w:rsid w:val="00AA3F63"/>
    <w:rsid w:val="00AA4118"/>
    <w:rsid w:val="00AA4DDD"/>
    <w:rsid w:val="00AA5014"/>
    <w:rsid w:val="00AA51B2"/>
    <w:rsid w:val="00AA5602"/>
    <w:rsid w:val="00AA5987"/>
    <w:rsid w:val="00AA5EAC"/>
    <w:rsid w:val="00AA6026"/>
    <w:rsid w:val="00AA73A9"/>
    <w:rsid w:val="00AA75F5"/>
    <w:rsid w:val="00AA7AF0"/>
    <w:rsid w:val="00AA7B92"/>
    <w:rsid w:val="00AA7F10"/>
    <w:rsid w:val="00AB035C"/>
    <w:rsid w:val="00AB0AE7"/>
    <w:rsid w:val="00AB0DDD"/>
    <w:rsid w:val="00AB119C"/>
    <w:rsid w:val="00AB17FA"/>
    <w:rsid w:val="00AB1E78"/>
    <w:rsid w:val="00AB1E7E"/>
    <w:rsid w:val="00AB1FA8"/>
    <w:rsid w:val="00AB2561"/>
    <w:rsid w:val="00AB2586"/>
    <w:rsid w:val="00AB2A5A"/>
    <w:rsid w:val="00AB30B8"/>
    <w:rsid w:val="00AB31F4"/>
    <w:rsid w:val="00AB33A5"/>
    <w:rsid w:val="00AB36FD"/>
    <w:rsid w:val="00AB3DAE"/>
    <w:rsid w:val="00AB48AC"/>
    <w:rsid w:val="00AB48D2"/>
    <w:rsid w:val="00AB493F"/>
    <w:rsid w:val="00AB4C95"/>
    <w:rsid w:val="00AB4E79"/>
    <w:rsid w:val="00AB4EAE"/>
    <w:rsid w:val="00AB4FF7"/>
    <w:rsid w:val="00AB5186"/>
    <w:rsid w:val="00AB5302"/>
    <w:rsid w:val="00AB59B7"/>
    <w:rsid w:val="00AB5C4C"/>
    <w:rsid w:val="00AB603A"/>
    <w:rsid w:val="00AB641E"/>
    <w:rsid w:val="00AB662F"/>
    <w:rsid w:val="00AB699A"/>
    <w:rsid w:val="00AB6AF9"/>
    <w:rsid w:val="00AB70A9"/>
    <w:rsid w:val="00AB7242"/>
    <w:rsid w:val="00AB74AD"/>
    <w:rsid w:val="00AB79FB"/>
    <w:rsid w:val="00AB7B9B"/>
    <w:rsid w:val="00AB7CBF"/>
    <w:rsid w:val="00AC2328"/>
    <w:rsid w:val="00AC23B2"/>
    <w:rsid w:val="00AC2F53"/>
    <w:rsid w:val="00AC3A6E"/>
    <w:rsid w:val="00AC3B27"/>
    <w:rsid w:val="00AC3CB7"/>
    <w:rsid w:val="00AC3FF0"/>
    <w:rsid w:val="00AC4730"/>
    <w:rsid w:val="00AC47AB"/>
    <w:rsid w:val="00AC4C75"/>
    <w:rsid w:val="00AC5729"/>
    <w:rsid w:val="00AC5AE0"/>
    <w:rsid w:val="00AC5DE3"/>
    <w:rsid w:val="00AC62BD"/>
    <w:rsid w:val="00AC7060"/>
    <w:rsid w:val="00AC7ECC"/>
    <w:rsid w:val="00AD0131"/>
    <w:rsid w:val="00AD01CF"/>
    <w:rsid w:val="00AD02C3"/>
    <w:rsid w:val="00AD0DA5"/>
    <w:rsid w:val="00AD1E72"/>
    <w:rsid w:val="00AD1FB1"/>
    <w:rsid w:val="00AD26B7"/>
    <w:rsid w:val="00AD2830"/>
    <w:rsid w:val="00AD326C"/>
    <w:rsid w:val="00AD348E"/>
    <w:rsid w:val="00AD3823"/>
    <w:rsid w:val="00AD3AC2"/>
    <w:rsid w:val="00AD3C7A"/>
    <w:rsid w:val="00AD401D"/>
    <w:rsid w:val="00AD4173"/>
    <w:rsid w:val="00AD427B"/>
    <w:rsid w:val="00AD4300"/>
    <w:rsid w:val="00AD43DB"/>
    <w:rsid w:val="00AD4486"/>
    <w:rsid w:val="00AD45B3"/>
    <w:rsid w:val="00AD47AB"/>
    <w:rsid w:val="00AD4874"/>
    <w:rsid w:val="00AD4F18"/>
    <w:rsid w:val="00AD51CF"/>
    <w:rsid w:val="00AD5A84"/>
    <w:rsid w:val="00AD5B81"/>
    <w:rsid w:val="00AD5F2C"/>
    <w:rsid w:val="00AD6087"/>
    <w:rsid w:val="00AD61BB"/>
    <w:rsid w:val="00AD6417"/>
    <w:rsid w:val="00AD6621"/>
    <w:rsid w:val="00AD6C48"/>
    <w:rsid w:val="00AD709D"/>
    <w:rsid w:val="00AD73D9"/>
    <w:rsid w:val="00AD77D6"/>
    <w:rsid w:val="00AD7B3D"/>
    <w:rsid w:val="00AE03B9"/>
    <w:rsid w:val="00AE08C7"/>
    <w:rsid w:val="00AE08C8"/>
    <w:rsid w:val="00AE0AE0"/>
    <w:rsid w:val="00AE0B30"/>
    <w:rsid w:val="00AE1229"/>
    <w:rsid w:val="00AE14C1"/>
    <w:rsid w:val="00AE1E67"/>
    <w:rsid w:val="00AE1FFE"/>
    <w:rsid w:val="00AE2021"/>
    <w:rsid w:val="00AE219F"/>
    <w:rsid w:val="00AE266E"/>
    <w:rsid w:val="00AE268A"/>
    <w:rsid w:val="00AE278D"/>
    <w:rsid w:val="00AE294B"/>
    <w:rsid w:val="00AE2B71"/>
    <w:rsid w:val="00AE2DDB"/>
    <w:rsid w:val="00AE2ED5"/>
    <w:rsid w:val="00AE332E"/>
    <w:rsid w:val="00AE33BA"/>
    <w:rsid w:val="00AE346F"/>
    <w:rsid w:val="00AE3887"/>
    <w:rsid w:val="00AE38CD"/>
    <w:rsid w:val="00AE4472"/>
    <w:rsid w:val="00AE450C"/>
    <w:rsid w:val="00AE4633"/>
    <w:rsid w:val="00AE4CEC"/>
    <w:rsid w:val="00AE4D6A"/>
    <w:rsid w:val="00AE5630"/>
    <w:rsid w:val="00AE58A1"/>
    <w:rsid w:val="00AE5FD1"/>
    <w:rsid w:val="00AE64DF"/>
    <w:rsid w:val="00AE7BF9"/>
    <w:rsid w:val="00AE7D71"/>
    <w:rsid w:val="00AE7DC2"/>
    <w:rsid w:val="00AF0450"/>
    <w:rsid w:val="00AF112C"/>
    <w:rsid w:val="00AF1188"/>
    <w:rsid w:val="00AF11FA"/>
    <w:rsid w:val="00AF13C9"/>
    <w:rsid w:val="00AF22D3"/>
    <w:rsid w:val="00AF29AA"/>
    <w:rsid w:val="00AF2C8E"/>
    <w:rsid w:val="00AF2F5D"/>
    <w:rsid w:val="00AF350A"/>
    <w:rsid w:val="00AF38A1"/>
    <w:rsid w:val="00AF444D"/>
    <w:rsid w:val="00AF4568"/>
    <w:rsid w:val="00AF45EB"/>
    <w:rsid w:val="00AF46C9"/>
    <w:rsid w:val="00AF4917"/>
    <w:rsid w:val="00AF4A85"/>
    <w:rsid w:val="00AF4AEE"/>
    <w:rsid w:val="00AF4B8D"/>
    <w:rsid w:val="00AF5441"/>
    <w:rsid w:val="00AF5737"/>
    <w:rsid w:val="00AF5786"/>
    <w:rsid w:val="00AF60C3"/>
    <w:rsid w:val="00AF63AE"/>
    <w:rsid w:val="00AF6AD6"/>
    <w:rsid w:val="00AF7182"/>
    <w:rsid w:val="00B00638"/>
    <w:rsid w:val="00B007B1"/>
    <w:rsid w:val="00B01686"/>
    <w:rsid w:val="00B01CE6"/>
    <w:rsid w:val="00B01D28"/>
    <w:rsid w:val="00B01F68"/>
    <w:rsid w:val="00B0239E"/>
    <w:rsid w:val="00B02502"/>
    <w:rsid w:val="00B02F92"/>
    <w:rsid w:val="00B03194"/>
    <w:rsid w:val="00B031FE"/>
    <w:rsid w:val="00B038A4"/>
    <w:rsid w:val="00B03ADB"/>
    <w:rsid w:val="00B03E6B"/>
    <w:rsid w:val="00B04424"/>
    <w:rsid w:val="00B04433"/>
    <w:rsid w:val="00B0510B"/>
    <w:rsid w:val="00B054C2"/>
    <w:rsid w:val="00B05646"/>
    <w:rsid w:val="00B056B6"/>
    <w:rsid w:val="00B059F3"/>
    <w:rsid w:val="00B05A2F"/>
    <w:rsid w:val="00B0603D"/>
    <w:rsid w:val="00B06218"/>
    <w:rsid w:val="00B06CF8"/>
    <w:rsid w:val="00B0707B"/>
    <w:rsid w:val="00B07128"/>
    <w:rsid w:val="00B07619"/>
    <w:rsid w:val="00B1034C"/>
    <w:rsid w:val="00B10E34"/>
    <w:rsid w:val="00B10F06"/>
    <w:rsid w:val="00B10F0E"/>
    <w:rsid w:val="00B10F51"/>
    <w:rsid w:val="00B10FCB"/>
    <w:rsid w:val="00B110A9"/>
    <w:rsid w:val="00B11534"/>
    <w:rsid w:val="00B11A5D"/>
    <w:rsid w:val="00B11AEF"/>
    <w:rsid w:val="00B11F72"/>
    <w:rsid w:val="00B121C0"/>
    <w:rsid w:val="00B12632"/>
    <w:rsid w:val="00B12A5B"/>
    <w:rsid w:val="00B12F93"/>
    <w:rsid w:val="00B1308C"/>
    <w:rsid w:val="00B13511"/>
    <w:rsid w:val="00B13AD8"/>
    <w:rsid w:val="00B13C00"/>
    <w:rsid w:val="00B1420E"/>
    <w:rsid w:val="00B142B8"/>
    <w:rsid w:val="00B16015"/>
    <w:rsid w:val="00B16152"/>
    <w:rsid w:val="00B1689C"/>
    <w:rsid w:val="00B1706C"/>
    <w:rsid w:val="00B1712B"/>
    <w:rsid w:val="00B17689"/>
    <w:rsid w:val="00B17715"/>
    <w:rsid w:val="00B17875"/>
    <w:rsid w:val="00B179F1"/>
    <w:rsid w:val="00B17BA6"/>
    <w:rsid w:val="00B17BCC"/>
    <w:rsid w:val="00B17F26"/>
    <w:rsid w:val="00B201EF"/>
    <w:rsid w:val="00B202E1"/>
    <w:rsid w:val="00B203BB"/>
    <w:rsid w:val="00B20AB8"/>
    <w:rsid w:val="00B20B95"/>
    <w:rsid w:val="00B20C8F"/>
    <w:rsid w:val="00B20D26"/>
    <w:rsid w:val="00B20DFC"/>
    <w:rsid w:val="00B21006"/>
    <w:rsid w:val="00B211FD"/>
    <w:rsid w:val="00B212B4"/>
    <w:rsid w:val="00B21306"/>
    <w:rsid w:val="00B21484"/>
    <w:rsid w:val="00B21603"/>
    <w:rsid w:val="00B21617"/>
    <w:rsid w:val="00B21A24"/>
    <w:rsid w:val="00B21B87"/>
    <w:rsid w:val="00B21E9E"/>
    <w:rsid w:val="00B22264"/>
    <w:rsid w:val="00B22786"/>
    <w:rsid w:val="00B227A9"/>
    <w:rsid w:val="00B22E9F"/>
    <w:rsid w:val="00B237AB"/>
    <w:rsid w:val="00B2381E"/>
    <w:rsid w:val="00B23F5A"/>
    <w:rsid w:val="00B24057"/>
    <w:rsid w:val="00B243C7"/>
    <w:rsid w:val="00B2453B"/>
    <w:rsid w:val="00B24926"/>
    <w:rsid w:val="00B24AEE"/>
    <w:rsid w:val="00B24AFC"/>
    <w:rsid w:val="00B251F0"/>
    <w:rsid w:val="00B25939"/>
    <w:rsid w:val="00B25BB0"/>
    <w:rsid w:val="00B26227"/>
    <w:rsid w:val="00B26330"/>
    <w:rsid w:val="00B264B7"/>
    <w:rsid w:val="00B26A9C"/>
    <w:rsid w:val="00B26D31"/>
    <w:rsid w:val="00B26E21"/>
    <w:rsid w:val="00B2740E"/>
    <w:rsid w:val="00B27463"/>
    <w:rsid w:val="00B27FD5"/>
    <w:rsid w:val="00B3031A"/>
    <w:rsid w:val="00B30608"/>
    <w:rsid w:val="00B3060F"/>
    <w:rsid w:val="00B30978"/>
    <w:rsid w:val="00B309D8"/>
    <w:rsid w:val="00B30A5D"/>
    <w:rsid w:val="00B30D44"/>
    <w:rsid w:val="00B30EC4"/>
    <w:rsid w:val="00B312DF"/>
    <w:rsid w:val="00B31916"/>
    <w:rsid w:val="00B31C82"/>
    <w:rsid w:val="00B31DB8"/>
    <w:rsid w:val="00B31F87"/>
    <w:rsid w:val="00B321A6"/>
    <w:rsid w:val="00B32585"/>
    <w:rsid w:val="00B3297C"/>
    <w:rsid w:val="00B32AA8"/>
    <w:rsid w:val="00B3318C"/>
    <w:rsid w:val="00B33403"/>
    <w:rsid w:val="00B336CA"/>
    <w:rsid w:val="00B3460D"/>
    <w:rsid w:val="00B34A4E"/>
    <w:rsid w:val="00B34B66"/>
    <w:rsid w:val="00B34B73"/>
    <w:rsid w:val="00B34ECA"/>
    <w:rsid w:val="00B34EEB"/>
    <w:rsid w:val="00B34F1F"/>
    <w:rsid w:val="00B35509"/>
    <w:rsid w:val="00B35BC7"/>
    <w:rsid w:val="00B35BF9"/>
    <w:rsid w:val="00B35CA4"/>
    <w:rsid w:val="00B36535"/>
    <w:rsid w:val="00B36686"/>
    <w:rsid w:val="00B37407"/>
    <w:rsid w:val="00B37711"/>
    <w:rsid w:val="00B4038F"/>
    <w:rsid w:val="00B40949"/>
    <w:rsid w:val="00B40F4E"/>
    <w:rsid w:val="00B41714"/>
    <w:rsid w:val="00B417B4"/>
    <w:rsid w:val="00B418E8"/>
    <w:rsid w:val="00B41A8E"/>
    <w:rsid w:val="00B41AF4"/>
    <w:rsid w:val="00B4280E"/>
    <w:rsid w:val="00B4319F"/>
    <w:rsid w:val="00B437AA"/>
    <w:rsid w:val="00B43DA2"/>
    <w:rsid w:val="00B43EFE"/>
    <w:rsid w:val="00B4423A"/>
    <w:rsid w:val="00B447F8"/>
    <w:rsid w:val="00B44822"/>
    <w:rsid w:val="00B44ED8"/>
    <w:rsid w:val="00B44F0F"/>
    <w:rsid w:val="00B4542B"/>
    <w:rsid w:val="00B454CD"/>
    <w:rsid w:val="00B45A4C"/>
    <w:rsid w:val="00B45ADF"/>
    <w:rsid w:val="00B45BB3"/>
    <w:rsid w:val="00B45D8B"/>
    <w:rsid w:val="00B4650B"/>
    <w:rsid w:val="00B47004"/>
    <w:rsid w:val="00B47425"/>
    <w:rsid w:val="00B47500"/>
    <w:rsid w:val="00B50194"/>
    <w:rsid w:val="00B502E5"/>
    <w:rsid w:val="00B50495"/>
    <w:rsid w:val="00B5060E"/>
    <w:rsid w:val="00B50711"/>
    <w:rsid w:val="00B5075A"/>
    <w:rsid w:val="00B507DA"/>
    <w:rsid w:val="00B508A0"/>
    <w:rsid w:val="00B50989"/>
    <w:rsid w:val="00B50B8C"/>
    <w:rsid w:val="00B515AA"/>
    <w:rsid w:val="00B51A6B"/>
    <w:rsid w:val="00B51F85"/>
    <w:rsid w:val="00B528FC"/>
    <w:rsid w:val="00B52933"/>
    <w:rsid w:val="00B52D1B"/>
    <w:rsid w:val="00B53363"/>
    <w:rsid w:val="00B53698"/>
    <w:rsid w:val="00B53902"/>
    <w:rsid w:val="00B539C8"/>
    <w:rsid w:val="00B53A2C"/>
    <w:rsid w:val="00B53AA9"/>
    <w:rsid w:val="00B53B0D"/>
    <w:rsid w:val="00B53CEC"/>
    <w:rsid w:val="00B53F30"/>
    <w:rsid w:val="00B5450E"/>
    <w:rsid w:val="00B54B03"/>
    <w:rsid w:val="00B54B1D"/>
    <w:rsid w:val="00B54C88"/>
    <w:rsid w:val="00B54DCF"/>
    <w:rsid w:val="00B55E1A"/>
    <w:rsid w:val="00B55F5C"/>
    <w:rsid w:val="00B562E1"/>
    <w:rsid w:val="00B56935"/>
    <w:rsid w:val="00B56CC2"/>
    <w:rsid w:val="00B57206"/>
    <w:rsid w:val="00B57350"/>
    <w:rsid w:val="00B57B4C"/>
    <w:rsid w:val="00B57D72"/>
    <w:rsid w:val="00B60030"/>
    <w:rsid w:val="00B606F1"/>
    <w:rsid w:val="00B60731"/>
    <w:rsid w:val="00B60943"/>
    <w:rsid w:val="00B60952"/>
    <w:rsid w:val="00B60AC9"/>
    <w:rsid w:val="00B614AA"/>
    <w:rsid w:val="00B6192F"/>
    <w:rsid w:val="00B62218"/>
    <w:rsid w:val="00B622D0"/>
    <w:rsid w:val="00B62713"/>
    <w:rsid w:val="00B6273A"/>
    <w:rsid w:val="00B62E0B"/>
    <w:rsid w:val="00B632EE"/>
    <w:rsid w:val="00B63613"/>
    <w:rsid w:val="00B63C6D"/>
    <w:rsid w:val="00B6442C"/>
    <w:rsid w:val="00B64444"/>
    <w:rsid w:val="00B645BC"/>
    <w:rsid w:val="00B64CDF"/>
    <w:rsid w:val="00B65574"/>
    <w:rsid w:val="00B65A1C"/>
    <w:rsid w:val="00B65B4B"/>
    <w:rsid w:val="00B66485"/>
    <w:rsid w:val="00B66A3F"/>
    <w:rsid w:val="00B66B7B"/>
    <w:rsid w:val="00B66FF3"/>
    <w:rsid w:val="00B67005"/>
    <w:rsid w:val="00B671C5"/>
    <w:rsid w:val="00B67529"/>
    <w:rsid w:val="00B678A7"/>
    <w:rsid w:val="00B67E28"/>
    <w:rsid w:val="00B67F20"/>
    <w:rsid w:val="00B70068"/>
    <w:rsid w:val="00B704A9"/>
    <w:rsid w:val="00B70D64"/>
    <w:rsid w:val="00B710D7"/>
    <w:rsid w:val="00B711D6"/>
    <w:rsid w:val="00B71D77"/>
    <w:rsid w:val="00B71D97"/>
    <w:rsid w:val="00B72048"/>
    <w:rsid w:val="00B7257D"/>
    <w:rsid w:val="00B7257F"/>
    <w:rsid w:val="00B729C1"/>
    <w:rsid w:val="00B7367E"/>
    <w:rsid w:val="00B73D54"/>
    <w:rsid w:val="00B73FF0"/>
    <w:rsid w:val="00B74040"/>
    <w:rsid w:val="00B740E1"/>
    <w:rsid w:val="00B742B9"/>
    <w:rsid w:val="00B74A6F"/>
    <w:rsid w:val="00B74B46"/>
    <w:rsid w:val="00B74EA7"/>
    <w:rsid w:val="00B7540A"/>
    <w:rsid w:val="00B75DBC"/>
    <w:rsid w:val="00B75E96"/>
    <w:rsid w:val="00B7608A"/>
    <w:rsid w:val="00B767FD"/>
    <w:rsid w:val="00B76861"/>
    <w:rsid w:val="00B76C03"/>
    <w:rsid w:val="00B77118"/>
    <w:rsid w:val="00B772A9"/>
    <w:rsid w:val="00B772B4"/>
    <w:rsid w:val="00B7730F"/>
    <w:rsid w:val="00B7736F"/>
    <w:rsid w:val="00B774B5"/>
    <w:rsid w:val="00B7778F"/>
    <w:rsid w:val="00B777C1"/>
    <w:rsid w:val="00B77ED5"/>
    <w:rsid w:val="00B80120"/>
    <w:rsid w:val="00B80401"/>
    <w:rsid w:val="00B804C0"/>
    <w:rsid w:val="00B80600"/>
    <w:rsid w:val="00B80700"/>
    <w:rsid w:val="00B80A74"/>
    <w:rsid w:val="00B80CDE"/>
    <w:rsid w:val="00B80D28"/>
    <w:rsid w:val="00B81523"/>
    <w:rsid w:val="00B81727"/>
    <w:rsid w:val="00B81C74"/>
    <w:rsid w:val="00B81F74"/>
    <w:rsid w:val="00B824C8"/>
    <w:rsid w:val="00B824FC"/>
    <w:rsid w:val="00B82690"/>
    <w:rsid w:val="00B827CA"/>
    <w:rsid w:val="00B828C0"/>
    <w:rsid w:val="00B82AB0"/>
    <w:rsid w:val="00B82AFE"/>
    <w:rsid w:val="00B82B41"/>
    <w:rsid w:val="00B830C7"/>
    <w:rsid w:val="00B83779"/>
    <w:rsid w:val="00B83B04"/>
    <w:rsid w:val="00B84D0E"/>
    <w:rsid w:val="00B84DBA"/>
    <w:rsid w:val="00B86097"/>
    <w:rsid w:val="00B862AA"/>
    <w:rsid w:val="00B868B6"/>
    <w:rsid w:val="00B86A09"/>
    <w:rsid w:val="00B87BAA"/>
    <w:rsid w:val="00B87C4E"/>
    <w:rsid w:val="00B87DBE"/>
    <w:rsid w:val="00B901F9"/>
    <w:rsid w:val="00B90597"/>
    <w:rsid w:val="00B9076F"/>
    <w:rsid w:val="00B909E0"/>
    <w:rsid w:val="00B909FC"/>
    <w:rsid w:val="00B90A0C"/>
    <w:rsid w:val="00B90C27"/>
    <w:rsid w:val="00B911A3"/>
    <w:rsid w:val="00B9180D"/>
    <w:rsid w:val="00B91F70"/>
    <w:rsid w:val="00B92E68"/>
    <w:rsid w:val="00B93162"/>
    <w:rsid w:val="00B934D6"/>
    <w:rsid w:val="00B940ED"/>
    <w:rsid w:val="00B946D1"/>
    <w:rsid w:val="00B94F0B"/>
    <w:rsid w:val="00B95243"/>
    <w:rsid w:val="00B954AC"/>
    <w:rsid w:val="00B956F1"/>
    <w:rsid w:val="00B958D8"/>
    <w:rsid w:val="00B958FD"/>
    <w:rsid w:val="00B95955"/>
    <w:rsid w:val="00B95C5E"/>
    <w:rsid w:val="00B95E2C"/>
    <w:rsid w:val="00B9623F"/>
    <w:rsid w:val="00B963A9"/>
    <w:rsid w:val="00B9657F"/>
    <w:rsid w:val="00B96D50"/>
    <w:rsid w:val="00B97701"/>
    <w:rsid w:val="00B979E1"/>
    <w:rsid w:val="00BA03EA"/>
    <w:rsid w:val="00BA0459"/>
    <w:rsid w:val="00BA0571"/>
    <w:rsid w:val="00BA07C5"/>
    <w:rsid w:val="00BA088E"/>
    <w:rsid w:val="00BA094A"/>
    <w:rsid w:val="00BA0D1F"/>
    <w:rsid w:val="00BA1187"/>
    <w:rsid w:val="00BA12C4"/>
    <w:rsid w:val="00BA14B1"/>
    <w:rsid w:val="00BA15FE"/>
    <w:rsid w:val="00BA1838"/>
    <w:rsid w:val="00BA1C13"/>
    <w:rsid w:val="00BA233D"/>
    <w:rsid w:val="00BA253B"/>
    <w:rsid w:val="00BA2540"/>
    <w:rsid w:val="00BA2588"/>
    <w:rsid w:val="00BA282F"/>
    <w:rsid w:val="00BA2F46"/>
    <w:rsid w:val="00BA3276"/>
    <w:rsid w:val="00BA32F2"/>
    <w:rsid w:val="00BA39A0"/>
    <w:rsid w:val="00BA3B48"/>
    <w:rsid w:val="00BA4441"/>
    <w:rsid w:val="00BA4695"/>
    <w:rsid w:val="00BA4C8E"/>
    <w:rsid w:val="00BA530D"/>
    <w:rsid w:val="00BA56DE"/>
    <w:rsid w:val="00BA57AC"/>
    <w:rsid w:val="00BA598D"/>
    <w:rsid w:val="00BA5F55"/>
    <w:rsid w:val="00BA60CF"/>
    <w:rsid w:val="00BA64A8"/>
    <w:rsid w:val="00BA69FE"/>
    <w:rsid w:val="00BA6DC6"/>
    <w:rsid w:val="00BA7572"/>
    <w:rsid w:val="00BB05FD"/>
    <w:rsid w:val="00BB0698"/>
    <w:rsid w:val="00BB06AA"/>
    <w:rsid w:val="00BB0A64"/>
    <w:rsid w:val="00BB1087"/>
    <w:rsid w:val="00BB1606"/>
    <w:rsid w:val="00BB1E7F"/>
    <w:rsid w:val="00BB1E96"/>
    <w:rsid w:val="00BB20D4"/>
    <w:rsid w:val="00BB22C9"/>
    <w:rsid w:val="00BB25F4"/>
    <w:rsid w:val="00BB28A3"/>
    <w:rsid w:val="00BB28B8"/>
    <w:rsid w:val="00BB290A"/>
    <w:rsid w:val="00BB2C3D"/>
    <w:rsid w:val="00BB2DB7"/>
    <w:rsid w:val="00BB4684"/>
    <w:rsid w:val="00BB550E"/>
    <w:rsid w:val="00BB56AF"/>
    <w:rsid w:val="00BB5BB1"/>
    <w:rsid w:val="00BB63FF"/>
    <w:rsid w:val="00BB6711"/>
    <w:rsid w:val="00BB6A1A"/>
    <w:rsid w:val="00BB6B89"/>
    <w:rsid w:val="00BB725F"/>
    <w:rsid w:val="00BB733E"/>
    <w:rsid w:val="00BB737E"/>
    <w:rsid w:val="00BB74ED"/>
    <w:rsid w:val="00BB7E1B"/>
    <w:rsid w:val="00BC0029"/>
    <w:rsid w:val="00BC01AE"/>
    <w:rsid w:val="00BC09DA"/>
    <w:rsid w:val="00BC0B26"/>
    <w:rsid w:val="00BC0BA2"/>
    <w:rsid w:val="00BC0D0D"/>
    <w:rsid w:val="00BC14BE"/>
    <w:rsid w:val="00BC16EB"/>
    <w:rsid w:val="00BC1BA4"/>
    <w:rsid w:val="00BC22F4"/>
    <w:rsid w:val="00BC2621"/>
    <w:rsid w:val="00BC30BE"/>
    <w:rsid w:val="00BC3D7A"/>
    <w:rsid w:val="00BC3F47"/>
    <w:rsid w:val="00BC4108"/>
    <w:rsid w:val="00BC4BA7"/>
    <w:rsid w:val="00BC4C30"/>
    <w:rsid w:val="00BC4F0C"/>
    <w:rsid w:val="00BC5727"/>
    <w:rsid w:val="00BC6207"/>
    <w:rsid w:val="00BC633A"/>
    <w:rsid w:val="00BC6681"/>
    <w:rsid w:val="00BC68AD"/>
    <w:rsid w:val="00BC6C0B"/>
    <w:rsid w:val="00BC6DC0"/>
    <w:rsid w:val="00BC6F90"/>
    <w:rsid w:val="00BC7035"/>
    <w:rsid w:val="00BC7113"/>
    <w:rsid w:val="00BD0C00"/>
    <w:rsid w:val="00BD0C8D"/>
    <w:rsid w:val="00BD1643"/>
    <w:rsid w:val="00BD1CE3"/>
    <w:rsid w:val="00BD210E"/>
    <w:rsid w:val="00BD22E1"/>
    <w:rsid w:val="00BD2A8B"/>
    <w:rsid w:val="00BD2F99"/>
    <w:rsid w:val="00BD2FE6"/>
    <w:rsid w:val="00BD32DA"/>
    <w:rsid w:val="00BD3420"/>
    <w:rsid w:val="00BD3F9B"/>
    <w:rsid w:val="00BD4752"/>
    <w:rsid w:val="00BD481A"/>
    <w:rsid w:val="00BD4A1A"/>
    <w:rsid w:val="00BD4A9B"/>
    <w:rsid w:val="00BD4AA3"/>
    <w:rsid w:val="00BD4D6C"/>
    <w:rsid w:val="00BD5AFF"/>
    <w:rsid w:val="00BD5D13"/>
    <w:rsid w:val="00BD6063"/>
    <w:rsid w:val="00BD60B8"/>
    <w:rsid w:val="00BD661B"/>
    <w:rsid w:val="00BD6750"/>
    <w:rsid w:val="00BD69EA"/>
    <w:rsid w:val="00BD6C16"/>
    <w:rsid w:val="00BD6E9F"/>
    <w:rsid w:val="00BD70B1"/>
    <w:rsid w:val="00BD70BA"/>
    <w:rsid w:val="00BD7242"/>
    <w:rsid w:val="00BD7467"/>
    <w:rsid w:val="00BD7B6E"/>
    <w:rsid w:val="00BE060C"/>
    <w:rsid w:val="00BE0610"/>
    <w:rsid w:val="00BE0C62"/>
    <w:rsid w:val="00BE0E79"/>
    <w:rsid w:val="00BE17F4"/>
    <w:rsid w:val="00BE2137"/>
    <w:rsid w:val="00BE2652"/>
    <w:rsid w:val="00BE2B0D"/>
    <w:rsid w:val="00BE2C56"/>
    <w:rsid w:val="00BE2E4C"/>
    <w:rsid w:val="00BE3212"/>
    <w:rsid w:val="00BE35A6"/>
    <w:rsid w:val="00BE3A68"/>
    <w:rsid w:val="00BE43DC"/>
    <w:rsid w:val="00BE43E5"/>
    <w:rsid w:val="00BE4A41"/>
    <w:rsid w:val="00BE4A52"/>
    <w:rsid w:val="00BE5386"/>
    <w:rsid w:val="00BE53A7"/>
    <w:rsid w:val="00BE54A9"/>
    <w:rsid w:val="00BE563E"/>
    <w:rsid w:val="00BE5AE2"/>
    <w:rsid w:val="00BE5CE1"/>
    <w:rsid w:val="00BE6952"/>
    <w:rsid w:val="00BE6CC0"/>
    <w:rsid w:val="00BE6FD6"/>
    <w:rsid w:val="00BE71BA"/>
    <w:rsid w:val="00BE78DC"/>
    <w:rsid w:val="00BE7969"/>
    <w:rsid w:val="00BE7F97"/>
    <w:rsid w:val="00BE7F99"/>
    <w:rsid w:val="00BF08EF"/>
    <w:rsid w:val="00BF0B4A"/>
    <w:rsid w:val="00BF0C3E"/>
    <w:rsid w:val="00BF1153"/>
    <w:rsid w:val="00BF13A2"/>
    <w:rsid w:val="00BF13D8"/>
    <w:rsid w:val="00BF214F"/>
    <w:rsid w:val="00BF2164"/>
    <w:rsid w:val="00BF2531"/>
    <w:rsid w:val="00BF2583"/>
    <w:rsid w:val="00BF2763"/>
    <w:rsid w:val="00BF296D"/>
    <w:rsid w:val="00BF2D18"/>
    <w:rsid w:val="00BF2DB7"/>
    <w:rsid w:val="00BF2DE9"/>
    <w:rsid w:val="00BF2FAB"/>
    <w:rsid w:val="00BF32C5"/>
    <w:rsid w:val="00BF3BBA"/>
    <w:rsid w:val="00BF3FEB"/>
    <w:rsid w:val="00BF4487"/>
    <w:rsid w:val="00BF45C7"/>
    <w:rsid w:val="00BF4C30"/>
    <w:rsid w:val="00BF5158"/>
    <w:rsid w:val="00BF51CB"/>
    <w:rsid w:val="00BF5246"/>
    <w:rsid w:val="00BF5338"/>
    <w:rsid w:val="00BF583F"/>
    <w:rsid w:val="00BF5C53"/>
    <w:rsid w:val="00BF61DE"/>
    <w:rsid w:val="00BF6812"/>
    <w:rsid w:val="00BF6930"/>
    <w:rsid w:val="00BF6DA6"/>
    <w:rsid w:val="00BF74FD"/>
    <w:rsid w:val="00BF7783"/>
    <w:rsid w:val="00BF7F3E"/>
    <w:rsid w:val="00C003E7"/>
    <w:rsid w:val="00C004FB"/>
    <w:rsid w:val="00C00672"/>
    <w:rsid w:val="00C0088D"/>
    <w:rsid w:val="00C00B6C"/>
    <w:rsid w:val="00C00C7A"/>
    <w:rsid w:val="00C0174E"/>
    <w:rsid w:val="00C01B54"/>
    <w:rsid w:val="00C01CD4"/>
    <w:rsid w:val="00C01E79"/>
    <w:rsid w:val="00C01F46"/>
    <w:rsid w:val="00C024D9"/>
    <w:rsid w:val="00C02871"/>
    <w:rsid w:val="00C0360B"/>
    <w:rsid w:val="00C036E9"/>
    <w:rsid w:val="00C037E1"/>
    <w:rsid w:val="00C03A11"/>
    <w:rsid w:val="00C03F09"/>
    <w:rsid w:val="00C046A5"/>
    <w:rsid w:val="00C04882"/>
    <w:rsid w:val="00C04A16"/>
    <w:rsid w:val="00C04A56"/>
    <w:rsid w:val="00C04DB3"/>
    <w:rsid w:val="00C04F00"/>
    <w:rsid w:val="00C0525B"/>
    <w:rsid w:val="00C057E0"/>
    <w:rsid w:val="00C05DD5"/>
    <w:rsid w:val="00C05F2A"/>
    <w:rsid w:val="00C0628C"/>
    <w:rsid w:val="00C062C8"/>
    <w:rsid w:val="00C06775"/>
    <w:rsid w:val="00C067C1"/>
    <w:rsid w:val="00C06939"/>
    <w:rsid w:val="00C06A5C"/>
    <w:rsid w:val="00C0704B"/>
    <w:rsid w:val="00C07CDC"/>
    <w:rsid w:val="00C07D13"/>
    <w:rsid w:val="00C10AD4"/>
    <w:rsid w:val="00C10DEF"/>
    <w:rsid w:val="00C11414"/>
    <w:rsid w:val="00C1175D"/>
    <w:rsid w:val="00C1178E"/>
    <w:rsid w:val="00C117E5"/>
    <w:rsid w:val="00C11D57"/>
    <w:rsid w:val="00C11DCC"/>
    <w:rsid w:val="00C122A2"/>
    <w:rsid w:val="00C130F9"/>
    <w:rsid w:val="00C131C8"/>
    <w:rsid w:val="00C144BB"/>
    <w:rsid w:val="00C15151"/>
    <w:rsid w:val="00C1557A"/>
    <w:rsid w:val="00C15665"/>
    <w:rsid w:val="00C15CE1"/>
    <w:rsid w:val="00C1643A"/>
    <w:rsid w:val="00C168E7"/>
    <w:rsid w:val="00C16913"/>
    <w:rsid w:val="00C169F9"/>
    <w:rsid w:val="00C17484"/>
    <w:rsid w:val="00C1756E"/>
    <w:rsid w:val="00C1766D"/>
    <w:rsid w:val="00C1781E"/>
    <w:rsid w:val="00C17978"/>
    <w:rsid w:val="00C17AB2"/>
    <w:rsid w:val="00C17AEA"/>
    <w:rsid w:val="00C17BC6"/>
    <w:rsid w:val="00C17BD1"/>
    <w:rsid w:val="00C17E74"/>
    <w:rsid w:val="00C20320"/>
    <w:rsid w:val="00C205D8"/>
    <w:rsid w:val="00C206FF"/>
    <w:rsid w:val="00C2090F"/>
    <w:rsid w:val="00C20DF6"/>
    <w:rsid w:val="00C21280"/>
    <w:rsid w:val="00C21322"/>
    <w:rsid w:val="00C21466"/>
    <w:rsid w:val="00C218DB"/>
    <w:rsid w:val="00C21B7F"/>
    <w:rsid w:val="00C22166"/>
    <w:rsid w:val="00C22397"/>
    <w:rsid w:val="00C227FA"/>
    <w:rsid w:val="00C22CD5"/>
    <w:rsid w:val="00C23133"/>
    <w:rsid w:val="00C2345A"/>
    <w:rsid w:val="00C2348A"/>
    <w:rsid w:val="00C235FB"/>
    <w:rsid w:val="00C2389E"/>
    <w:rsid w:val="00C2391B"/>
    <w:rsid w:val="00C245E9"/>
    <w:rsid w:val="00C246CD"/>
    <w:rsid w:val="00C24EB6"/>
    <w:rsid w:val="00C25064"/>
    <w:rsid w:val="00C258B5"/>
    <w:rsid w:val="00C26319"/>
    <w:rsid w:val="00C26564"/>
    <w:rsid w:val="00C26B32"/>
    <w:rsid w:val="00C26CF6"/>
    <w:rsid w:val="00C26E82"/>
    <w:rsid w:val="00C26EE8"/>
    <w:rsid w:val="00C27988"/>
    <w:rsid w:val="00C27992"/>
    <w:rsid w:val="00C27ADA"/>
    <w:rsid w:val="00C27D20"/>
    <w:rsid w:val="00C302FE"/>
    <w:rsid w:val="00C30E18"/>
    <w:rsid w:val="00C318E7"/>
    <w:rsid w:val="00C3263D"/>
    <w:rsid w:val="00C3283C"/>
    <w:rsid w:val="00C32A33"/>
    <w:rsid w:val="00C32F85"/>
    <w:rsid w:val="00C33152"/>
    <w:rsid w:val="00C33211"/>
    <w:rsid w:val="00C3321E"/>
    <w:rsid w:val="00C33656"/>
    <w:rsid w:val="00C3367C"/>
    <w:rsid w:val="00C3384B"/>
    <w:rsid w:val="00C3387F"/>
    <w:rsid w:val="00C342B8"/>
    <w:rsid w:val="00C34477"/>
    <w:rsid w:val="00C348D5"/>
    <w:rsid w:val="00C34FC7"/>
    <w:rsid w:val="00C35731"/>
    <w:rsid w:val="00C3576E"/>
    <w:rsid w:val="00C35CA6"/>
    <w:rsid w:val="00C35D22"/>
    <w:rsid w:val="00C35FD6"/>
    <w:rsid w:val="00C36285"/>
    <w:rsid w:val="00C36624"/>
    <w:rsid w:val="00C36CC3"/>
    <w:rsid w:val="00C37088"/>
    <w:rsid w:val="00C371E1"/>
    <w:rsid w:val="00C373F9"/>
    <w:rsid w:val="00C375E5"/>
    <w:rsid w:val="00C37645"/>
    <w:rsid w:val="00C3779A"/>
    <w:rsid w:val="00C40618"/>
    <w:rsid w:val="00C406AC"/>
    <w:rsid w:val="00C40751"/>
    <w:rsid w:val="00C4087C"/>
    <w:rsid w:val="00C410E8"/>
    <w:rsid w:val="00C414C4"/>
    <w:rsid w:val="00C41CD4"/>
    <w:rsid w:val="00C426E8"/>
    <w:rsid w:val="00C42955"/>
    <w:rsid w:val="00C42AFA"/>
    <w:rsid w:val="00C42BA0"/>
    <w:rsid w:val="00C42D35"/>
    <w:rsid w:val="00C4336A"/>
    <w:rsid w:val="00C4337C"/>
    <w:rsid w:val="00C435FD"/>
    <w:rsid w:val="00C43AA1"/>
    <w:rsid w:val="00C43BDD"/>
    <w:rsid w:val="00C43D5E"/>
    <w:rsid w:val="00C44930"/>
    <w:rsid w:val="00C44D05"/>
    <w:rsid w:val="00C44E71"/>
    <w:rsid w:val="00C453D9"/>
    <w:rsid w:val="00C454F3"/>
    <w:rsid w:val="00C45B69"/>
    <w:rsid w:val="00C45B99"/>
    <w:rsid w:val="00C461D1"/>
    <w:rsid w:val="00C461DE"/>
    <w:rsid w:val="00C46746"/>
    <w:rsid w:val="00C469D1"/>
    <w:rsid w:val="00C46B42"/>
    <w:rsid w:val="00C47649"/>
    <w:rsid w:val="00C47D84"/>
    <w:rsid w:val="00C47ECA"/>
    <w:rsid w:val="00C5010A"/>
    <w:rsid w:val="00C50283"/>
    <w:rsid w:val="00C5029F"/>
    <w:rsid w:val="00C512E5"/>
    <w:rsid w:val="00C5149D"/>
    <w:rsid w:val="00C51C8D"/>
    <w:rsid w:val="00C521E5"/>
    <w:rsid w:val="00C524BD"/>
    <w:rsid w:val="00C526EF"/>
    <w:rsid w:val="00C52A88"/>
    <w:rsid w:val="00C531EE"/>
    <w:rsid w:val="00C540A3"/>
    <w:rsid w:val="00C540AE"/>
    <w:rsid w:val="00C54113"/>
    <w:rsid w:val="00C5426D"/>
    <w:rsid w:val="00C5431A"/>
    <w:rsid w:val="00C5452A"/>
    <w:rsid w:val="00C54793"/>
    <w:rsid w:val="00C54DDE"/>
    <w:rsid w:val="00C55EBB"/>
    <w:rsid w:val="00C56017"/>
    <w:rsid w:val="00C56718"/>
    <w:rsid w:val="00C56820"/>
    <w:rsid w:val="00C56988"/>
    <w:rsid w:val="00C575D7"/>
    <w:rsid w:val="00C5765F"/>
    <w:rsid w:val="00C57A39"/>
    <w:rsid w:val="00C57C86"/>
    <w:rsid w:val="00C605FE"/>
    <w:rsid w:val="00C60908"/>
    <w:rsid w:val="00C60BD2"/>
    <w:rsid w:val="00C61273"/>
    <w:rsid w:val="00C61834"/>
    <w:rsid w:val="00C61997"/>
    <w:rsid w:val="00C61D29"/>
    <w:rsid w:val="00C62B7A"/>
    <w:rsid w:val="00C62F2F"/>
    <w:rsid w:val="00C654F5"/>
    <w:rsid w:val="00C657A2"/>
    <w:rsid w:val="00C6581C"/>
    <w:rsid w:val="00C6584E"/>
    <w:rsid w:val="00C65C6E"/>
    <w:rsid w:val="00C666C7"/>
    <w:rsid w:val="00C669D1"/>
    <w:rsid w:val="00C66A27"/>
    <w:rsid w:val="00C66DC1"/>
    <w:rsid w:val="00C6712C"/>
    <w:rsid w:val="00C672B2"/>
    <w:rsid w:val="00C67310"/>
    <w:rsid w:val="00C67366"/>
    <w:rsid w:val="00C6749D"/>
    <w:rsid w:val="00C678A0"/>
    <w:rsid w:val="00C678AB"/>
    <w:rsid w:val="00C67D7D"/>
    <w:rsid w:val="00C70463"/>
    <w:rsid w:val="00C70E72"/>
    <w:rsid w:val="00C72392"/>
    <w:rsid w:val="00C72E00"/>
    <w:rsid w:val="00C73131"/>
    <w:rsid w:val="00C734D6"/>
    <w:rsid w:val="00C73B97"/>
    <w:rsid w:val="00C74056"/>
    <w:rsid w:val="00C7421D"/>
    <w:rsid w:val="00C743BF"/>
    <w:rsid w:val="00C74652"/>
    <w:rsid w:val="00C74C69"/>
    <w:rsid w:val="00C75071"/>
    <w:rsid w:val="00C75542"/>
    <w:rsid w:val="00C75BDF"/>
    <w:rsid w:val="00C76568"/>
    <w:rsid w:val="00C7695C"/>
    <w:rsid w:val="00C76AAE"/>
    <w:rsid w:val="00C77061"/>
    <w:rsid w:val="00C77763"/>
    <w:rsid w:val="00C77AF5"/>
    <w:rsid w:val="00C77D54"/>
    <w:rsid w:val="00C77E47"/>
    <w:rsid w:val="00C805C3"/>
    <w:rsid w:val="00C806B7"/>
    <w:rsid w:val="00C80917"/>
    <w:rsid w:val="00C80919"/>
    <w:rsid w:val="00C809C5"/>
    <w:rsid w:val="00C80CD0"/>
    <w:rsid w:val="00C810E6"/>
    <w:rsid w:val="00C81AE0"/>
    <w:rsid w:val="00C82188"/>
    <w:rsid w:val="00C82316"/>
    <w:rsid w:val="00C824C6"/>
    <w:rsid w:val="00C825AA"/>
    <w:rsid w:val="00C827F7"/>
    <w:rsid w:val="00C828E4"/>
    <w:rsid w:val="00C83311"/>
    <w:rsid w:val="00C8349F"/>
    <w:rsid w:val="00C8403B"/>
    <w:rsid w:val="00C84527"/>
    <w:rsid w:val="00C84E2B"/>
    <w:rsid w:val="00C85113"/>
    <w:rsid w:val="00C85162"/>
    <w:rsid w:val="00C857FF"/>
    <w:rsid w:val="00C85B96"/>
    <w:rsid w:val="00C85D8F"/>
    <w:rsid w:val="00C87473"/>
    <w:rsid w:val="00C8750B"/>
    <w:rsid w:val="00C90977"/>
    <w:rsid w:val="00C90A50"/>
    <w:rsid w:val="00C911D1"/>
    <w:rsid w:val="00C9123F"/>
    <w:rsid w:val="00C9180F"/>
    <w:rsid w:val="00C91864"/>
    <w:rsid w:val="00C91BD3"/>
    <w:rsid w:val="00C921DA"/>
    <w:rsid w:val="00C922CE"/>
    <w:rsid w:val="00C92758"/>
    <w:rsid w:val="00C92A98"/>
    <w:rsid w:val="00C93B39"/>
    <w:rsid w:val="00C93F52"/>
    <w:rsid w:val="00C94275"/>
    <w:rsid w:val="00C944CD"/>
    <w:rsid w:val="00C948B2"/>
    <w:rsid w:val="00C94A38"/>
    <w:rsid w:val="00C94DCC"/>
    <w:rsid w:val="00C95113"/>
    <w:rsid w:val="00C95342"/>
    <w:rsid w:val="00C958A0"/>
    <w:rsid w:val="00C959F7"/>
    <w:rsid w:val="00C95C03"/>
    <w:rsid w:val="00C96DEC"/>
    <w:rsid w:val="00C96DF3"/>
    <w:rsid w:val="00C96FA1"/>
    <w:rsid w:val="00C970E6"/>
    <w:rsid w:val="00C9741A"/>
    <w:rsid w:val="00CA054C"/>
    <w:rsid w:val="00CA08AB"/>
    <w:rsid w:val="00CA0908"/>
    <w:rsid w:val="00CA0CFB"/>
    <w:rsid w:val="00CA1164"/>
    <w:rsid w:val="00CA1FDF"/>
    <w:rsid w:val="00CA25DB"/>
    <w:rsid w:val="00CA2968"/>
    <w:rsid w:val="00CA3669"/>
    <w:rsid w:val="00CA38D3"/>
    <w:rsid w:val="00CA3CF9"/>
    <w:rsid w:val="00CA3DBF"/>
    <w:rsid w:val="00CA485E"/>
    <w:rsid w:val="00CA48D1"/>
    <w:rsid w:val="00CA5CF7"/>
    <w:rsid w:val="00CA5F69"/>
    <w:rsid w:val="00CA61C8"/>
    <w:rsid w:val="00CA62DB"/>
    <w:rsid w:val="00CA632E"/>
    <w:rsid w:val="00CA660C"/>
    <w:rsid w:val="00CA6A7C"/>
    <w:rsid w:val="00CA6E60"/>
    <w:rsid w:val="00CA71B4"/>
    <w:rsid w:val="00CA7527"/>
    <w:rsid w:val="00CA75F0"/>
    <w:rsid w:val="00CB0811"/>
    <w:rsid w:val="00CB0F47"/>
    <w:rsid w:val="00CB0F84"/>
    <w:rsid w:val="00CB1392"/>
    <w:rsid w:val="00CB1BA4"/>
    <w:rsid w:val="00CB1FE5"/>
    <w:rsid w:val="00CB203F"/>
    <w:rsid w:val="00CB25B8"/>
    <w:rsid w:val="00CB3102"/>
    <w:rsid w:val="00CB3719"/>
    <w:rsid w:val="00CB3F49"/>
    <w:rsid w:val="00CB40AA"/>
    <w:rsid w:val="00CB4143"/>
    <w:rsid w:val="00CB46AE"/>
    <w:rsid w:val="00CB48FC"/>
    <w:rsid w:val="00CB4995"/>
    <w:rsid w:val="00CB5332"/>
    <w:rsid w:val="00CB57CF"/>
    <w:rsid w:val="00CB5D63"/>
    <w:rsid w:val="00CB5DD2"/>
    <w:rsid w:val="00CB60B0"/>
    <w:rsid w:val="00CB67A2"/>
    <w:rsid w:val="00CB6CFF"/>
    <w:rsid w:val="00CB71C2"/>
    <w:rsid w:val="00CB77C0"/>
    <w:rsid w:val="00CB7831"/>
    <w:rsid w:val="00CB79D7"/>
    <w:rsid w:val="00CB7F49"/>
    <w:rsid w:val="00CC00A1"/>
    <w:rsid w:val="00CC0AE0"/>
    <w:rsid w:val="00CC0DF5"/>
    <w:rsid w:val="00CC0E56"/>
    <w:rsid w:val="00CC1604"/>
    <w:rsid w:val="00CC19AC"/>
    <w:rsid w:val="00CC1E4C"/>
    <w:rsid w:val="00CC1E63"/>
    <w:rsid w:val="00CC1F07"/>
    <w:rsid w:val="00CC22B6"/>
    <w:rsid w:val="00CC237B"/>
    <w:rsid w:val="00CC24F0"/>
    <w:rsid w:val="00CC2587"/>
    <w:rsid w:val="00CC2B0F"/>
    <w:rsid w:val="00CC2B44"/>
    <w:rsid w:val="00CC2E8F"/>
    <w:rsid w:val="00CC2F3A"/>
    <w:rsid w:val="00CC2F93"/>
    <w:rsid w:val="00CC30E1"/>
    <w:rsid w:val="00CC3317"/>
    <w:rsid w:val="00CC3DB1"/>
    <w:rsid w:val="00CC3EBA"/>
    <w:rsid w:val="00CC4522"/>
    <w:rsid w:val="00CC4611"/>
    <w:rsid w:val="00CC470F"/>
    <w:rsid w:val="00CC4EAF"/>
    <w:rsid w:val="00CC511E"/>
    <w:rsid w:val="00CC5846"/>
    <w:rsid w:val="00CC5BA6"/>
    <w:rsid w:val="00CC697F"/>
    <w:rsid w:val="00CC6D6D"/>
    <w:rsid w:val="00CC71F0"/>
    <w:rsid w:val="00CC7467"/>
    <w:rsid w:val="00CC78CD"/>
    <w:rsid w:val="00CC7B45"/>
    <w:rsid w:val="00CC7D67"/>
    <w:rsid w:val="00CD06C7"/>
    <w:rsid w:val="00CD076C"/>
    <w:rsid w:val="00CD0B71"/>
    <w:rsid w:val="00CD2175"/>
    <w:rsid w:val="00CD2DED"/>
    <w:rsid w:val="00CD3064"/>
    <w:rsid w:val="00CD32FC"/>
    <w:rsid w:val="00CD3B3F"/>
    <w:rsid w:val="00CD50C2"/>
    <w:rsid w:val="00CD5826"/>
    <w:rsid w:val="00CD5A5B"/>
    <w:rsid w:val="00CD5BC4"/>
    <w:rsid w:val="00CD6227"/>
    <w:rsid w:val="00CD6714"/>
    <w:rsid w:val="00CD67E0"/>
    <w:rsid w:val="00CD6E0E"/>
    <w:rsid w:val="00CD72BC"/>
    <w:rsid w:val="00CD7613"/>
    <w:rsid w:val="00CD7B2F"/>
    <w:rsid w:val="00CD7E61"/>
    <w:rsid w:val="00CE0229"/>
    <w:rsid w:val="00CE0813"/>
    <w:rsid w:val="00CE0DC4"/>
    <w:rsid w:val="00CE0FF4"/>
    <w:rsid w:val="00CE125F"/>
    <w:rsid w:val="00CE17AB"/>
    <w:rsid w:val="00CE1D25"/>
    <w:rsid w:val="00CE1F75"/>
    <w:rsid w:val="00CE2658"/>
    <w:rsid w:val="00CE2823"/>
    <w:rsid w:val="00CE2834"/>
    <w:rsid w:val="00CE28A8"/>
    <w:rsid w:val="00CE2CCC"/>
    <w:rsid w:val="00CE386C"/>
    <w:rsid w:val="00CE3B45"/>
    <w:rsid w:val="00CE3E93"/>
    <w:rsid w:val="00CE3F92"/>
    <w:rsid w:val="00CE4027"/>
    <w:rsid w:val="00CE4054"/>
    <w:rsid w:val="00CE4086"/>
    <w:rsid w:val="00CE49B5"/>
    <w:rsid w:val="00CE4BAA"/>
    <w:rsid w:val="00CE4E8B"/>
    <w:rsid w:val="00CE5016"/>
    <w:rsid w:val="00CE52A1"/>
    <w:rsid w:val="00CE5D67"/>
    <w:rsid w:val="00CE6307"/>
    <w:rsid w:val="00CE68B0"/>
    <w:rsid w:val="00CE6C15"/>
    <w:rsid w:val="00CE6CE3"/>
    <w:rsid w:val="00CE6DA7"/>
    <w:rsid w:val="00CE758F"/>
    <w:rsid w:val="00CE77B6"/>
    <w:rsid w:val="00CE788E"/>
    <w:rsid w:val="00CE7AF8"/>
    <w:rsid w:val="00CF0409"/>
    <w:rsid w:val="00CF05BB"/>
    <w:rsid w:val="00CF063F"/>
    <w:rsid w:val="00CF068F"/>
    <w:rsid w:val="00CF0C17"/>
    <w:rsid w:val="00CF0F77"/>
    <w:rsid w:val="00CF1B5A"/>
    <w:rsid w:val="00CF1F6A"/>
    <w:rsid w:val="00CF277B"/>
    <w:rsid w:val="00CF2813"/>
    <w:rsid w:val="00CF2F9E"/>
    <w:rsid w:val="00CF352D"/>
    <w:rsid w:val="00CF3540"/>
    <w:rsid w:val="00CF3D63"/>
    <w:rsid w:val="00CF427F"/>
    <w:rsid w:val="00CF4912"/>
    <w:rsid w:val="00CF4B41"/>
    <w:rsid w:val="00CF4BDC"/>
    <w:rsid w:val="00CF4C89"/>
    <w:rsid w:val="00CF4DB0"/>
    <w:rsid w:val="00CF585F"/>
    <w:rsid w:val="00CF5C7E"/>
    <w:rsid w:val="00CF5C9F"/>
    <w:rsid w:val="00CF6BF4"/>
    <w:rsid w:val="00CF6D75"/>
    <w:rsid w:val="00CF6DC7"/>
    <w:rsid w:val="00CF6F46"/>
    <w:rsid w:val="00CF7012"/>
    <w:rsid w:val="00CF7215"/>
    <w:rsid w:val="00CF72FF"/>
    <w:rsid w:val="00CF76E1"/>
    <w:rsid w:val="00CF7815"/>
    <w:rsid w:val="00CF797E"/>
    <w:rsid w:val="00CF7F5F"/>
    <w:rsid w:val="00D00186"/>
    <w:rsid w:val="00D0085B"/>
    <w:rsid w:val="00D00A33"/>
    <w:rsid w:val="00D00C67"/>
    <w:rsid w:val="00D012BD"/>
    <w:rsid w:val="00D01529"/>
    <w:rsid w:val="00D015E6"/>
    <w:rsid w:val="00D0231E"/>
    <w:rsid w:val="00D024EA"/>
    <w:rsid w:val="00D02863"/>
    <w:rsid w:val="00D02D07"/>
    <w:rsid w:val="00D03607"/>
    <w:rsid w:val="00D0372F"/>
    <w:rsid w:val="00D03D01"/>
    <w:rsid w:val="00D0434C"/>
    <w:rsid w:val="00D04490"/>
    <w:rsid w:val="00D04539"/>
    <w:rsid w:val="00D04A91"/>
    <w:rsid w:val="00D05100"/>
    <w:rsid w:val="00D051A3"/>
    <w:rsid w:val="00D054F1"/>
    <w:rsid w:val="00D05543"/>
    <w:rsid w:val="00D05D89"/>
    <w:rsid w:val="00D062A5"/>
    <w:rsid w:val="00D063E4"/>
    <w:rsid w:val="00D0670E"/>
    <w:rsid w:val="00D06885"/>
    <w:rsid w:val="00D06C34"/>
    <w:rsid w:val="00D06C81"/>
    <w:rsid w:val="00D06F5C"/>
    <w:rsid w:val="00D07EC9"/>
    <w:rsid w:val="00D104BF"/>
    <w:rsid w:val="00D1069F"/>
    <w:rsid w:val="00D106A6"/>
    <w:rsid w:val="00D1075F"/>
    <w:rsid w:val="00D107CD"/>
    <w:rsid w:val="00D10A71"/>
    <w:rsid w:val="00D10C58"/>
    <w:rsid w:val="00D10C72"/>
    <w:rsid w:val="00D11608"/>
    <w:rsid w:val="00D11A32"/>
    <w:rsid w:val="00D11D12"/>
    <w:rsid w:val="00D11DC3"/>
    <w:rsid w:val="00D11FAA"/>
    <w:rsid w:val="00D11FF7"/>
    <w:rsid w:val="00D1202C"/>
    <w:rsid w:val="00D12163"/>
    <w:rsid w:val="00D12683"/>
    <w:rsid w:val="00D129DE"/>
    <w:rsid w:val="00D12A84"/>
    <w:rsid w:val="00D12DFE"/>
    <w:rsid w:val="00D13439"/>
    <w:rsid w:val="00D13AEB"/>
    <w:rsid w:val="00D1425B"/>
    <w:rsid w:val="00D14BF3"/>
    <w:rsid w:val="00D15715"/>
    <w:rsid w:val="00D15A3F"/>
    <w:rsid w:val="00D15B3B"/>
    <w:rsid w:val="00D15BCF"/>
    <w:rsid w:val="00D15CBA"/>
    <w:rsid w:val="00D16021"/>
    <w:rsid w:val="00D1603D"/>
    <w:rsid w:val="00D160FF"/>
    <w:rsid w:val="00D1618A"/>
    <w:rsid w:val="00D16634"/>
    <w:rsid w:val="00D16D53"/>
    <w:rsid w:val="00D16E16"/>
    <w:rsid w:val="00D16E62"/>
    <w:rsid w:val="00D171E0"/>
    <w:rsid w:val="00D17444"/>
    <w:rsid w:val="00D20296"/>
    <w:rsid w:val="00D203D5"/>
    <w:rsid w:val="00D2112F"/>
    <w:rsid w:val="00D2148A"/>
    <w:rsid w:val="00D21E68"/>
    <w:rsid w:val="00D21EE8"/>
    <w:rsid w:val="00D221CE"/>
    <w:rsid w:val="00D222B8"/>
    <w:rsid w:val="00D2316F"/>
    <w:rsid w:val="00D232D3"/>
    <w:rsid w:val="00D232F3"/>
    <w:rsid w:val="00D23472"/>
    <w:rsid w:val="00D2347B"/>
    <w:rsid w:val="00D2378E"/>
    <w:rsid w:val="00D23EB9"/>
    <w:rsid w:val="00D24521"/>
    <w:rsid w:val="00D24570"/>
    <w:rsid w:val="00D2494D"/>
    <w:rsid w:val="00D24ABB"/>
    <w:rsid w:val="00D2536E"/>
    <w:rsid w:val="00D2564F"/>
    <w:rsid w:val="00D25663"/>
    <w:rsid w:val="00D25B2A"/>
    <w:rsid w:val="00D25B88"/>
    <w:rsid w:val="00D26116"/>
    <w:rsid w:val="00D2629A"/>
    <w:rsid w:val="00D264ED"/>
    <w:rsid w:val="00D26592"/>
    <w:rsid w:val="00D26A99"/>
    <w:rsid w:val="00D26E1C"/>
    <w:rsid w:val="00D26EDC"/>
    <w:rsid w:val="00D27751"/>
    <w:rsid w:val="00D3048B"/>
    <w:rsid w:val="00D30CF9"/>
    <w:rsid w:val="00D30D2C"/>
    <w:rsid w:val="00D3118A"/>
    <w:rsid w:val="00D313DB"/>
    <w:rsid w:val="00D31680"/>
    <w:rsid w:val="00D31782"/>
    <w:rsid w:val="00D31EFC"/>
    <w:rsid w:val="00D3218D"/>
    <w:rsid w:val="00D32882"/>
    <w:rsid w:val="00D32FFD"/>
    <w:rsid w:val="00D330D8"/>
    <w:rsid w:val="00D33373"/>
    <w:rsid w:val="00D3368F"/>
    <w:rsid w:val="00D33E9B"/>
    <w:rsid w:val="00D347FA"/>
    <w:rsid w:val="00D348C4"/>
    <w:rsid w:val="00D34AFA"/>
    <w:rsid w:val="00D34FF4"/>
    <w:rsid w:val="00D3519D"/>
    <w:rsid w:val="00D3594C"/>
    <w:rsid w:val="00D35B39"/>
    <w:rsid w:val="00D35E2A"/>
    <w:rsid w:val="00D363E0"/>
    <w:rsid w:val="00D3669A"/>
    <w:rsid w:val="00D369E6"/>
    <w:rsid w:val="00D36FB3"/>
    <w:rsid w:val="00D3719F"/>
    <w:rsid w:val="00D373F6"/>
    <w:rsid w:val="00D37C45"/>
    <w:rsid w:val="00D4023C"/>
    <w:rsid w:val="00D40301"/>
    <w:rsid w:val="00D40415"/>
    <w:rsid w:val="00D405AC"/>
    <w:rsid w:val="00D4080A"/>
    <w:rsid w:val="00D4086A"/>
    <w:rsid w:val="00D409DA"/>
    <w:rsid w:val="00D40F1A"/>
    <w:rsid w:val="00D41342"/>
    <w:rsid w:val="00D41770"/>
    <w:rsid w:val="00D41C85"/>
    <w:rsid w:val="00D420EE"/>
    <w:rsid w:val="00D425F5"/>
    <w:rsid w:val="00D4280A"/>
    <w:rsid w:val="00D428B4"/>
    <w:rsid w:val="00D42999"/>
    <w:rsid w:val="00D42AB0"/>
    <w:rsid w:val="00D4305D"/>
    <w:rsid w:val="00D433BC"/>
    <w:rsid w:val="00D433D5"/>
    <w:rsid w:val="00D43667"/>
    <w:rsid w:val="00D4379A"/>
    <w:rsid w:val="00D43A5C"/>
    <w:rsid w:val="00D43F65"/>
    <w:rsid w:val="00D440DE"/>
    <w:rsid w:val="00D44B66"/>
    <w:rsid w:val="00D44C11"/>
    <w:rsid w:val="00D44F53"/>
    <w:rsid w:val="00D44F90"/>
    <w:rsid w:val="00D4501D"/>
    <w:rsid w:val="00D4594B"/>
    <w:rsid w:val="00D45A8E"/>
    <w:rsid w:val="00D46083"/>
    <w:rsid w:val="00D466AC"/>
    <w:rsid w:val="00D46D06"/>
    <w:rsid w:val="00D4760E"/>
    <w:rsid w:val="00D47B15"/>
    <w:rsid w:val="00D47C20"/>
    <w:rsid w:val="00D5049B"/>
    <w:rsid w:val="00D50D54"/>
    <w:rsid w:val="00D50FE3"/>
    <w:rsid w:val="00D50FED"/>
    <w:rsid w:val="00D51865"/>
    <w:rsid w:val="00D51A39"/>
    <w:rsid w:val="00D51AD1"/>
    <w:rsid w:val="00D52B9D"/>
    <w:rsid w:val="00D52CC4"/>
    <w:rsid w:val="00D52FE2"/>
    <w:rsid w:val="00D5313D"/>
    <w:rsid w:val="00D53723"/>
    <w:rsid w:val="00D53BD4"/>
    <w:rsid w:val="00D53E34"/>
    <w:rsid w:val="00D53F64"/>
    <w:rsid w:val="00D54181"/>
    <w:rsid w:val="00D54ACC"/>
    <w:rsid w:val="00D54D30"/>
    <w:rsid w:val="00D5611E"/>
    <w:rsid w:val="00D5645F"/>
    <w:rsid w:val="00D5649C"/>
    <w:rsid w:val="00D5656B"/>
    <w:rsid w:val="00D56883"/>
    <w:rsid w:val="00D56BF2"/>
    <w:rsid w:val="00D56F82"/>
    <w:rsid w:val="00D56F98"/>
    <w:rsid w:val="00D5710D"/>
    <w:rsid w:val="00D57239"/>
    <w:rsid w:val="00D57312"/>
    <w:rsid w:val="00D57E31"/>
    <w:rsid w:val="00D6031B"/>
    <w:rsid w:val="00D60364"/>
    <w:rsid w:val="00D613FD"/>
    <w:rsid w:val="00D6159B"/>
    <w:rsid w:val="00D6205A"/>
    <w:rsid w:val="00D625D0"/>
    <w:rsid w:val="00D62628"/>
    <w:rsid w:val="00D62A58"/>
    <w:rsid w:val="00D62BCE"/>
    <w:rsid w:val="00D62C03"/>
    <w:rsid w:val="00D63060"/>
    <w:rsid w:val="00D632D5"/>
    <w:rsid w:val="00D6354F"/>
    <w:rsid w:val="00D64084"/>
    <w:rsid w:val="00D64171"/>
    <w:rsid w:val="00D641C7"/>
    <w:rsid w:val="00D642A1"/>
    <w:rsid w:val="00D64444"/>
    <w:rsid w:val="00D649DB"/>
    <w:rsid w:val="00D64AD1"/>
    <w:rsid w:val="00D64B1C"/>
    <w:rsid w:val="00D658CE"/>
    <w:rsid w:val="00D66359"/>
    <w:rsid w:val="00D665F1"/>
    <w:rsid w:val="00D6740A"/>
    <w:rsid w:val="00D67A79"/>
    <w:rsid w:val="00D70519"/>
    <w:rsid w:val="00D70B1B"/>
    <w:rsid w:val="00D70F2D"/>
    <w:rsid w:val="00D71091"/>
    <w:rsid w:val="00D710FF"/>
    <w:rsid w:val="00D71688"/>
    <w:rsid w:val="00D71701"/>
    <w:rsid w:val="00D71790"/>
    <w:rsid w:val="00D72BD8"/>
    <w:rsid w:val="00D72E77"/>
    <w:rsid w:val="00D732E5"/>
    <w:rsid w:val="00D734D3"/>
    <w:rsid w:val="00D73723"/>
    <w:rsid w:val="00D7386B"/>
    <w:rsid w:val="00D74150"/>
    <w:rsid w:val="00D74363"/>
    <w:rsid w:val="00D744F5"/>
    <w:rsid w:val="00D74B1C"/>
    <w:rsid w:val="00D750AB"/>
    <w:rsid w:val="00D75BEC"/>
    <w:rsid w:val="00D76F3D"/>
    <w:rsid w:val="00D77021"/>
    <w:rsid w:val="00D770DD"/>
    <w:rsid w:val="00D7718B"/>
    <w:rsid w:val="00D77660"/>
    <w:rsid w:val="00D7779E"/>
    <w:rsid w:val="00D77908"/>
    <w:rsid w:val="00D77B04"/>
    <w:rsid w:val="00D77F02"/>
    <w:rsid w:val="00D77F93"/>
    <w:rsid w:val="00D800C1"/>
    <w:rsid w:val="00D80164"/>
    <w:rsid w:val="00D80299"/>
    <w:rsid w:val="00D805C4"/>
    <w:rsid w:val="00D80EFF"/>
    <w:rsid w:val="00D81218"/>
    <w:rsid w:val="00D81488"/>
    <w:rsid w:val="00D816B1"/>
    <w:rsid w:val="00D816EA"/>
    <w:rsid w:val="00D817CF"/>
    <w:rsid w:val="00D81A90"/>
    <w:rsid w:val="00D81E34"/>
    <w:rsid w:val="00D823DB"/>
    <w:rsid w:val="00D82F47"/>
    <w:rsid w:val="00D831A9"/>
    <w:rsid w:val="00D832CE"/>
    <w:rsid w:val="00D83548"/>
    <w:rsid w:val="00D83888"/>
    <w:rsid w:val="00D83DD4"/>
    <w:rsid w:val="00D83F8E"/>
    <w:rsid w:val="00D84592"/>
    <w:rsid w:val="00D84A77"/>
    <w:rsid w:val="00D84DAE"/>
    <w:rsid w:val="00D8516D"/>
    <w:rsid w:val="00D8534D"/>
    <w:rsid w:val="00D8544F"/>
    <w:rsid w:val="00D85521"/>
    <w:rsid w:val="00D861B1"/>
    <w:rsid w:val="00D86473"/>
    <w:rsid w:val="00D86576"/>
    <w:rsid w:val="00D868AF"/>
    <w:rsid w:val="00D86B26"/>
    <w:rsid w:val="00D86B85"/>
    <w:rsid w:val="00D86FFA"/>
    <w:rsid w:val="00D870DF"/>
    <w:rsid w:val="00D8729A"/>
    <w:rsid w:val="00D873DB"/>
    <w:rsid w:val="00D87881"/>
    <w:rsid w:val="00D902D9"/>
    <w:rsid w:val="00D906C2"/>
    <w:rsid w:val="00D9084D"/>
    <w:rsid w:val="00D90861"/>
    <w:rsid w:val="00D919F9"/>
    <w:rsid w:val="00D91B57"/>
    <w:rsid w:val="00D91F41"/>
    <w:rsid w:val="00D9281C"/>
    <w:rsid w:val="00D92A91"/>
    <w:rsid w:val="00D92D82"/>
    <w:rsid w:val="00D92EED"/>
    <w:rsid w:val="00D92F67"/>
    <w:rsid w:val="00D93126"/>
    <w:rsid w:val="00D9362B"/>
    <w:rsid w:val="00D9364E"/>
    <w:rsid w:val="00D93C2C"/>
    <w:rsid w:val="00D93FB0"/>
    <w:rsid w:val="00D95053"/>
    <w:rsid w:val="00D950EC"/>
    <w:rsid w:val="00D9515D"/>
    <w:rsid w:val="00D95388"/>
    <w:rsid w:val="00D955AA"/>
    <w:rsid w:val="00D95732"/>
    <w:rsid w:val="00D96351"/>
    <w:rsid w:val="00D9657B"/>
    <w:rsid w:val="00D96737"/>
    <w:rsid w:val="00D96B78"/>
    <w:rsid w:val="00D97B33"/>
    <w:rsid w:val="00D97DB8"/>
    <w:rsid w:val="00D97DEB"/>
    <w:rsid w:val="00D97EEC"/>
    <w:rsid w:val="00DA0199"/>
    <w:rsid w:val="00DA027B"/>
    <w:rsid w:val="00DA0384"/>
    <w:rsid w:val="00DA0388"/>
    <w:rsid w:val="00DA0423"/>
    <w:rsid w:val="00DA0745"/>
    <w:rsid w:val="00DA0E15"/>
    <w:rsid w:val="00DA1574"/>
    <w:rsid w:val="00DA1764"/>
    <w:rsid w:val="00DA1D0F"/>
    <w:rsid w:val="00DA2192"/>
    <w:rsid w:val="00DA21E9"/>
    <w:rsid w:val="00DA22A9"/>
    <w:rsid w:val="00DA3CE6"/>
    <w:rsid w:val="00DA4401"/>
    <w:rsid w:val="00DA4E92"/>
    <w:rsid w:val="00DA5478"/>
    <w:rsid w:val="00DA5511"/>
    <w:rsid w:val="00DA58CB"/>
    <w:rsid w:val="00DA592E"/>
    <w:rsid w:val="00DA62BA"/>
    <w:rsid w:val="00DA67C1"/>
    <w:rsid w:val="00DA6AB0"/>
    <w:rsid w:val="00DA6B83"/>
    <w:rsid w:val="00DA6D0A"/>
    <w:rsid w:val="00DA7865"/>
    <w:rsid w:val="00DA79DC"/>
    <w:rsid w:val="00DA7F11"/>
    <w:rsid w:val="00DA7F58"/>
    <w:rsid w:val="00DB011C"/>
    <w:rsid w:val="00DB04EE"/>
    <w:rsid w:val="00DB0BA8"/>
    <w:rsid w:val="00DB110B"/>
    <w:rsid w:val="00DB18BF"/>
    <w:rsid w:val="00DB18F2"/>
    <w:rsid w:val="00DB1E58"/>
    <w:rsid w:val="00DB20F4"/>
    <w:rsid w:val="00DB2426"/>
    <w:rsid w:val="00DB2FB2"/>
    <w:rsid w:val="00DB33EE"/>
    <w:rsid w:val="00DB33FA"/>
    <w:rsid w:val="00DB34F6"/>
    <w:rsid w:val="00DB3A58"/>
    <w:rsid w:val="00DB4095"/>
    <w:rsid w:val="00DB4323"/>
    <w:rsid w:val="00DB4421"/>
    <w:rsid w:val="00DB46EB"/>
    <w:rsid w:val="00DB49FD"/>
    <w:rsid w:val="00DB4DAD"/>
    <w:rsid w:val="00DB5088"/>
    <w:rsid w:val="00DB5217"/>
    <w:rsid w:val="00DB5EAF"/>
    <w:rsid w:val="00DB6215"/>
    <w:rsid w:val="00DB680E"/>
    <w:rsid w:val="00DB6ABD"/>
    <w:rsid w:val="00DB6C6E"/>
    <w:rsid w:val="00DB6E26"/>
    <w:rsid w:val="00DB712C"/>
    <w:rsid w:val="00DB7867"/>
    <w:rsid w:val="00DB790E"/>
    <w:rsid w:val="00DC00DC"/>
    <w:rsid w:val="00DC1080"/>
    <w:rsid w:val="00DC115F"/>
    <w:rsid w:val="00DC1B6F"/>
    <w:rsid w:val="00DC1D3A"/>
    <w:rsid w:val="00DC1D65"/>
    <w:rsid w:val="00DC1D6B"/>
    <w:rsid w:val="00DC2911"/>
    <w:rsid w:val="00DC2C4A"/>
    <w:rsid w:val="00DC2D8C"/>
    <w:rsid w:val="00DC331B"/>
    <w:rsid w:val="00DC333E"/>
    <w:rsid w:val="00DC34F3"/>
    <w:rsid w:val="00DC3668"/>
    <w:rsid w:val="00DC3BC0"/>
    <w:rsid w:val="00DC3EAB"/>
    <w:rsid w:val="00DC3F80"/>
    <w:rsid w:val="00DC4F6D"/>
    <w:rsid w:val="00DC51BB"/>
    <w:rsid w:val="00DC59C2"/>
    <w:rsid w:val="00DC621B"/>
    <w:rsid w:val="00DC6328"/>
    <w:rsid w:val="00DC6BC4"/>
    <w:rsid w:val="00DC6C71"/>
    <w:rsid w:val="00DC6D90"/>
    <w:rsid w:val="00DC6F7F"/>
    <w:rsid w:val="00DC7021"/>
    <w:rsid w:val="00DC705B"/>
    <w:rsid w:val="00DC717A"/>
    <w:rsid w:val="00DC76EC"/>
    <w:rsid w:val="00DC7720"/>
    <w:rsid w:val="00DC7A53"/>
    <w:rsid w:val="00DC7F95"/>
    <w:rsid w:val="00DD0304"/>
    <w:rsid w:val="00DD0AC6"/>
    <w:rsid w:val="00DD0B82"/>
    <w:rsid w:val="00DD0CF4"/>
    <w:rsid w:val="00DD0D0C"/>
    <w:rsid w:val="00DD0E95"/>
    <w:rsid w:val="00DD0F5C"/>
    <w:rsid w:val="00DD0FF9"/>
    <w:rsid w:val="00DD120B"/>
    <w:rsid w:val="00DD1264"/>
    <w:rsid w:val="00DD1472"/>
    <w:rsid w:val="00DD1679"/>
    <w:rsid w:val="00DD18E8"/>
    <w:rsid w:val="00DD1D19"/>
    <w:rsid w:val="00DD1DED"/>
    <w:rsid w:val="00DD230B"/>
    <w:rsid w:val="00DD24A2"/>
    <w:rsid w:val="00DD2816"/>
    <w:rsid w:val="00DD2961"/>
    <w:rsid w:val="00DD3BFA"/>
    <w:rsid w:val="00DD4172"/>
    <w:rsid w:val="00DD452A"/>
    <w:rsid w:val="00DD455F"/>
    <w:rsid w:val="00DD4614"/>
    <w:rsid w:val="00DD4EF9"/>
    <w:rsid w:val="00DD4F92"/>
    <w:rsid w:val="00DD501A"/>
    <w:rsid w:val="00DD5310"/>
    <w:rsid w:val="00DD546B"/>
    <w:rsid w:val="00DD7147"/>
    <w:rsid w:val="00DD774F"/>
    <w:rsid w:val="00DD7C0C"/>
    <w:rsid w:val="00DE0435"/>
    <w:rsid w:val="00DE0730"/>
    <w:rsid w:val="00DE0832"/>
    <w:rsid w:val="00DE0A2A"/>
    <w:rsid w:val="00DE1097"/>
    <w:rsid w:val="00DE2043"/>
    <w:rsid w:val="00DE245E"/>
    <w:rsid w:val="00DE2894"/>
    <w:rsid w:val="00DE2896"/>
    <w:rsid w:val="00DE2BBC"/>
    <w:rsid w:val="00DE2D2E"/>
    <w:rsid w:val="00DE3002"/>
    <w:rsid w:val="00DE3196"/>
    <w:rsid w:val="00DE3436"/>
    <w:rsid w:val="00DE43AC"/>
    <w:rsid w:val="00DE4931"/>
    <w:rsid w:val="00DE49A7"/>
    <w:rsid w:val="00DE500D"/>
    <w:rsid w:val="00DE52C6"/>
    <w:rsid w:val="00DE5A85"/>
    <w:rsid w:val="00DE5B3F"/>
    <w:rsid w:val="00DE5BC6"/>
    <w:rsid w:val="00DE61B5"/>
    <w:rsid w:val="00DE6989"/>
    <w:rsid w:val="00DE69A5"/>
    <w:rsid w:val="00DE7093"/>
    <w:rsid w:val="00DE7454"/>
    <w:rsid w:val="00DE74C4"/>
    <w:rsid w:val="00DE7935"/>
    <w:rsid w:val="00DE7C4A"/>
    <w:rsid w:val="00DE7E0B"/>
    <w:rsid w:val="00DE7E68"/>
    <w:rsid w:val="00DE7F3A"/>
    <w:rsid w:val="00DF008B"/>
    <w:rsid w:val="00DF0295"/>
    <w:rsid w:val="00DF0654"/>
    <w:rsid w:val="00DF0EF1"/>
    <w:rsid w:val="00DF11B0"/>
    <w:rsid w:val="00DF11EA"/>
    <w:rsid w:val="00DF188D"/>
    <w:rsid w:val="00DF1D66"/>
    <w:rsid w:val="00DF1F65"/>
    <w:rsid w:val="00DF244C"/>
    <w:rsid w:val="00DF282F"/>
    <w:rsid w:val="00DF2877"/>
    <w:rsid w:val="00DF2AD0"/>
    <w:rsid w:val="00DF2F72"/>
    <w:rsid w:val="00DF3167"/>
    <w:rsid w:val="00DF3587"/>
    <w:rsid w:val="00DF4816"/>
    <w:rsid w:val="00DF4B52"/>
    <w:rsid w:val="00DF5042"/>
    <w:rsid w:val="00DF5065"/>
    <w:rsid w:val="00DF51C8"/>
    <w:rsid w:val="00DF54B1"/>
    <w:rsid w:val="00DF56B5"/>
    <w:rsid w:val="00DF5CD1"/>
    <w:rsid w:val="00DF5E75"/>
    <w:rsid w:val="00DF5F07"/>
    <w:rsid w:val="00DF61DC"/>
    <w:rsid w:val="00DF628B"/>
    <w:rsid w:val="00DF6679"/>
    <w:rsid w:val="00DF6AD2"/>
    <w:rsid w:val="00DF6C46"/>
    <w:rsid w:val="00DF6DD7"/>
    <w:rsid w:val="00DF6E9F"/>
    <w:rsid w:val="00DF712C"/>
    <w:rsid w:val="00DF757D"/>
    <w:rsid w:val="00DF7702"/>
    <w:rsid w:val="00DF79D1"/>
    <w:rsid w:val="00DF7FD2"/>
    <w:rsid w:val="00E005FC"/>
    <w:rsid w:val="00E00676"/>
    <w:rsid w:val="00E00847"/>
    <w:rsid w:val="00E00ABB"/>
    <w:rsid w:val="00E00B08"/>
    <w:rsid w:val="00E010EA"/>
    <w:rsid w:val="00E01854"/>
    <w:rsid w:val="00E01903"/>
    <w:rsid w:val="00E01DEA"/>
    <w:rsid w:val="00E02011"/>
    <w:rsid w:val="00E0228F"/>
    <w:rsid w:val="00E0235C"/>
    <w:rsid w:val="00E0256F"/>
    <w:rsid w:val="00E030F4"/>
    <w:rsid w:val="00E04484"/>
    <w:rsid w:val="00E049E5"/>
    <w:rsid w:val="00E04FC8"/>
    <w:rsid w:val="00E0539C"/>
    <w:rsid w:val="00E0551B"/>
    <w:rsid w:val="00E05576"/>
    <w:rsid w:val="00E05DCB"/>
    <w:rsid w:val="00E061BC"/>
    <w:rsid w:val="00E063DD"/>
    <w:rsid w:val="00E067FB"/>
    <w:rsid w:val="00E07550"/>
    <w:rsid w:val="00E07A12"/>
    <w:rsid w:val="00E07E70"/>
    <w:rsid w:val="00E10B3C"/>
    <w:rsid w:val="00E110F2"/>
    <w:rsid w:val="00E11171"/>
    <w:rsid w:val="00E11689"/>
    <w:rsid w:val="00E11F71"/>
    <w:rsid w:val="00E126E8"/>
    <w:rsid w:val="00E129C9"/>
    <w:rsid w:val="00E12C04"/>
    <w:rsid w:val="00E13BA7"/>
    <w:rsid w:val="00E146A1"/>
    <w:rsid w:val="00E147DD"/>
    <w:rsid w:val="00E14DAE"/>
    <w:rsid w:val="00E15349"/>
    <w:rsid w:val="00E154B5"/>
    <w:rsid w:val="00E15BBE"/>
    <w:rsid w:val="00E167A3"/>
    <w:rsid w:val="00E16925"/>
    <w:rsid w:val="00E172AA"/>
    <w:rsid w:val="00E174FC"/>
    <w:rsid w:val="00E17824"/>
    <w:rsid w:val="00E17F58"/>
    <w:rsid w:val="00E2015F"/>
    <w:rsid w:val="00E20172"/>
    <w:rsid w:val="00E201ED"/>
    <w:rsid w:val="00E20789"/>
    <w:rsid w:val="00E20AAB"/>
    <w:rsid w:val="00E20D0D"/>
    <w:rsid w:val="00E20DFB"/>
    <w:rsid w:val="00E21173"/>
    <w:rsid w:val="00E212F4"/>
    <w:rsid w:val="00E2147C"/>
    <w:rsid w:val="00E21490"/>
    <w:rsid w:val="00E21816"/>
    <w:rsid w:val="00E21B40"/>
    <w:rsid w:val="00E21E33"/>
    <w:rsid w:val="00E220E5"/>
    <w:rsid w:val="00E2214E"/>
    <w:rsid w:val="00E22627"/>
    <w:rsid w:val="00E22DF0"/>
    <w:rsid w:val="00E232FE"/>
    <w:rsid w:val="00E237C9"/>
    <w:rsid w:val="00E23CFB"/>
    <w:rsid w:val="00E23E57"/>
    <w:rsid w:val="00E2417A"/>
    <w:rsid w:val="00E2458F"/>
    <w:rsid w:val="00E24DAB"/>
    <w:rsid w:val="00E253F0"/>
    <w:rsid w:val="00E25508"/>
    <w:rsid w:val="00E25CC9"/>
    <w:rsid w:val="00E264DA"/>
    <w:rsid w:val="00E26662"/>
    <w:rsid w:val="00E268DE"/>
    <w:rsid w:val="00E2692E"/>
    <w:rsid w:val="00E27191"/>
    <w:rsid w:val="00E27223"/>
    <w:rsid w:val="00E27474"/>
    <w:rsid w:val="00E276F1"/>
    <w:rsid w:val="00E27BAB"/>
    <w:rsid w:val="00E27BAD"/>
    <w:rsid w:val="00E27E07"/>
    <w:rsid w:val="00E300CD"/>
    <w:rsid w:val="00E3023B"/>
    <w:rsid w:val="00E31354"/>
    <w:rsid w:val="00E314D8"/>
    <w:rsid w:val="00E31D40"/>
    <w:rsid w:val="00E31D52"/>
    <w:rsid w:val="00E32143"/>
    <w:rsid w:val="00E32684"/>
    <w:rsid w:val="00E328D1"/>
    <w:rsid w:val="00E32D61"/>
    <w:rsid w:val="00E32E0A"/>
    <w:rsid w:val="00E331D3"/>
    <w:rsid w:val="00E332CB"/>
    <w:rsid w:val="00E33355"/>
    <w:rsid w:val="00E333B0"/>
    <w:rsid w:val="00E33714"/>
    <w:rsid w:val="00E33738"/>
    <w:rsid w:val="00E33AF9"/>
    <w:rsid w:val="00E34A3F"/>
    <w:rsid w:val="00E34B50"/>
    <w:rsid w:val="00E3534B"/>
    <w:rsid w:val="00E354A4"/>
    <w:rsid w:val="00E35529"/>
    <w:rsid w:val="00E3559B"/>
    <w:rsid w:val="00E3622D"/>
    <w:rsid w:val="00E36545"/>
    <w:rsid w:val="00E37271"/>
    <w:rsid w:val="00E3727D"/>
    <w:rsid w:val="00E3746D"/>
    <w:rsid w:val="00E37A12"/>
    <w:rsid w:val="00E37E00"/>
    <w:rsid w:val="00E406E9"/>
    <w:rsid w:val="00E40A5D"/>
    <w:rsid w:val="00E426B8"/>
    <w:rsid w:val="00E42D1E"/>
    <w:rsid w:val="00E43A8D"/>
    <w:rsid w:val="00E43EAE"/>
    <w:rsid w:val="00E442D2"/>
    <w:rsid w:val="00E45046"/>
    <w:rsid w:val="00E450F5"/>
    <w:rsid w:val="00E46197"/>
    <w:rsid w:val="00E462B0"/>
    <w:rsid w:val="00E4676E"/>
    <w:rsid w:val="00E46E3D"/>
    <w:rsid w:val="00E4706B"/>
    <w:rsid w:val="00E47829"/>
    <w:rsid w:val="00E47946"/>
    <w:rsid w:val="00E502B9"/>
    <w:rsid w:val="00E502F4"/>
    <w:rsid w:val="00E50477"/>
    <w:rsid w:val="00E507C2"/>
    <w:rsid w:val="00E508B4"/>
    <w:rsid w:val="00E50A99"/>
    <w:rsid w:val="00E50DC4"/>
    <w:rsid w:val="00E50E7A"/>
    <w:rsid w:val="00E510B7"/>
    <w:rsid w:val="00E51371"/>
    <w:rsid w:val="00E51779"/>
    <w:rsid w:val="00E51B20"/>
    <w:rsid w:val="00E521C1"/>
    <w:rsid w:val="00E522B1"/>
    <w:rsid w:val="00E52357"/>
    <w:rsid w:val="00E52D84"/>
    <w:rsid w:val="00E52E25"/>
    <w:rsid w:val="00E52F03"/>
    <w:rsid w:val="00E5369D"/>
    <w:rsid w:val="00E538C0"/>
    <w:rsid w:val="00E53D76"/>
    <w:rsid w:val="00E53FA9"/>
    <w:rsid w:val="00E54B17"/>
    <w:rsid w:val="00E55658"/>
    <w:rsid w:val="00E557BE"/>
    <w:rsid w:val="00E558E4"/>
    <w:rsid w:val="00E5604F"/>
    <w:rsid w:val="00E5615D"/>
    <w:rsid w:val="00E563B1"/>
    <w:rsid w:val="00E56464"/>
    <w:rsid w:val="00E56C39"/>
    <w:rsid w:val="00E56DF8"/>
    <w:rsid w:val="00E56E45"/>
    <w:rsid w:val="00E571AD"/>
    <w:rsid w:val="00E5744A"/>
    <w:rsid w:val="00E5761C"/>
    <w:rsid w:val="00E5784A"/>
    <w:rsid w:val="00E57EA7"/>
    <w:rsid w:val="00E6013A"/>
    <w:rsid w:val="00E6033A"/>
    <w:rsid w:val="00E6044D"/>
    <w:rsid w:val="00E6095F"/>
    <w:rsid w:val="00E60AB7"/>
    <w:rsid w:val="00E6194A"/>
    <w:rsid w:val="00E61A66"/>
    <w:rsid w:val="00E61EB7"/>
    <w:rsid w:val="00E62106"/>
    <w:rsid w:val="00E6218B"/>
    <w:rsid w:val="00E626B5"/>
    <w:rsid w:val="00E6325E"/>
    <w:rsid w:val="00E63682"/>
    <w:rsid w:val="00E639CE"/>
    <w:rsid w:val="00E63A41"/>
    <w:rsid w:val="00E63DAB"/>
    <w:rsid w:val="00E63F9F"/>
    <w:rsid w:val="00E645D4"/>
    <w:rsid w:val="00E64F18"/>
    <w:rsid w:val="00E65472"/>
    <w:rsid w:val="00E65762"/>
    <w:rsid w:val="00E6598E"/>
    <w:rsid w:val="00E65D7E"/>
    <w:rsid w:val="00E67138"/>
    <w:rsid w:val="00E67335"/>
    <w:rsid w:val="00E673E3"/>
    <w:rsid w:val="00E676F8"/>
    <w:rsid w:val="00E67E7E"/>
    <w:rsid w:val="00E7008F"/>
    <w:rsid w:val="00E706E6"/>
    <w:rsid w:val="00E7072A"/>
    <w:rsid w:val="00E7082B"/>
    <w:rsid w:val="00E70A2F"/>
    <w:rsid w:val="00E70C6E"/>
    <w:rsid w:val="00E710BA"/>
    <w:rsid w:val="00E71C51"/>
    <w:rsid w:val="00E71F3F"/>
    <w:rsid w:val="00E722E1"/>
    <w:rsid w:val="00E725EA"/>
    <w:rsid w:val="00E72810"/>
    <w:rsid w:val="00E72D0B"/>
    <w:rsid w:val="00E73006"/>
    <w:rsid w:val="00E73477"/>
    <w:rsid w:val="00E73ED9"/>
    <w:rsid w:val="00E73F55"/>
    <w:rsid w:val="00E74CAC"/>
    <w:rsid w:val="00E74D7E"/>
    <w:rsid w:val="00E74DC9"/>
    <w:rsid w:val="00E750B3"/>
    <w:rsid w:val="00E750E5"/>
    <w:rsid w:val="00E7543E"/>
    <w:rsid w:val="00E767F2"/>
    <w:rsid w:val="00E76D2E"/>
    <w:rsid w:val="00E77334"/>
    <w:rsid w:val="00E7736D"/>
    <w:rsid w:val="00E776C5"/>
    <w:rsid w:val="00E77C22"/>
    <w:rsid w:val="00E8014C"/>
    <w:rsid w:val="00E8078F"/>
    <w:rsid w:val="00E80A83"/>
    <w:rsid w:val="00E81D9F"/>
    <w:rsid w:val="00E81FAC"/>
    <w:rsid w:val="00E81FD8"/>
    <w:rsid w:val="00E82611"/>
    <w:rsid w:val="00E82616"/>
    <w:rsid w:val="00E8270A"/>
    <w:rsid w:val="00E82871"/>
    <w:rsid w:val="00E82895"/>
    <w:rsid w:val="00E82A59"/>
    <w:rsid w:val="00E82A86"/>
    <w:rsid w:val="00E82F07"/>
    <w:rsid w:val="00E833E3"/>
    <w:rsid w:val="00E83629"/>
    <w:rsid w:val="00E83AC3"/>
    <w:rsid w:val="00E83F4C"/>
    <w:rsid w:val="00E84139"/>
    <w:rsid w:val="00E84504"/>
    <w:rsid w:val="00E84558"/>
    <w:rsid w:val="00E8462C"/>
    <w:rsid w:val="00E85359"/>
    <w:rsid w:val="00E85CF7"/>
    <w:rsid w:val="00E862CA"/>
    <w:rsid w:val="00E866A5"/>
    <w:rsid w:val="00E8698D"/>
    <w:rsid w:val="00E8706A"/>
    <w:rsid w:val="00E87406"/>
    <w:rsid w:val="00E8757C"/>
    <w:rsid w:val="00E8764A"/>
    <w:rsid w:val="00E876C0"/>
    <w:rsid w:val="00E909CF"/>
    <w:rsid w:val="00E9129C"/>
    <w:rsid w:val="00E9136A"/>
    <w:rsid w:val="00E91557"/>
    <w:rsid w:val="00E91585"/>
    <w:rsid w:val="00E915D6"/>
    <w:rsid w:val="00E917D0"/>
    <w:rsid w:val="00E920D4"/>
    <w:rsid w:val="00E925F8"/>
    <w:rsid w:val="00E927DD"/>
    <w:rsid w:val="00E92A8B"/>
    <w:rsid w:val="00E93016"/>
    <w:rsid w:val="00E9306B"/>
    <w:rsid w:val="00E931A5"/>
    <w:rsid w:val="00E9520E"/>
    <w:rsid w:val="00E95464"/>
    <w:rsid w:val="00E95CDE"/>
    <w:rsid w:val="00E95E92"/>
    <w:rsid w:val="00E95EC4"/>
    <w:rsid w:val="00E96481"/>
    <w:rsid w:val="00E9660D"/>
    <w:rsid w:val="00E96723"/>
    <w:rsid w:val="00E96F82"/>
    <w:rsid w:val="00E9700A"/>
    <w:rsid w:val="00E970C5"/>
    <w:rsid w:val="00E97541"/>
    <w:rsid w:val="00E97683"/>
    <w:rsid w:val="00E97CA0"/>
    <w:rsid w:val="00EA01B7"/>
    <w:rsid w:val="00EA0AFB"/>
    <w:rsid w:val="00EA103F"/>
    <w:rsid w:val="00EA154B"/>
    <w:rsid w:val="00EA259A"/>
    <w:rsid w:val="00EA2A0D"/>
    <w:rsid w:val="00EA2B79"/>
    <w:rsid w:val="00EA33CF"/>
    <w:rsid w:val="00EA340F"/>
    <w:rsid w:val="00EA4247"/>
    <w:rsid w:val="00EA4583"/>
    <w:rsid w:val="00EA45BA"/>
    <w:rsid w:val="00EA4A06"/>
    <w:rsid w:val="00EA4A63"/>
    <w:rsid w:val="00EA4D28"/>
    <w:rsid w:val="00EA5407"/>
    <w:rsid w:val="00EA5436"/>
    <w:rsid w:val="00EA55BD"/>
    <w:rsid w:val="00EA57F6"/>
    <w:rsid w:val="00EA580E"/>
    <w:rsid w:val="00EA5E46"/>
    <w:rsid w:val="00EA6352"/>
    <w:rsid w:val="00EA6B32"/>
    <w:rsid w:val="00EA6D21"/>
    <w:rsid w:val="00EA706A"/>
    <w:rsid w:val="00EA7276"/>
    <w:rsid w:val="00EA7396"/>
    <w:rsid w:val="00EA761C"/>
    <w:rsid w:val="00EA7819"/>
    <w:rsid w:val="00EA796B"/>
    <w:rsid w:val="00EA79E5"/>
    <w:rsid w:val="00EB0732"/>
    <w:rsid w:val="00EB0EC8"/>
    <w:rsid w:val="00EB1197"/>
    <w:rsid w:val="00EB1335"/>
    <w:rsid w:val="00EB148F"/>
    <w:rsid w:val="00EB18C8"/>
    <w:rsid w:val="00EB2041"/>
    <w:rsid w:val="00EB2CF2"/>
    <w:rsid w:val="00EB2F0E"/>
    <w:rsid w:val="00EB3572"/>
    <w:rsid w:val="00EB3B91"/>
    <w:rsid w:val="00EB49DF"/>
    <w:rsid w:val="00EB56A2"/>
    <w:rsid w:val="00EB5986"/>
    <w:rsid w:val="00EB5B30"/>
    <w:rsid w:val="00EB5D46"/>
    <w:rsid w:val="00EB5FE5"/>
    <w:rsid w:val="00EB608A"/>
    <w:rsid w:val="00EB66BB"/>
    <w:rsid w:val="00EB6A76"/>
    <w:rsid w:val="00EB6F1E"/>
    <w:rsid w:val="00EB6FFC"/>
    <w:rsid w:val="00EB72E1"/>
    <w:rsid w:val="00EB741D"/>
    <w:rsid w:val="00EB784B"/>
    <w:rsid w:val="00EB7D82"/>
    <w:rsid w:val="00EC005A"/>
    <w:rsid w:val="00EC01F8"/>
    <w:rsid w:val="00EC0847"/>
    <w:rsid w:val="00EC0B10"/>
    <w:rsid w:val="00EC0C5F"/>
    <w:rsid w:val="00EC121A"/>
    <w:rsid w:val="00EC19F3"/>
    <w:rsid w:val="00EC232E"/>
    <w:rsid w:val="00EC271E"/>
    <w:rsid w:val="00EC32BD"/>
    <w:rsid w:val="00EC3B51"/>
    <w:rsid w:val="00EC3E7C"/>
    <w:rsid w:val="00EC432A"/>
    <w:rsid w:val="00EC43BB"/>
    <w:rsid w:val="00EC44C8"/>
    <w:rsid w:val="00EC4BA1"/>
    <w:rsid w:val="00EC4BA8"/>
    <w:rsid w:val="00EC4FC2"/>
    <w:rsid w:val="00EC6893"/>
    <w:rsid w:val="00EC6A2E"/>
    <w:rsid w:val="00EC6B8A"/>
    <w:rsid w:val="00EC6F68"/>
    <w:rsid w:val="00EC7EA2"/>
    <w:rsid w:val="00EC7FD6"/>
    <w:rsid w:val="00ED0091"/>
    <w:rsid w:val="00ED0778"/>
    <w:rsid w:val="00ED07D4"/>
    <w:rsid w:val="00ED0ABB"/>
    <w:rsid w:val="00ED16FC"/>
    <w:rsid w:val="00ED192E"/>
    <w:rsid w:val="00ED1C36"/>
    <w:rsid w:val="00ED27EC"/>
    <w:rsid w:val="00ED28AE"/>
    <w:rsid w:val="00ED2A2B"/>
    <w:rsid w:val="00ED2ADD"/>
    <w:rsid w:val="00ED3467"/>
    <w:rsid w:val="00ED3764"/>
    <w:rsid w:val="00ED3769"/>
    <w:rsid w:val="00ED3ECB"/>
    <w:rsid w:val="00ED4185"/>
    <w:rsid w:val="00ED4578"/>
    <w:rsid w:val="00ED46D7"/>
    <w:rsid w:val="00ED4C1C"/>
    <w:rsid w:val="00ED4E99"/>
    <w:rsid w:val="00ED58CD"/>
    <w:rsid w:val="00ED5BE4"/>
    <w:rsid w:val="00ED5C99"/>
    <w:rsid w:val="00ED5D60"/>
    <w:rsid w:val="00ED5FDA"/>
    <w:rsid w:val="00ED6010"/>
    <w:rsid w:val="00ED62A9"/>
    <w:rsid w:val="00ED6862"/>
    <w:rsid w:val="00ED7674"/>
    <w:rsid w:val="00ED7812"/>
    <w:rsid w:val="00ED795C"/>
    <w:rsid w:val="00ED7C64"/>
    <w:rsid w:val="00EE074C"/>
    <w:rsid w:val="00EE11D9"/>
    <w:rsid w:val="00EE15ED"/>
    <w:rsid w:val="00EE1A6F"/>
    <w:rsid w:val="00EE2180"/>
    <w:rsid w:val="00EE2317"/>
    <w:rsid w:val="00EE2555"/>
    <w:rsid w:val="00EE29B8"/>
    <w:rsid w:val="00EE34A8"/>
    <w:rsid w:val="00EE34ED"/>
    <w:rsid w:val="00EE3570"/>
    <w:rsid w:val="00EE3B8F"/>
    <w:rsid w:val="00EE3EF0"/>
    <w:rsid w:val="00EE4989"/>
    <w:rsid w:val="00EE50A8"/>
    <w:rsid w:val="00EE5308"/>
    <w:rsid w:val="00EE5539"/>
    <w:rsid w:val="00EE5673"/>
    <w:rsid w:val="00EE5B29"/>
    <w:rsid w:val="00EE5E7B"/>
    <w:rsid w:val="00EE68FF"/>
    <w:rsid w:val="00EE69FE"/>
    <w:rsid w:val="00EE6D85"/>
    <w:rsid w:val="00EE722E"/>
    <w:rsid w:val="00EE72EA"/>
    <w:rsid w:val="00EE7824"/>
    <w:rsid w:val="00EE78A1"/>
    <w:rsid w:val="00EE7D19"/>
    <w:rsid w:val="00EF06D9"/>
    <w:rsid w:val="00EF0971"/>
    <w:rsid w:val="00EF0D97"/>
    <w:rsid w:val="00EF0FA2"/>
    <w:rsid w:val="00EF2366"/>
    <w:rsid w:val="00EF23BA"/>
    <w:rsid w:val="00EF2D79"/>
    <w:rsid w:val="00EF2F74"/>
    <w:rsid w:val="00EF3297"/>
    <w:rsid w:val="00EF34E3"/>
    <w:rsid w:val="00EF3543"/>
    <w:rsid w:val="00EF35AD"/>
    <w:rsid w:val="00EF3BE3"/>
    <w:rsid w:val="00EF435A"/>
    <w:rsid w:val="00EF44E5"/>
    <w:rsid w:val="00EF453D"/>
    <w:rsid w:val="00EF462D"/>
    <w:rsid w:val="00EF4681"/>
    <w:rsid w:val="00EF4857"/>
    <w:rsid w:val="00EF4D48"/>
    <w:rsid w:val="00EF5057"/>
    <w:rsid w:val="00EF54A8"/>
    <w:rsid w:val="00EF5628"/>
    <w:rsid w:val="00EF5779"/>
    <w:rsid w:val="00EF5BAB"/>
    <w:rsid w:val="00EF5E2D"/>
    <w:rsid w:val="00EF675E"/>
    <w:rsid w:val="00EF6BFD"/>
    <w:rsid w:val="00EF72D2"/>
    <w:rsid w:val="00EF7463"/>
    <w:rsid w:val="00EF7A11"/>
    <w:rsid w:val="00EF7C46"/>
    <w:rsid w:val="00F00269"/>
    <w:rsid w:val="00F0043D"/>
    <w:rsid w:val="00F005DF"/>
    <w:rsid w:val="00F00B20"/>
    <w:rsid w:val="00F00DE3"/>
    <w:rsid w:val="00F013A6"/>
    <w:rsid w:val="00F01673"/>
    <w:rsid w:val="00F01710"/>
    <w:rsid w:val="00F01B3B"/>
    <w:rsid w:val="00F02076"/>
    <w:rsid w:val="00F0241A"/>
    <w:rsid w:val="00F02BBF"/>
    <w:rsid w:val="00F02CE0"/>
    <w:rsid w:val="00F02ED6"/>
    <w:rsid w:val="00F03086"/>
    <w:rsid w:val="00F03858"/>
    <w:rsid w:val="00F03B7B"/>
    <w:rsid w:val="00F03C46"/>
    <w:rsid w:val="00F03E95"/>
    <w:rsid w:val="00F04750"/>
    <w:rsid w:val="00F04EFC"/>
    <w:rsid w:val="00F05B01"/>
    <w:rsid w:val="00F061D6"/>
    <w:rsid w:val="00F06636"/>
    <w:rsid w:val="00F0739E"/>
    <w:rsid w:val="00F075B7"/>
    <w:rsid w:val="00F07AB2"/>
    <w:rsid w:val="00F07D39"/>
    <w:rsid w:val="00F10080"/>
    <w:rsid w:val="00F10F7A"/>
    <w:rsid w:val="00F11D64"/>
    <w:rsid w:val="00F11D66"/>
    <w:rsid w:val="00F12FFF"/>
    <w:rsid w:val="00F1301B"/>
    <w:rsid w:val="00F1312D"/>
    <w:rsid w:val="00F13810"/>
    <w:rsid w:val="00F138F7"/>
    <w:rsid w:val="00F13D18"/>
    <w:rsid w:val="00F13F8D"/>
    <w:rsid w:val="00F13FAC"/>
    <w:rsid w:val="00F1437D"/>
    <w:rsid w:val="00F145CF"/>
    <w:rsid w:val="00F1465E"/>
    <w:rsid w:val="00F14B5F"/>
    <w:rsid w:val="00F14F6E"/>
    <w:rsid w:val="00F1569F"/>
    <w:rsid w:val="00F1588A"/>
    <w:rsid w:val="00F15E73"/>
    <w:rsid w:val="00F1632C"/>
    <w:rsid w:val="00F1648D"/>
    <w:rsid w:val="00F16AC4"/>
    <w:rsid w:val="00F16AD0"/>
    <w:rsid w:val="00F16E98"/>
    <w:rsid w:val="00F17B13"/>
    <w:rsid w:val="00F17EA3"/>
    <w:rsid w:val="00F20181"/>
    <w:rsid w:val="00F203A2"/>
    <w:rsid w:val="00F20467"/>
    <w:rsid w:val="00F2068F"/>
    <w:rsid w:val="00F20B78"/>
    <w:rsid w:val="00F21070"/>
    <w:rsid w:val="00F211F7"/>
    <w:rsid w:val="00F21285"/>
    <w:rsid w:val="00F21338"/>
    <w:rsid w:val="00F213AD"/>
    <w:rsid w:val="00F214BB"/>
    <w:rsid w:val="00F214DB"/>
    <w:rsid w:val="00F2152D"/>
    <w:rsid w:val="00F21E5C"/>
    <w:rsid w:val="00F228F0"/>
    <w:rsid w:val="00F23042"/>
    <w:rsid w:val="00F231F7"/>
    <w:rsid w:val="00F234C8"/>
    <w:rsid w:val="00F23D44"/>
    <w:rsid w:val="00F23E74"/>
    <w:rsid w:val="00F248C8"/>
    <w:rsid w:val="00F249D0"/>
    <w:rsid w:val="00F24E65"/>
    <w:rsid w:val="00F257AB"/>
    <w:rsid w:val="00F26872"/>
    <w:rsid w:val="00F26AF2"/>
    <w:rsid w:val="00F26FC6"/>
    <w:rsid w:val="00F273DE"/>
    <w:rsid w:val="00F2753C"/>
    <w:rsid w:val="00F2763D"/>
    <w:rsid w:val="00F27C69"/>
    <w:rsid w:val="00F30397"/>
    <w:rsid w:val="00F3079C"/>
    <w:rsid w:val="00F30E8E"/>
    <w:rsid w:val="00F310F2"/>
    <w:rsid w:val="00F31120"/>
    <w:rsid w:val="00F31369"/>
    <w:rsid w:val="00F3166F"/>
    <w:rsid w:val="00F31BBF"/>
    <w:rsid w:val="00F320B9"/>
    <w:rsid w:val="00F320BF"/>
    <w:rsid w:val="00F3218F"/>
    <w:rsid w:val="00F32F60"/>
    <w:rsid w:val="00F3312F"/>
    <w:rsid w:val="00F332B9"/>
    <w:rsid w:val="00F33835"/>
    <w:rsid w:val="00F33AEE"/>
    <w:rsid w:val="00F33E6D"/>
    <w:rsid w:val="00F33F4C"/>
    <w:rsid w:val="00F34086"/>
    <w:rsid w:val="00F34E59"/>
    <w:rsid w:val="00F35479"/>
    <w:rsid w:val="00F358AC"/>
    <w:rsid w:val="00F35951"/>
    <w:rsid w:val="00F35AEA"/>
    <w:rsid w:val="00F35BA2"/>
    <w:rsid w:val="00F35D12"/>
    <w:rsid w:val="00F35DEE"/>
    <w:rsid w:val="00F366F8"/>
    <w:rsid w:val="00F36740"/>
    <w:rsid w:val="00F36B2F"/>
    <w:rsid w:val="00F37371"/>
    <w:rsid w:val="00F375C9"/>
    <w:rsid w:val="00F37669"/>
    <w:rsid w:val="00F37939"/>
    <w:rsid w:val="00F379EA"/>
    <w:rsid w:val="00F37E9C"/>
    <w:rsid w:val="00F401A7"/>
    <w:rsid w:val="00F418B2"/>
    <w:rsid w:val="00F41B35"/>
    <w:rsid w:val="00F420B5"/>
    <w:rsid w:val="00F4212E"/>
    <w:rsid w:val="00F4220E"/>
    <w:rsid w:val="00F4264F"/>
    <w:rsid w:val="00F42889"/>
    <w:rsid w:val="00F42898"/>
    <w:rsid w:val="00F42C49"/>
    <w:rsid w:val="00F43AC3"/>
    <w:rsid w:val="00F43BD0"/>
    <w:rsid w:val="00F4430B"/>
    <w:rsid w:val="00F44470"/>
    <w:rsid w:val="00F44D9D"/>
    <w:rsid w:val="00F44FAF"/>
    <w:rsid w:val="00F453B0"/>
    <w:rsid w:val="00F45662"/>
    <w:rsid w:val="00F45CB5"/>
    <w:rsid w:val="00F45F94"/>
    <w:rsid w:val="00F46B90"/>
    <w:rsid w:val="00F46CF3"/>
    <w:rsid w:val="00F46EC7"/>
    <w:rsid w:val="00F47608"/>
    <w:rsid w:val="00F5022B"/>
    <w:rsid w:val="00F50682"/>
    <w:rsid w:val="00F506C3"/>
    <w:rsid w:val="00F51255"/>
    <w:rsid w:val="00F51823"/>
    <w:rsid w:val="00F51A13"/>
    <w:rsid w:val="00F51F3A"/>
    <w:rsid w:val="00F52245"/>
    <w:rsid w:val="00F5264B"/>
    <w:rsid w:val="00F529E7"/>
    <w:rsid w:val="00F52D87"/>
    <w:rsid w:val="00F534E3"/>
    <w:rsid w:val="00F53AA5"/>
    <w:rsid w:val="00F540D5"/>
    <w:rsid w:val="00F54276"/>
    <w:rsid w:val="00F54342"/>
    <w:rsid w:val="00F5436E"/>
    <w:rsid w:val="00F545EF"/>
    <w:rsid w:val="00F547EF"/>
    <w:rsid w:val="00F54A16"/>
    <w:rsid w:val="00F55CCD"/>
    <w:rsid w:val="00F55F13"/>
    <w:rsid w:val="00F56039"/>
    <w:rsid w:val="00F562EF"/>
    <w:rsid w:val="00F56D75"/>
    <w:rsid w:val="00F56EAE"/>
    <w:rsid w:val="00F56F6D"/>
    <w:rsid w:val="00F57642"/>
    <w:rsid w:val="00F5767A"/>
    <w:rsid w:val="00F57A3E"/>
    <w:rsid w:val="00F57F88"/>
    <w:rsid w:val="00F602E8"/>
    <w:rsid w:val="00F603F0"/>
    <w:rsid w:val="00F6059F"/>
    <w:rsid w:val="00F60BA8"/>
    <w:rsid w:val="00F60F0E"/>
    <w:rsid w:val="00F61088"/>
    <w:rsid w:val="00F61103"/>
    <w:rsid w:val="00F61541"/>
    <w:rsid w:val="00F6197D"/>
    <w:rsid w:val="00F6250E"/>
    <w:rsid w:val="00F62614"/>
    <w:rsid w:val="00F62700"/>
    <w:rsid w:val="00F629B2"/>
    <w:rsid w:val="00F62CA4"/>
    <w:rsid w:val="00F637C1"/>
    <w:rsid w:val="00F639C3"/>
    <w:rsid w:val="00F63CB1"/>
    <w:rsid w:val="00F63F9B"/>
    <w:rsid w:val="00F6409E"/>
    <w:rsid w:val="00F641FA"/>
    <w:rsid w:val="00F649C0"/>
    <w:rsid w:val="00F64DF6"/>
    <w:rsid w:val="00F64F91"/>
    <w:rsid w:val="00F64FA4"/>
    <w:rsid w:val="00F65403"/>
    <w:rsid w:val="00F657A7"/>
    <w:rsid w:val="00F65947"/>
    <w:rsid w:val="00F65C48"/>
    <w:rsid w:val="00F65C6F"/>
    <w:rsid w:val="00F65DCC"/>
    <w:rsid w:val="00F65E77"/>
    <w:rsid w:val="00F66136"/>
    <w:rsid w:val="00F663B4"/>
    <w:rsid w:val="00F66718"/>
    <w:rsid w:val="00F66A49"/>
    <w:rsid w:val="00F66C15"/>
    <w:rsid w:val="00F6712B"/>
    <w:rsid w:val="00F6747D"/>
    <w:rsid w:val="00F67F24"/>
    <w:rsid w:val="00F7090A"/>
    <w:rsid w:val="00F70A31"/>
    <w:rsid w:val="00F70BA5"/>
    <w:rsid w:val="00F71022"/>
    <w:rsid w:val="00F711F6"/>
    <w:rsid w:val="00F712F5"/>
    <w:rsid w:val="00F7178F"/>
    <w:rsid w:val="00F71B7C"/>
    <w:rsid w:val="00F71C32"/>
    <w:rsid w:val="00F71D13"/>
    <w:rsid w:val="00F724F0"/>
    <w:rsid w:val="00F72C7D"/>
    <w:rsid w:val="00F72EBA"/>
    <w:rsid w:val="00F732B3"/>
    <w:rsid w:val="00F73353"/>
    <w:rsid w:val="00F733C0"/>
    <w:rsid w:val="00F7352F"/>
    <w:rsid w:val="00F738AB"/>
    <w:rsid w:val="00F73946"/>
    <w:rsid w:val="00F74291"/>
    <w:rsid w:val="00F745F9"/>
    <w:rsid w:val="00F748BE"/>
    <w:rsid w:val="00F74925"/>
    <w:rsid w:val="00F753D7"/>
    <w:rsid w:val="00F75BC0"/>
    <w:rsid w:val="00F75C2A"/>
    <w:rsid w:val="00F75FC8"/>
    <w:rsid w:val="00F761C2"/>
    <w:rsid w:val="00F76331"/>
    <w:rsid w:val="00F767C1"/>
    <w:rsid w:val="00F768C7"/>
    <w:rsid w:val="00F76A89"/>
    <w:rsid w:val="00F76DC6"/>
    <w:rsid w:val="00F770B9"/>
    <w:rsid w:val="00F772CE"/>
    <w:rsid w:val="00F7755D"/>
    <w:rsid w:val="00F77C6A"/>
    <w:rsid w:val="00F77E81"/>
    <w:rsid w:val="00F8000F"/>
    <w:rsid w:val="00F80093"/>
    <w:rsid w:val="00F802D3"/>
    <w:rsid w:val="00F80584"/>
    <w:rsid w:val="00F80D54"/>
    <w:rsid w:val="00F8112C"/>
    <w:rsid w:val="00F816F9"/>
    <w:rsid w:val="00F817A6"/>
    <w:rsid w:val="00F8189B"/>
    <w:rsid w:val="00F81AD0"/>
    <w:rsid w:val="00F81E9F"/>
    <w:rsid w:val="00F82CBF"/>
    <w:rsid w:val="00F82D92"/>
    <w:rsid w:val="00F8319B"/>
    <w:rsid w:val="00F832B2"/>
    <w:rsid w:val="00F835DA"/>
    <w:rsid w:val="00F83794"/>
    <w:rsid w:val="00F838A8"/>
    <w:rsid w:val="00F83939"/>
    <w:rsid w:val="00F83C52"/>
    <w:rsid w:val="00F83DDC"/>
    <w:rsid w:val="00F8416E"/>
    <w:rsid w:val="00F844BA"/>
    <w:rsid w:val="00F84937"/>
    <w:rsid w:val="00F84A0F"/>
    <w:rsid w:val="00F84FC2"/>
    <w:rsid w:val="00F84FF5"/>
    <w:rsid w:val="00F852F0"/>
    <w:rsid w:val="00F856D9"/>
    <w:rsid w:val="00F85771"/>
    <w:rsid w:val="00F85FBF"/>
    <w:rsid w:val="00F8654C"/>
    <w:rsid w:val="00F86750"/>
    <w:rsid w:val="00F868B6"/>
    <w:rsid w:val="00F869B3"/>
    <w:rsid w:val="00F86F84"/>
    <w:rsid w:val="00F87085"/>
    <w:rsid w:val="00F8743E"/>
    <w:rsid w:val="00F8786E"/>
    <w:rsid w:val="00F87FC5"/>
    <w:rsid w:val="00F90484"/>
    <w:rsid w:val="00F90E0E"/>
    <w:rsid w:val="00F90F27"/>
    <w:rsid w:val="00F9106D"/>
    <w:rsid w:val="00F91642"/>
    <w:rsid w:val="00F916DD"/>
    <w:rsid w:val="00F9187A"/>
    <w:rsid w:val="00F918A9"/>
    <w:rsid w:val="00F91A59"/>
    <w:rsid w:val="00F91F33"/>
    <w:rsid w:val="00F932C9"/>
    <w:rsid w:val="00F93340"/>
    <w:rsid w:val="00F9382C"/>
    <w:rsid w:val="00F93D09"/>
    <w:rsid w:val="00F93DD7"/>
    <w:rsid w:val="00F946A8"/>
    <w:rsid w:val="00F94B87"/>
    <w:rsid w:val="00F94CAE"/>
    <w:rsid w:val="00F9524A"/>
    <w:rsid w:val="00F956C2"/>
    <w:rsid w:val="00F96125"/>
    <w:rsid w:val="00F961AD"/>
    <w:rsid w:val="00F963BA"/>
    <w:rsid w:val="00F965C8"/>
    <w:rsid w:val="00F9669B"/>
    <w:rsid w:val="00F97714"/>
    <w:rsid w:val="00F97813"/>
    <w:rsid w:val="00F97B59"/>
    <w:rsid w:val="00F97DCC"/>
    <w:rsid w:val="00F97F22"/>
    <w:rsid w:val="00FA0916"/>
    <w:rsid w:val="00FA0954"/>
    <w:rsid w:val="00FA0B02"/>
    <w:rsid w:val="00FA0B4A"/>
    <w:rsid w:val="00FA0C01"/>
    <w:rsid w:val="00FA0D88"/>
    <w:rsid w:val="00FA1421"/>
    <w:rsid w:val="00FA14A2"/>
    <w:rsid w:val="00FA1711"/>
    <w:rsid w:val="00FA1715"/>
    <w:rsid w:val="00FA20A6"/>
    <w:rsid w:val="00FA2575"/>
    <w:rsid w:val="00FA260A"/>
    <w:rsid w:val="00FA27F6"/>
    <w:rsid w:val="00FA2BC5"/>
    <w:rsid w:val="00FA2D14"/>
    <w:rsid w:val="00FA3DC0"/>
    <w:rsid w:val="00FA3F7D"/>
    <w:rsid w:val="00FA40AD"/>
    <w:rsid w:val="00FA43FD"/>
    <w:rsid w:val="00FA4625"/>
    <w:rsid w:val="00FA4B8C"/>
    <w:rsid w:val="00FA5110"/>
    <w:rsid w:val="00FA515E"/>
    <w:rsid w:val="00FA516A"/>
    <w:rsid w:val="00FA5504"/>
    <w:rsid w:val="00FA57A7"/>
    <w:rsid w:val="00FA5F94"/>
    <w:rsid w:val="00FA61A0"/>
    <w:rsid w:val="00FA630D"/>
    <w:rsid w:val="00FA630F"/>
    <w:rsid w:val="00FA65E0"/>
    <w:rsid w:val="00FA6A48"/>
    <w:rsid w:val="00FA6E56"/>
    <w:rsid w:val="00FA6F8A"/>
    <w:rsid w:val="00FA7127"/>
    <w:rsid w:val="00FA72BA"/>
    <w:rsid w:val="00FA7A5E"/>
    <w:rsid w:val="00FB00BD"/>
    <w:rsid w:val="00FB00E7"/>
    <w:rsid w:val="00FB03CB"/>
    <w:rsid w:val="00FB0639"/>
    <w:rsid w:val="00FB0A36"/>
    <w:rsid w:val="00FB0C7C"/>
    <w:rsid w:val="00FB1337"/>
    <w:rsid w:val="00FB134C"/>
    <w:rsid w:val="00FB138C"/>
    <w:rsid w:val="00FB13DF"/>
    <w:rsid w:val="00FB17DD"/>
    <w:rsid w:val="00FB1E15"/>
    <w:rsid w:val="00FB1E17"/>
    <w:rsid w:val="00FB219D"/>
    <w:rsid w:val="00FB2303"/>
    <w:rsid w:val="00FB2758"/>
    <w:rsid w:val="00FB2891"/>
    <w:rsid w:val="00FB28B2"/>
    <w:rsid w:val="00FB38EB"/>
    <w:rsid w:val="00FB3E12"/>
    <w:rsid w:val="00FB406C"/>
    <w:rsid w:val="00FB452C"/>
    <w:rsid w:val="00FB4702"/>
    <w:rsid w:val="00FB4D07"/>
    <w:rsid w:val="00FB4EAC"/>
    <w:rsid w:val="00FB4F44"/>
    <w:rsid w:val="00FB5695"/>
    <w:rsid w:val="00FB5844"/>
    <w:rsid w:val="00FB5D66"/>
    <w:rsid w:val="00FB63C4"/>
    <w:rsid w:val="00FB64A6"/>
    <w:rsid w:val="00FB6526"/>
    <w:rsid w:val="00FB67C3"/>
    <w:rsid w:val="00FB6E05"/>
    <w:rsid w:val="00FB70D9"/>
    <w:rsid w:val="00FB7363"/>
    <w:rsid w:val="00FB73C5"/>
    <w:rsid w:val="00FB740B"/>
    <w:rsid w:val="00FB74E6"/>
    <w:rsid w:val="00FB7F60"/>
    <w:rsid w:val="00FC03B8"/>
    <w:rsid w:val="00FC044F"/>
    <w:rsid w:val="00FC0AED"/>
    <w:rsid w:val="00FC0C30"/>
    <w:rsid w:val="00FC0E59"/>
    <w:rsid w:val="00FC0EA5"/>
    <w:rsid w:val="00FC0F39"/>
    <w:rsid w:val="00FC186D"/>
    <w:rsid w:val="00FC2597"/>
    <w:rsid w:val="00FC28A4"/>
    <w:rsid w:val="00FC2D51"/>
    <w:rsid w:val="00FC366D"/>
    <w:rsid w:val="00FC38FB"/>
    <w:rsid w:val="00FC3B61"/>
    <w:rsid w:val="00FC3E9A"/>
    <w:rsid w:val="00FC411F"/>
    <w:rsid w:val="00FC45BA"/>
    <w:rsid w:val="00FC4716"/>
    <w:rsid w:val="00FC52BA"/>
    <w:rsid w:val="00FC54A1"/>
    <w:rsid w:val="00FC561E"/>
    <w:rsid w:val="00FC5C1F"/>
    <w:rsid w:val="00FC6331"/>
    <w:rsid w:val="00FC647F"/>
    <w:rsid w:val="00FC64C8"/>
    <w:rsid w:val="00FC67B3"/>
    <w:rsid w:val="00FC6883"/>
    <w:rsid w:val="00FC6A5E"/>
    <w:rsid w:val="00FC6CFB"/>
    <w:rsid w:val="00FC6E13"/>
    <w:rsid w:val="00FC6F77"/>
    <w:rsid w:val="00FC7324"/>
    <w:rsid w:val="00FC76BD"/>
    <w:rsid w:val="00FC7C4D"/>
    <w:rsid w:val="00FC7D72"/>
    <w:rsid w:val="00FC7E57"/>
    <w:rsid w:val="00FC7F9B"/>
    <w:rsid w:val="00FD038D"/>
    <w:rsid w:val="00FD0665"/>
    <w:rsid w:val="00FD0823"/>
    <w:rsid w:val="00FD0B02"/>
    <w:rsid w:val="00FD0B81"/>
    <w:rsid w:val="00FD0CE9"/>
    <w:rsid w:val="00FD129C"/>
    <w:rsid w:val="00FD133E"/>
    <w:rsid w:val="00FD1639"/>
    <w:rsid w:val="00FD181A"/>
    <w:rsid w:val="00FD1C49"/>
    <w:rsid w:val="00FD1D1C"/>
    <w:rsid w:val="00FD21E0"/>
    <w:rsid w:val="00FD2463"/>
    <w:rsid w:val="00FD27F1"/>
    <w:rsid w:val="00FD2A6D"/>
    <w:rsid w:val="00FD2A8A"/>
    <w:rsid w:val="00FD2AA9"/>
    <w:rsid w:val="00FD2E1E"/>
    <w:rsid w:val="00FD3007"/>
    <w:rsid w:val="00FD3A66"/>
    <w:rsid w:val="00FD42A9"/>
    <w:rsid w:val="00FD4406"/>
    <w:rsid w:val="00FD4412"/>
    <w:rsid w:val="00FD4498"/>
    <w:rsid w:val="00FD4D5C"/>
    <w:rsid w:val="00FD556D"/>
    <w:rsid w:val="00FD56B3"/>
    <w:rsid w:val="00FD56DF"/>
    <w:rsid w:val="00FD5A47"/>
    <w:rsid w:val="00FD5AF1"/>
    <w:rsid w:val="00FD5C97"/>
    <w:rsid w:val="00FD5CF5"/>
    <w:rsid w:val="00FD60BF"/>
    <w:rsid w:val="00FD642B"/>
    <w:rsid w:val="00FD64B3"/>
    <w:rsid w:val="00FD65EF"/>
    <w:rsid w:val="00FD67BC"/>
    <w:rsid w:val="00FD6E09"/>
    <w:rsid w:val="00FD6E8D"/>
    <w:rsid w:val="00FD7B73"/>
    <w:rsid w:val="00FD7BF7"/>
    <w:rsid w:val="00FE0137"/>
    <w:rsid w:val="00FE0DA5"/>
    <w:rsid w:val="00FE0E52"/>
    <w:rsid w:val="00FE0F48"/>
    <w:rsid w:val="00FE1A76"/>
    <w:rsid w:val="00FE1E27"/>
    <w:rsid w:val="00FE21E2"/>
    <w:rsid w:val="00FE242C"/>
    <w:rsid w:val="00FE24CA"/>
    <w:rsid w:val="00FE2969"/>
    <w:rsid w:val="00FE2BBE"/>
    <w:rsid w:val="00FE2F0C"/>
    <w:rsid w:val="00FE3A0C"/>
    <w:rsid w:val="00FE3B73"/>
    <w:rsid w:val="00FE3F3C"/>
    <w:rsid w:val="00FE4C54"/>
    <w:rsid w:val="00FE4EF5"/>
    <w:rsid w:val="00FE5512"/>
    <w:rsid w:val="00FE5802"/>
    <w:rsid w:val="00FE582D"/>
    <w:rsid w:val="00FE5E1C"/>
    <w:rsid w:val="00FE5EAF"/>
    <w:rsid w:val="00FE6C64"/>
    <w:rsid w:val="00FE6CAC"/>
    <w:rsid w:val="00FE6D42"/>
    <w:rsid w:val="00FE6E13"/>
    <w:rsid w:val="00FE7174"/>
    <w:rsid w:val="00FE743C"/>
    <w:rsid w:val="00FE76C6"/>
    <w:rsid w:val="00FF00C7"/>
    <w:rsid w:val="00FF022E"/>
    <w:rsid w:val="00FF047E"/>
    <w:rsid w:val="00FF05E5"/>
    <w:rsid w:val="00FF119E"/>
    <w:rsid w:val="00FF1C13"/>
    <w:rsid w:val="00FF1CA7"/>
    <w:rsid w:val="00FF22A0"/>
    <w:rsid w:val="00FF27E3"/>
    <w:rsid w:val="00FF2C86"/>
    <w:rsid w:val="00FF2D29"/>
    <w:rsid w:val="00FF2F6C"/>
    <w:rsid w:val="00FF307D"/>
    <w:rsid w:val="00FF3133"/>
    <w:rsid w:val="00FF348E"/>
    <w:rsid w:val="00FF3572"/>
    <w:rsid w:val="00FF35D4"/>
    <w:rsid w:val="00FF36FF"/>
    <w:rsid w:val="00FF390E"/>
    <w:rsid w:val="00FF3AB0"/>
    <w:rsid w:val="00FF3B07"/>
    <w:rsid w:val="00FF3FA0"/>
    <w:rsid w:val="00FF44D8"/>
    <w:rsid w:val="00FF456C"/>
    <w:rsid w:val="00FF4648"/>
    <w:rsid w:val="00FF4674"/>
    <w:rsid w:val="00FF4752"/>
    <w:rsid w:val="00FF4B07"/>
    <w:rsid w:val="00FF5296"/>
    <w:rsid w:val="00FF5FB9"/>
    <w:rsid w:val="00FF5FF7"/>
    <w:rsid w:val="00FF6083"/>
    <w:rsid w:val="00FF692C"/>
    <w:rsid w:val="00FF6934"/>
    <w:rsid w:val="00FF6C2B"/>
    <w:rsid w:val="00FF7155"/>
    <w:rsid w:val="00FF7946"/>
    <w:rsid w:val="00FF7CDE"/>
    <w:rsid w:val="00FF7D64"/>
    <w:rsid w:val="0BEA5570"/>
    <w:rsid w:val="46CD0985"/>
    <w:rsid w:val="48183C6D"/>
    <w:rsid w:val="4BC603BB"/>
    <w:rsid w:val="515B3ED7"/>
    <w:rsid w:val="61F32C10"/>
    <w:rsid w:val="666572E3"/>
    <w:rsid w:val="79813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color="white">
      <v:fill color="white"/>
    </o:shapedefaults>
    <o:shapelayout v:ext="edit">
      <o:idmap v:ext="edit" data="1"/>
    </o:shapelayout>
  </w:shapeDefaults>
  <w:decimalSymbol w:val="."/>
  <w:listSeparator w:val=","/>
  <w14:docId w14:val="1498DC23"/>
  <w15:docId w15:val="{071E6AE7-4BA9-4772-89F5-4A78D410A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nhideWhenUsed="1" w:qFormat="1"/>
    <w:lsdException w:name="heading 3" w:uiPriority="9"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93E"/>
    <w:pPr>
      <w:spacing w:before="40" w:after="60" w:line="312" w:lineRule="auto"/>
      <w:ind w:firstLine="567"/>
      <w:jc w:val="both"/>
    </w:pPr>
    <w:rPr>
      <w:rFonts w:ascii="GHEA Grapalat" w:hAnsi="GHEA Grapalat"/>
      <w:sz w:val="22"/>
      <w:szCs w:val="22"/>
    </w:rPr>
  </w:style>
  <w:style w:type="paragraph" w:styleId="Heading1">
    <w:name w:val="heading 1"/>
    <w:aliases w:val="(Section),Section Heading,(Text),1, 1,Chapter,head3"/>
    <w:basedOn w:val="Normal"/>
    <w:next w:val="Normal"/>
    <w:link w:val="Heading1Char"/>
    <w:uiPriority w:val="99"/>
    <w:qFormat/>
    <w:rsid w:val="0045493E"/>
    <w:pPr>
      <w:spacing w:before="240" w:after="240"/>
      <w:ind w:firstLine="0"/>
      <w:contextualSpacing/>
      <w:jc w:val="left"/>
      <w:outlineLvl w:val="0"/>
    </w:pPr>
    <w:rPr>
      <w:rFonts w:eastAsiaTheme="majorEastAsia" w:cstheme="majorBidi"/>
      <w:b/>
      <w:bCs/>
      <w:color w:val="1F497D" w:themeColor="text2"/>
      <w:sz w:val="32"/>
      <w:szCs w:val="28"/>
    </w:rPr>
  </w:style>
  <w:style w:type="paragraph" w:styleId="Heading2">
    <w:name w:val="heading 2"/>
    <w:aliases w:val="(Chapter),Paranum,Text,Body"/>
    <w:basedOn w:val="ListParagraph"/>
    <w:next w:val="Normal"/>
    <w:link w:val="Heading2Char"/>
    <w:unhideWhenUsed/>
    <w:qFormat/>
    <w:rsid w:val="0045493E"/>
    <w:pPr>
      <w:keepNext/>
      <w:keepLines/>
      <w:spacing w:after="240" w:line="288" w:lineRule="auto"/>
      <w:ind w:left="0"/>
      <w:jc w:val="left"/>
      <w:outlineLvl w:val="1"/>
    </w:pPr>
    <w:rPr>
      <w:rFonts w:eastAsiaTheme="majorEastAsia" w:cstheme="majorBidi"/>
      <w:b/>
      <w:bCs/>
      <w:caps/>
      <w:color w:val="1F497D" w:themeColor="text2"/>
      <w:sz w:val="26"/>
      <w:szCs w:val="26"/>
      <w:lang w:val="es-ES"/>
    </w:rPr>
  </w:style>
  <w:style w:type="paragraph" w:styleId="Heading3">
    <w:name w:val="heading 3"/>
    <w:aliases w:val="(Sub-Chapter),Centered,(text),Heading 3 Char Char Char Char Char Char"/>
    <w:basedOn w:val="ListParagraph"/>
    <w:next w:val="Normal"/>
    <w:link w:val="Heading3Char"/>
    <w:uiPriority w:val="9"/>
    <w:unhideWhenUsed/>
    <w:qFormat/>
    <w:rsid w:val="0045493E"/>
    <w:pPr>
      <w:keepNext/>
      <w:keepLines/>
      <w:spacing w:before="240"/>
      <w:ind w:left="0"/>
      <w:jc w:val="left"/>
      <w:outlineLvl w:val="2"/>
    </w:pPr>
    <w:rPr>
      <w:b/>
      <w:caps/>
      <w:lang w:val="hy-AM"/>
    </w:rPr>
  </w:style>
  <w:style w:type="paragraph" w:styleId="Heading4">
    <w:name w:val="heading 4"/>
    <w:aliases w:val="Centred"/>
    <w:basedOn w:val="ListParagraph"/>
    <w:next w:val="Normal"/>
    <w:link w:val="Heading4Char"/>
    <w:unhideWhenUsed/>
    <w:qFormat/>
    <w:rsid w:val="0045493E"/>
    <w:pPr>
      <w:keepNext/>
      <w:keepLines/>
      <w:ind w:left="0"/>
      <w:jc w:val="left"/>
      <w:outlineLvl w:val="3"/>
    </w:pPr>
    <w:rPr>
      <w:b/>
      <w:color w:val="0070C0"/>
      <w:lang w:val="hy-AM"/>
    </w:rPr>
  </w:style>
  <w:style w:type="paragraph" w:styleId="Heading5">
    <w:name w:val="heading 5"/>
    <w:aliases w:val="Side"/>
    <w:basedOn w:val="Normal"/>
    <w:next w:val="Normal"/>
    <w:link w:val="Heading5Char"/>
    <w:unhideWhenUsed/>
    <w:qFormat/>
    <w:rsid w:val="0045493E"/>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nhideWhenUsed/>
    <w:qFormat/>
    <w:rsid w:val="0045493E"/>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nhideWhenUsed/>
    <w:qFormat/>
    <w:rsid w:val="0045493E"/>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45493E"/>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45493E"/>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p1,List Paragraph4,List Paragraph41,List Paragraph5,Paragraphe de liste PBLH,PDP DOCUMENT SUBTITLE,Bullet Points,Table of contents numbered,List Paragraph in table,Liste 1,Варианты ответов,Table no. List Paragraph,List Paragraph111"/>
    <w:basedOn w:val="Normal"/>
    <w:uiPriority w:val="34"/>
    <w:qFormat/>
    <w:rsid w:val="0045493E"/>
    <w:pPr>
      <w:ind w:left="567" w:firstLine="0"/>
      <w:contextualSpacing/>
    </w:pPr>
  </w:style>
  <w:style w:type="paragraph" w:styleId="BalloonText">
    <w:name w:val="Balloon Text"/>
    <w:basedOn w:val="Normal"/>
    <w:link w:val="BalloonTextChar"/>
    <w:uiPriority w:val="99"/>
    <w:rsid w:val="0045493E"/>
    <w:rPr>
      <w:rFonts w:ascii="Tahoma" w:hAnsi="Tahoma"/>
      <w:sz w:val="16"/>
      <w:szCs w:val="16"/>
    </w:rPr>
  </w:style>
  <w:style w:type="paragraph" w:styleId="BlockText">
    <w:name w:val="Block Text"/>
    <w:basedOn w:val="Normal"/>
    <w:qFormat/>
    <w:rsid w:val="0045493E"/>
    <w:pPr>
      <w:spacing w:line="360" w:lineRule="auto"/>
      <w:ind w:left="-709" w:right="-483"/>
    </w:pPr>
    <w:rPr>
      <w:rFonts w:ascii="Times Armenian" w:hAnsi="Times Armenian"/>
      <w:szCs w:val="20"/>
    </w:rPr>
  </w:style>
  <w:style w:type="paragraph" w:styleId="BodyText">
    <w:name w:val="Body Text"/>
    <w:aliases w:val="(Main Text),date,Body Text (Main text)"/>
    <w:basedOn w:val="Normal"/>
    <w:link w:val="BodyTextChar1"/>
    <w:qFormat/>
    <w:rsid w:val="0045493E"/>
    <w:pPr>
      <w:spacing w:after="120"/>
    </w:pPr>
  </w:style>
  <w:style w:type="paragraph" w:styleId="BodyText2">
    <w:name w:val="Body Text 2"/>
    <w:aliases w:val="1Text"/>
    <w:basedOn w:val="Normal"/>
    <w:link w:val="BodyText2Char1"/>
    <w:qFormat/>
    <w:rsid w:val="0045493E"/>
    <w:pPr>
      <w:spacing w:after="120" w:line="480" w:lineRule="auto"/>
    </w:pPr>
    <w:rPr>
      <w:sz w:val="20"/>
      <w:szCs w:val="20"/>
      <w:lang w:val="ru-RU" w:eastAsia="ru-RU"/>
    </w:rPr>
  </w:style>
  <w:style w:type="paragraph" w:styleId="BodyText3">
    <w:name w:val="Body Text 3"/>
    <w:basedOn w:val="Normal"/>
    <w:link w:val="BodyText3Char1"/>
    <w:rsid w:val="0045493E"/>
    <w:pPr>
      <w:spacing w:after="120"/>
    </w:pPr>
    <w:rPr>
      <w:sz w:val="16"/>
      <w:szCs w:val="16"/>
      <w:lang w:val="ru-RU" w:eastAsia="ru-RU"/>
    </w:rPr>
  </w:style>
  <w:style w:type="paragraph" w:styleId="BodyTextFirstIndent">
    <w:name w:val="Body Text First Indent"/>
    <w:basedOn w:val="BodyText"/>
    <w:link w:val="BodyTextFirstIndentChar2"/>
    <w:rsid w:val="0045493E"/>
    <w:pPr>
      <w:ind w:firstLine="210"/>
    </w:pPr>
    <w:rPr>
      <w:lang w:val="ru-RU" w:eastAsia="ru-RU"/>
    </w:rPr>
  </w:style>
  <w:style w:type="paragraph" w:styleId="BodyTextIndent">
    <w:name w:val="Body Text Indent"/>
    <w:aliases w:val="(Table Source), (Table Source),(Table Source) Char,(Table Source)1"/>
    <w:basedOn w:val="BodyText"/>
    <w:next w:val="Normal"/>
    <w:link w:val="BodyTextIndentChar"/>
    <w:rsid w:val="0045493E"/>
    <w:pPr>
      <w:widowControl w:val="0"/>
      <w:spacing w:before="60" w:after="60"/>
      <w:ind w:firstLine="652"/>
    </w:pPr>
    <w:rPr>
      <w:rFonts w:ascii="Arial Armenian" w:hAnsi="Arial Armenian"/>
      <w:i/>
      <w:sz w:val="16"/>
      <w:szCs w:val="20"/>
      <w:lang w:val="en-GB"/>
    </w:rPr>
  </w:style>
  <w:style w:type="paragraph" w:styleId="BodyTextIndent2">
    <w:name w:val="Body Text Indent 2"/>
    <w:basedOn w:val="Normal"/>
    <w:link w:val="BodyTextIndent2Char1"/>
    <w:rsid w:val="0045493E"/>
    <w:pPr>
      <w:widowControl w:val="0"/>
      <w:spacing w:after="120"/>
      <w:ind w:left="720" w:firstLine="720"/>
    </w:pPr>
    <w:rPr>
      <w:rFonts w:ascii="Arial Armenian" w:hAnsi="Arial Armenian"/>
      <w:sz w:val="20"/>
      <w:szCs w:val="20"/>
      <w:lang w:val="en-GB"/>
    </w:rPr>
  </w:style>
  <w:style w:type="paragraph" w:styleId="BodyTextIndent3">
    <w:name w:val="Body Text Indent 3"/>
    <w:basedOn w:val="Normal"/>
    <w:link w:val="BodyTextIndent3Char"/>
    <w:rsid w:val="0045493E"/>
    <w:rPr>
      <w:rFonts w:ascii="Arial Armenian" w:hAnsi="Arial Armenian"/>
      <w:sz w:val="20"/>
      <w:szCs w:val="20"/>
    </w:rPr>
  </w:style>
  <w:style w:type="paragraph" w:styleId="Caption">
    <w:name w:val="caption"/>
    <w:aliases w:val="(Table Title),(Table Title) Char Char Char Char Char Char Char Char Char Char, (Table Title), (Table Title) Char Char Char Char Char Char Char Char Char Char"/>
    <w:basedOn w:val="Normal"/>
    <w:next w:val="Normal"/>
    <w:uiPriority w:val="35"/>
    <w:unhideWhenUsed/>
    <w:qFormat/>
    <w:rsid w:val="0045493E"/>
    <w:rPr>
      <w:caps/>
      <w:spacing w:val="10"/>
      <w:sz w:val="18"/>
      <w:szCs w:val="18"/>
    </w:rPr>
  </w:style>
  <w:style w:type="character" w:styleId="CommentReference">
    <w:name w:val="annotation reference"/>
    <w:uiPriority w:val="99"/>
    <w:rsid w:val="0045493E"/>
    <w:rPr>
      <w:sz w:val="16"/>
    </w:rPr>
  </w:style>
  <w:style w:type="paragraph" w:styleId="CommentText">
    <w:name w:val="annotation text"/>
    <w:basedOn w:val="Normal"/>
    <w:link w:val="CommentTextChar"/>
    <w:uiPriority w:val="99"/>
    <w:rsid w:val="0045493E"/>
    <w:rPr>
      <w:rFonts w:ascii="Arial Armenian" w:hAnsi="Arial Armenian"/>
      <w:sz w:val="20"/>
      <w:szCs w:val="20"/>
      <w:lang w:val="ru-RU" w:eastAsia="ru-RU"/>
    </w:rPr>
  </w:style>
  <w:style w:type="paragraph" w:styleId="CommentSubject">
    <w:name w:val="annotation subject"/>
    <w:basedOn w:val="CommentText"/>
    <w:next w:val="CommentText"/>
    <w:link w:val="CommentSubjectChar2"/>
    <w:rsid w:val="0045493E"/>
    <w:rPr>
      <w:rFonts w:ascii="Courier New" w:hAnsi="Courier New"/>
      <w:b/>
      <w:bCs/>
      <w:lang w:val="en-US" w:eastAsia="en-US"/>
    </w:rPr>
  </w:style>
  <w:style w:type="paragraph" w:styleId="DocumentMap">
    <w:name w:val="Document Map"/>
    <w:basedOn w:val="Normal"/>
    <w:link w:val="DocumentMapChar1"/>
    <w:uiPriority w:val="99"/>
    <w:rsid w:val="0045493E"/>
    <w:pPr>
      <w:shd w:val="clear" w:color="auto" w:fill="000080"/>
      <w:overflowPunct w:val="0"/>
      <w:autoSpaceDE w:val="0"/>
      <w:autoSpaceDN w:val="0"/>
      <w:adjustRightInd w:val="0"/>
      <w:textAlignment w:val="baseline"/>
    </w:pPr>
    <w:rPr>
      <w:rFonts w:ascii="Tahoma" w:hAnsi="Tahoma"/>
      <w:szCs w:val="20"/>
      <w:lang w:val="en-GB" w:eastAsia="ru-RU"/>
    </w:rPr>
  </w:style>
  <w:style w:type="character" w:styleId="Emphasis">
    <w:name w:val="Emphasis"/>
    <w:qFormat/>
    <w:rsid w:val="0045493E"/>
    <w:rPr>
      <w:b/>
      <w:bCs/>
      <w:i/>
      <w:iCs/>
      <w:spacing w:val="10"/>
      <w:shd w:val="clear" w:color="auto" w:fill="auto"/>
    </w:rPr>
  </w:style>
  <w:style w:type="character" w:styleId="EndnoteReference">
    <w:name w:val="endnote reference"/>
    <w:rsid w:val="0045493E"/>
    <w:rPr>
      <w:vertAlign w:val="superscript"/>
    </w:rPr>
  </w:style>
  <w:style w:type="paragraph" w:styleId="EndnoteText">
    <w:name w:val="endnote text"/>
    <w:basedOn w:val="Normal"/>
    <w:link w:val="EndnoteTextChar"/>
    <w:rsid w:val="0045493E"/>
    <w:rPr>
      <w:sz w:val="20"/>
      <w:szCs w:val="20"/>
      <w:lang w:val="en-GB"/>
    </w:rPr>
  </w:style>
  <w:style w:type="character" w:styleId="FollowedHyperlink">
    <w:name w:val="FollowedHyperlink"/>
    <w:rsid w:val="0045493E"/>
    <w:rPr>
      <w:color w:val="800080"/>
      <w:u w:val="single"/>
    </w:rPr>
  </w:style>
  <w:style w:type="paragraph" w:styleId="Footer">
    <w:name w:val="footer"/>
    <w:basedOn w:val="Normal"/>
    <w:next w:val="Normal"/>
    <w:link w:val="FooterChar2"/>
    <w:uiPriority w:val="99"/>
    <w:rsid w:val="0045493E"/>
    <w:pPr>
      <w:tabs>
        <w:tab w:val="center" w:pos="4819"/>
        <w:tab w:val="right" w:pos="9071"/>
      </w:tabs>
      <w:overflowPunct w:val="0"/>
      <w:autoSpaceDE w:val="0"/>
      <w:autoSpaceDN w:val="0"/>
      <w:adjustRightInd w:val="0"/>
      <w:textAlignment w:val="baseline"/>
    </w:pPr>
    <w:rPr>
      <w:lang w:val="en-GB"/>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45493E"/>
    <w:rPr>
      <w:vertAlign w:val="superscript"/>
    </w:rPr>
  </w:style>
  <w:style w:type="paragraph" w:styleId="FootnoteText">
    <w:name w:val="footnote text"/>
    <w:aliases w:val="fn,ADB,single space,footnote text Char,fn Char,ADB Char,single space Char Char,footnote text,FOOTNOTES Char,FOOTNOTES Char Char Char,FOOTNOTES,Footnote Text Char2 Char,Footnote Text Char1 Char Char,f,Footnote,Fußnote,WB-Fußnotentext,ft"/>
    <w:basedOn w:val="Normal"/>
    <w:link w:val="FootnoteTextChar"/>
    <w:qFormat/>
    <w:rsid w:val="0045493E"/>
    <w:pPr>
      <w:ind w:firstLine="0"/>
    </w:pPr>
    <w:rPr>
      <w:sz w:val="16"/>
      <w:szCs w:val="20"/>
    </w:rPr>
  </w:style>
  <w:style w:type="paragraph" w:styleId="Header">
    <w:name w:val="header"/>
    <w:aliases w:val="Header Char Char Char Char Char Char Char Char Char Char,Header Char Char Char Char Char Char Char Char Char Char Char Char,h"/>
    <w:basedOn w:val="Normal"/>
    <w:link w:val="HeaderChar1"/>
    <w:uiPriority w:val="99"/>
    <w:rsid w:val="0045493E"/>
    <w:pPr>
      <w:tabs>
        <w:tab w:val="center" w:pos="4844"/>
        <w:tab w:val="right" w:pos="9689"/>
      </w:tabs>
    </w:pPr>
  </w:style>
  <w:style w:type="paragraph" w:styleId="HTMLPreformatted">
    <w:name w:val="HTML Preformatted"/>
    <w:basedOn w:val="Normal"/>
    <w:link w:val="HTMLPreformattedChar"/>
    <w:uiPriority w:val="99"/>
    <w:unhideWhenUsed/>
    <w:rsid w:val="00454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w:hAnsi="Arial Unicode"/>
      <w:sz w:val="20"/>
      <w:szCs w:val="20"/>
    </w:rPr>
  </w:style>
  <w:style w:type="character" w:styleId="Hyperlink">
    <w:name w:val="Hyperlink"/>
    <w:uiPriority w:val="99"/>
    <w:rsid w:val="0045493E"/>
    <w:rPr>
      <w:color w:val="0000FF"/>
      <w:u w:val="single"/>
    </w:rPr>
  </w:style>
  <w:style w:type="paragraph" w:styleId="Index1">
    <w:name w:val="index 1"/>
    <w:basedOn w:val="Normal"/>
    <w:next w:val="Normal"/>
    <w:rsid w:val="0045493E"/>
    <w:pPr>
      <w:ind w:left="240" w:hanging="240"/>
    </w:pPr>
  </w:style>
  <w:style w:type="paragraph" w:styleId="Index2">
    <w:name w:val="index 2"/>
    <w:basedOn w:val="Normal"/>
    <w:next w:val="Normal"/>
    <w:rsid w:val="0045493E"/>
    <w:pPr>
      <w:ind w:left="480" w:hanging="240"/>
    </w:pPr>
  </w:style>
  <w:style w:type="paragraph" w:styleId="Index3">
    <w:name w:val="index 3"/>
    <w:basedOn w:val="Normal"/>
    <w:next w:val="Normal"/>
    <w:rsid w:val="0045493E"/>
    <w:pPr>
      <w:ind w:left="720" w:hanging="240"/>
    </w:pPr>
  </w:style>
  <w:style w:type="paragraph" w:styleId="Index4">
    <w:name w:val="index 4"/>
    <w:basedOn w:val="Normal"/>
    <w:next w:val="Normal"/>
    <w:rsid w:val="0045493E"/>
    <w:pPr>
      <w:ind w:left="960" w:hanging="240"/>
    </w:pPr>
  </w:style>
  <w:style w:type="paragraph" w:styleId="Index5">
    <w:name w:val="index 5"/>
    <w:basedOn w:val="Normal"/>
    <w:next w:val="Normal"/>
    <w:rsid w:val="0045493E"/>
    <w:pPr>
      <w:ind w:left="1200" w:hanging="240"/>
    </w:pPr>
  </w:style>
  <w:style w:type="paragraph" w:styleId="Index6">
    <w:name w:val="index 6"/>
    <w:basedOn w:val="Normal"/>
    <w:next w:val="Normal"/>
    <w:rsid w:val="0045493E"/>
    <w:pPr>
      <w:ind w:left="1440" w:hanging="240"/>
    </w:pPr>
  </w:style>
  <w:style w:type="paragraph" w:styleId="Index7">
    <w:name w:val="index 7"/>
    <w:basedOn w:val="Normal"/>
    <w:next w:val="Normal"/>
    <w:rsid w:val="0045493E"/>
    <w:pPr>
      <w:ind w:left="1680" w:hanging="240"/>
    </w:pPr>
  </w:style>
  <w:style w:type="paragraph" w:styleId="Index8">
    <w:name w:val="index 8"/>
    <w:basedOn w:val="Normal"/>
    <w:next w:val="Normal"/>
    <w:rsid w:val="0045493E"/>
    <w:pPr>
      <w:ind w:left="1920" w:hanging="240"/>
    </w:pPr>
  </w:style>
  <w:style w:type="paragraph" w:styleId="Index9">
    <w:name w:val="index 9"/>
    <w:basedOn w:val="Normal"/>
    <w:next w:val="Normal"/>
    <w:rsid w:val="0045493E"/>
    <w:pPr>
      <w:ind w:left="2160" w:hanging="240"/>
    </w:pPr>
  </w:style>
  <w:style w:type="paragraph" w:styleId="IndexHeading">
    <w:name w:val="index heading"/>
    <w:basedOn w:val="Normal"/>
    <w:next w:val="Index1"/>
    <w:rsid w:val="0045493E"/>
  </w:style>
  <w:style w:type="character" w:styleId="LineNumber">
    <w:name w:val="line number"/>
    <w:basedOn w:val="DefaultParagraphFont"/>
    <w:rsid w:val="0045493E"/>
  </w:style>
  <w:style w:type="paragraph" w:styleId="List">
    <w:name w:val="List"/>
    <w:basedOn w:val="BodyText"/>
    <w:rsid w:val="0045493E"/>
    <w:pPr>
      <w:suppressAutoHyphens/>
      <w:spacing w:line="288" w:lineRule="auto"/>
    </w:pPr>
    <w:rPr>
      <w:rFonts w:cs="GHEA Grapalat"/>
      <w:kern w:val="1"/>
    </w:rPr>
  </w:style>
  <w:style w:type="paragraph" w:styleId="ListBullet">
    <w:name w:val="List Bullet"/>
    <w:basedOn w:val="Normal"/>
    <w:qFormat/>
    <w:rsid w:val="0045493E"/>
    <w:pPr>
      <w:tabs>
        <w:tab w:val="left" w:pos="360"/>
      </w:tabs>
      <w:overflowPunct w:val="0"/>
      <w:autoSpaceDE w:val="0"/>
      <w:autoSpaceDN w:val="0"/>
      <w:adjustRightInd w:val="0"/>
      <w:spacing w:before="130"/>
      <w:ind w:left="360" w:hanging="360"/>
      <w:textAlignment w:val="baseline"/>
    </w:pPr>
    <w:rPr>
      <w:lang w:val="en-GB"/>
    </w:rPr>
  </w:style>
  <w:style w:type="paragraph" w:styleId="ListBullet2">
    <w:name w:val="List Bullet 2"/>
    <w:basedOn w:val="Normal"/>
    <w:rsid w:val="0045493E"/>
    <w:pPr>
      <w:numPr>
        <w:numId w:val="1"/>
      </w:numPr>
    </w:pPr>
  </w:style>
  <w:style w:type="paragraph" w:styleId="ListContinue2">
    <w:name w:val="List Continue 2"/>
    <w:basedOn w:val="Normal"/>
    <w:rsid w:val="0045493E"/>
    <w:pPr>
      <w:spacing w:after="120"/>
      <w:ind w:left="720"/>
    </w:pPr>
  </w:style>
  <w:style w:type="paragraph" w:styleId="ListNumber">
    <w:name w:val="List Number"/>
    <w:basedOn w:val="Normal"/>
    <w:rsid w:val="0045493E"/>
    <w:pPr>
      <w:numPr>
        <w:numId w:val="2"/>
      </w:numPr>
    </w:pPr>
  </w:style>
  <w:style w:type="paragraph" w:styleId="NormalWeb">
    <w:name w:val="Normal (Web)"/>
    <w:aliases w:val="webb,Обычный (веб) Знак Знак,Знак Знак Знак Знак,Обычный (веб) Знак Знак Знак,Знак Знак Знак1 Знак Знак Знак Знак Знак, webb"/>
    <w:basedOn w:val="Normal"/>
    <w:link w:val="NormalWebChar"/>
    <w:qFormat/>
    <w:rsid w:val="0045493E"/>
    <w:pPr>
      <w:spacing w:before="100" w:after="100"/>
    </w:pPr>
    <w:rPr>
      <w:szCs w:val="20"/>
    </w:rPr>
  </w:style>
  <w:style w:type="paragraph" w:styleId="NormalIndent">
    <w:name w:val="Normal Indent"/>
    <w:basedOn w:val="Normal"/>
    <w:rsid w:val="0045493E"/>
    <w:pPr>
      <w:tabs>
        <w:tab w:val="left" w:pos="1134"/>
        <w:tab w:val="left" w:pos="1701"/>
        <w:tab w:val="left" w:pos="2835"/>
        <w:tab w:val="left" w:pos="5103"/>
        <w:tab w:val="left" w:pos="7371"/>
        <w:tab w:val="right" w:pos="9639"/>
      </w:tabs>
      <w:ind w:left="1134"/>
    </w:pPr>
    <w:rPr>
      <w:lang w:val="en-GB"/>
    </w:rPr>
  </w:style>
  <w:style w:type="character" w:styleId="PageNumber">
    <w:name w:val="page number"/>
    <w:basedOn w:val="DefaultParagraphFont"/>
    <w:rsid w:val="0045493E"/>
  </w:style>
  <w:style w:type="paragraph" w:styleId="PlainText">
    <w:name w:val="Plain Text"/>
    <w:basedOn w:val="Normal"/>
    <w:link w:val="PlainTextChar"/>
    <w:rsid w:val="0045493E"/>
    <w:pPr>
      <w:spacing w:before="120"/>
    </w:pPr>
    <w:rPr>
      <w:rFonts w:ascii="Courier New" w:hAnsi="Courier New"/>
      <w:sz w:val="20"/>
      <w:szCs w:val="20"/>
    </w:rPr>
  </w:style>
  <w:style w:type="character" w:styleId="Strong">
    <w:name w:val="Strong"/>
    <w:qFormat/>
    <w:rsid w:val="0045493E"/>
    <w:rPr>
      <w:b/>
      <w:bCs/>
    </w:rPr>
  </w:style>
  <w:style w:type="paragraph" w:styleId="Subtitle">
    <w:name w:val="Subtitle"/>
    <w:basedOn w:val="Normal"/>
    <w:next w:val="Normal"/>
    <w:link w:val="SubtitleChar"/>
    <w:qFormat/>
    <w:rsid w:val="0045493E"/>
    <w:pPr>
      <w:spacing w:after="600"/>
    </w:pPr>
    <w:rPr>
      <w:rFonts w:asciiTheme="majorHAnsi" w:eastAsiaTheme="majorEastAsia" w:hAnsiTheme="majorHAnsi" w:cstheme="majorBidi"/>
      <w:i/>
      <w:iCs/>
      <w:spacing w:val="13"/>
      <w:sz w:val="24"/>
      <w:szCs w:val="24"/>
    </w:rPr>
  </w:style>
  <w:style w:type="table" w:styleId="Table3Deffects3">
    <w:name w:val="Table 3D effects 3"/>
    <w:basedOn w:val="TableNormal"/>
    <w:rsid w:val="0045493E"/>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olumns5">
    <w:name w:val="Table Columns 5"/>
    <w:basedOn w:val="TableNormal"/>
    <w:rsid w:val="0045493E"/>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5493E"/>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rsid w:val="0045493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39"/>
    <w:qFormat/>
    <w:rsid w:val="00454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45493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3">
    <w:name w:val="Table Grid 3"/>
    <w:basedOn w:val="TableNormal"/>
    <w:rsid w:val="0045493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5">
    <w:name w:val="Table Grid 5"/>
    <w:basedOn w:val="TableNormal"/>
    <w:rsid w:val="0045493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rsid w:val="0045493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rsid w:val="0045493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7">
    <w:name w:val="Table List 7"/>
    <w:basedOn w:val="TableNormal"/>
    <w:rsid w:val="0045493E"/>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paragraph" w:styleId="TableofFigures">
    <w:name w:val="table of figures"/>
    <w:basedOn w:val="Normal"/>
    <w:next w:val="Normal"/>
    <w:qFormat/>
    <w:rsid w:val="0045493E"/>
    <w:pPr>
      <w:ind w:left="480" w:hanging="480"/>
    </w:pPr>
    <w:rPr>
      <w:sz w:val="20"/>
    </w:rPr>
  </w:style>
  <w:style w:type="table" w:styleId="TableSimple3">
    <w:name w:val="Table Simple 3"/>
    <w:basedOn w:val="TableNormal"/>
    <w:rsid w:val="0045493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Web1">
    <w:name w:val="Table Web 1"/>
    <w:basedOn w:val="TableNormal"/>
    <w:rsid w:val="0045493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rsid w:val="0045493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rsid w:val="0045493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next w:val="Normal"/>
    <w:link w:val="TitleChar"/>
    <w:qFormat/>
    <w:rsid w:val="0045493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paragraph" w:styleId="TOC1">
    <w:name w:val="toc 1"/>
    <w:basedOn w:val="Normal"/>
    <w:next w:val="Normal"/>
    <w:uiPriority w:val="39"/>
    <w:qFormat/>
    <w:rsid w:val="0045493E"/>
    <w:pPr>
      <w:spacing w:before="120" w:after="0"/>
      <w:jc w:val="left"/>
    </w:pPr>
    <w:rPr>
      <w:rFonts w:asciiTheme="minorHAnsi" w:hAnsiTheme="minorHAnsi" w:cstheme="minorHAnsi"/>
      <w:b/>
      <w:bCs/>
      <w:i/>
      <w:iCs/>
      <w:sz w:val="24"/>
      <w:szCs w:val="24"/>
    </w:rPr>
  </w:style>
  <w:style w:type="paragraph" w:styleId="TOC2">
    <w:name w:val="toc 2"/>
    <w:basedOn w:val="Normal"/>
    <w:next w:val="Normal"/>
    <w:uiPriority w:val="39"/>
    <w:qFormat/>
    <w:rsid w:val="0045493E"/>
    <w:pPr>
      <w:spacing w:before="120" w:after="0"/>
      <w:ind w:left="220"/>
      <w:jc w:val="left"/>
    </w:pPr>
    <w:rPr>
      <w:rFonts w:asciiTheme="minorHAnsi" w:hAnsiTheme="minorHAnsi" w:cstheme="minorHAnsi"/>
      <w:b/>
      <w:bCs/>
    </w:rPr>
  </w:style>
  <w:style w:type="paragraph" w:styleId="TOC3">
    <w:name w:val="toc 3"/>
    <w:basedOn w:val="Normal"/>
    <w:next w:val="Normal"/>
    <w:uiPriority w:val="39"/>
    <w:qFormat/>
    <w:rsid w:val="0045493E"/>
    <w:pPr>
      <w:spacing w:before="0" w:after="0"/>
      <w:ind w:left="440"/>
      <w:jc w:val="left"/>
    </w:pPr>
    <w:rPr>
      <w:rFonts w:asciiTheme="minorHAnsi" w:hAnsiTheme="minorHAnsi" w:cstheme="minorHAnsi"/>
      <w:sz w:val="20"/>
      <w:szCs w:val="20"/>
    </w:rPr>
  </w:style>
  <w:style w:type="paragraph" w:styleId="TOC4">
    <w:name w:val="toc 4"/>
    <w:basedOn w:val="Normal"/>
    <w:next w:val="Normal"/>
    <w:uiPriority w:val="39"/>
    <w:rsid w:val="0045493E"/>
    <w:pPr>
      <w:spacing w:before="0" w:after="0"/>
      <w:ind w:left="660"/>
      <w:jc w:val="left"/>
    </w:pPr>
    <w:rPr>
      <w:rFonts w:asciiTheme="minorHAnsi" w:hAnsiTheme="minorHAnsi" w:cstheme="minorHAnsi"/>
      <w:sz w:val="20"/>
      <w:szCs w:val="20"/>
    </w:rPr>
  </w:style>
  <w:style w:type="paragraph" w:styleId="TOC5">
    <w:name w:val="toc 5"/>
    <w:basedOn w:val="Normal"/>
    <w:next w:val="Normal"/>
    <w:uiPriority w:val="39"/>
    <w:rsid w:val="0045493E"/>
    <w:pPr>
      <w:spacing w:before="0" w:after="0"/>
      <w:ind w:left="880"/>
      <w:jc w:val="left"/>
    </w:pPr>
    <w:rPr>
      <w:rFonts w:asciiTheme="minorHAnsi" w:hAnsiTheme="minorHAnsi" w:cstheme="minorHAnsi"/>
      <w:sz w:val="20"/>
      <w:szCs w:val="20"/>
    </w:rPr>
  </w:style>
  <w:style w:type="paragraph" w:styleId="TOC6">
    <w:name w:val="toc 6"/>
    <w:basedOn w:val="Normal"/>
    <w:next w:val="Normal"/>
    <w:uiPriority w:val="39"/>
    <w:rsid w:val="0045493E"/>
    <w:pPr>
      <w:spacing w:before="0" w:after="0"/>
      <w:ind w:left="1100"/>
      <w:jc w:val="left"/>
    </w:pPr>
    <w:rPr>
      <w:rFonts w:asciiTheme="minorHAnsi" w:hAnsiTheme="minorHAnsi" w:cstheme="minorHAnsi"/>
      <w:sz w:val="20"/>
      <w:szCs w:val="20"/>
    </w:rPr>
  </w:style>
  <w:style w:type="paragraph" w:styleId="TOC7">
    <w:name w:val="toc 7"/>
    <w:basedOn w:val="Normal"/>
    <w:next w:val="Normal"/>
    <w:uiPriority w:val="39"/>
    <w:rsid w:val="0045493E"/>
    <w:pPr>
      <w:spacing w:before="0" w:after="0"/>
      <w:ind w:left="1320"/>
      <w:jc w:val="left"/>
    </w:pPr>
    <w:rPr>
      <w:rFonts w:asciiTheme="minorHAnsi" w:hAnsiTheme="minorHAnsi" w:cstheme="minorHAnsi"/>
      <w:sz w:val="20"/>
      <w:szCs w:val="20"/>
    </w:rPr>
  </w:style>
  <w:style w:type="paragraph" w:styleId="TOC8">
    <w:name w:val="toc 8"/>
    <w:basedOn w:val="Normal"/>
    <w:next w:val="Normal"/>
    <w:uiPriority w:val="39"/>
    <w:rsid w:val="0045493E"/>
    <w:pPr>
      <w:spacing w:before="0" w:after="0"/>
      <w:ind w:left="1540"/>
      <w:jc w:val="left"/>
    </w:pPr>
    <w:rPr>
      <w:rFonts w:asciiTheme="minorHAnsi" w:hAnsiTheme="minorHAnsi" w:cstheme="minorHAnsi"/>
      <w:sz w:val="20"/>
      <w:szCs w:val="20"/>
    </w:rPr>
  </w:style>
  <w:style w:type="paragraph" w:styleId="TOC9">
    <w:name w:val="toc 9"/>
    <w:basedOn w:val="Normal"/>
    <w:next w:val="Normal"/>
    <w:uiPriority w:val="39"/>
    <w:rsid w:val="0045493E"/>
    <w:pPr>
      <w:spacing w:before="0" w:after="0"/>
      <w:ind w:left="1760"/>
      <w:jc w:val="left"/>
    </w:pPr>
    <w:rPr>
      <w:rFonts w:asciiTheme="minorHAnsi" w:hAnsiTheme="minorHAnsi" w:cstheme="minorHAnsi"/>
      <w:sz w:val="20"/>
      <w:szCs w:val="20"/>
    </w:rPr>
  </w:style>
  <w:style w:type="table" w:styleId="LightList-Accent1">
    <w:name w:val="Light List Accent 1"/>
    <w:basedOn w:val="TableNormal"/>
    <w:uiPriority w:val="61"/>
    <w:rsid w:val="0045493E"/>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45493E"/>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olorfulGrid-Accent1">
    <w:name w:val="Colorful Grid Accent 1"/>
    <w:basedOn w:val="TableNormal"/>
    <w:uiPriority w:val="73"/>
    <w:rsid w:val="0045493E"/>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Heading1Char">
    <w:name w:val="Heading 1 Char"/>
    <w:aliases w:val="(Section) Char,Section Heading Char,(Text) Char,1 Char, 1 Char,Chapter Char,head3 Char"/>
    <w:basedOn w:val="DefaultParagraphFont"/>
    <w:link w:val="Heading1"/>
    <w:uiPriority w:val="99"/>
    <w:rsid w:val="0045493E"/>
    <w:rPr>
      <w:rFonts w:ascii="GHEA Grapalat" w:eastAsiaTheme="majorEastAsia" w:hAnsi="GHEA Grapalat" w:cstheme="majorBidi"/>
      <w:b/>
      <w:bCs/>
      <w:color w:val="1F497D" w:themeColor="text2"/>
      <w:sz w:val="32"/>
      <w:szCs w:val="28"/>
    </w:rPr>
  </w:style>
  <w:style w:type="character" w:customStyle="1" w:styleId="BodyTextChar1">
    <w:name w:val="Body Text Char1"/>
    <w:aliases w:val="(Main Text) Char,date Char,Body Text (Main text) Char1"/>
    <w:link w:val="BodyText"/>
    <w:rsid w:val="0045493E"/>
    <w:rPr>
      <w:sz w:val="24"/>
      <w:szCs w:val="24"/>
    </w:rPr>
  </w:style>
  <w:style w:type="character" w:customStyle="1" w:styleId="Heading2Char">
    <w:name w:val="Heading 2 Char"/>
    <w:aliases w:val="(Chapter) Char,Paranum Char,Text Char,Body Char"/>
    <w:basedOn w:val="DefaultParagraphFont"/>
    <w:link w:val="Heading2"/>
    <w:rsid w:val="0045493E"/>
    <w:rPr>
      <w:rFonts w:ascii="GHEA Grapalat" w:eastAsiaTheme="majorEastAsia" w:hAnsi="GHEA Grapalat" w:cstheme="majorBidi"/>
      <w:b/>
      <w:bCs/>
      <w:caps/>
      <w:color w:val="1F497D" w:themeColor="text2"/>
      <w:sz w:val="26"/>
      <w:szCs w:val="26"/>
      <w:lang w:val="es-ES"/>
    </w:rPr>
  </w:style>
  <w:style w:type="character" w:customStyle="1" w:styleId="Heading3Char1">
    <w:name w:val="Heading 3 Char1"/>
    <w:aliases w:val="(Sub-Chapter) Char,Centered Char,(text) Char,Heading 3 Char Char Char Char Char Char Char1,Centered Char1,(text) Char1,(Sub-Chapter) Char1,Heading 3 Char Char Char Char Char Char Char2,Heading 3 Char2"/>
    <w:uiPriority w:val="9"/>
    <w:rsid w:val="0045493E"/>
    <w:rPr>
      <w:rFonts w:ascii="GHEA Grapalat" w:hAnsi="GHEA Grapalat" w:cs="Sylfaen"/>
      <w:b/>
      <w:bCs/>
      <w:color w:val="000000"/>
      <w:sz w:val="22"/>
      <w:szCs w:val="22"/>
      <w:lang w:val="es-ES"/>
    </w:rPr>
  </w:style>
  <w:style w:type="character" w:customStyle="1" w:styleId="Heading4Char2">
    <w:name w:val="Heading 4 Char2"/>
    <w:aliases w:val="Centred Char1"/>
    <w:rsid w:val="0045493E"/>
    <w:rPr>
      <w:rFonts w:ascii="GHEA Grapalat" w:hAnsi="GHEA Grapalat"/>
      <w:b/>
      <w:bCs/>
      <w:sz w:val="22"/>
      <w:szCs w:val="22"/>
      <w:lang w:val="af-ZA" w:eastAsia="en-US" w:bidi="ar-SA"/>
    </w:rPr>
  </w:style>
  <w:style w:type="character" w:customStyle="1" w:styleId="Heading5Char1">
    <w:name w:val="Heading 5 Char1"/>
    <w:aliases w:val="Side Char1"/>
    <w:rsid w:val="0045493E"/>
    <w:rPr>
      <w:b/>
      <w:bCs/>
      <w:i/>
      <w:iCs/>
      <w:sz w:val="26"/>
      <w:szCs w:val="26"/>
      <w:lang w:val="en-US" w:eastAsia="en-US" w:bidi="ar-SA"/>
    </w:rPr>
  </w:style>
  <w:style w:type="character" w:customStyle="1" w:styleId="Heading6Char1">
    <w:name w:val="Heading 6 Char1"/>
    <w:rsid w:val="0045493E"/>
    <w:rPr>
      <w:rFonts w:ascii="Arial Armenian" w:hAnsi="Arial Armenian"/>
      <w:i/>
      <w:sz w:val="22"/>
      <w:u w:val="single"/>
      <w:lang w:val="en-GB"/>
    </w:rPr>
  </w:style>
  <w:style w:type="character" w:customStyle="1" w:styleId="Heading7Char1">
    <w:name w:val="Heading 7 Char1"/>
    <w:rsid w:val="0045493E"/>
    <w:rPr>
      <w:rFonts w:ascii="Garamond" w:hAnsi="Garamond"/>
      <w:i/>
      <w:spacing w:val="-5"/>
      <w:sz w:val="28"/>
      <w:shd w:val="pct5" w:color="auto" w:fill="auto"/>
      <w:lang w:val="en-GB"/>
    </w:rPr>
  </w:style>
  <w:style w:type="character" w:customStyle="1" w:styleId="Heading8Char1">
    <w:name w:val="Heading 8 Char1"/>
    <w:rsid w:val="0045493E"/>
    <w:rPr>
      <w:rFonts w:ascii="Arial Black" w:hAnsi="Arial Black"/>
      <w:caps/>
      <w:spacing w:val="60"/>
      <w:position w:val="4"/>
      <w:sz w:val="14"/>
      <w:lang w:val="en-GB"/>
    </w:rPr>
  </w:style>
  <w:style w:type="character" w:customStyle="1" w:styleId="Heading9Char1">
    <w:name w:val="Heading 9 Char1"/>
    <w:qFormat/>
    <w:rsid w:val="0045493E"/>
    <w:rPr>
      <w:rFonts w:ascii="Garamond" w:hAnsi="Garamond"/>
      <w:b/>
      <w:i/>
      <w:kern w:val="28"/>
      <w:lang w:val="en-GB"/>
    </w:rPr>
  </w:style>
  <w:style w:type="paragraph" w:customStyle="1" w:styleId="Head4">
    <w:name w:val="Head 4"/>
    <w:basedOn w:val="Heading4"/>
    <w:rsid w:val="0045493E"/>
    <w:pPr>
      <w:widowControl w:val="0"/>
      <w:tabs>
        <w:tab w:val="left" w:pos="567"/>
      </w:tabs>
      <w:spacing w:before="0" w:line="240" w:lineRule="auto"/>
      <w:ind w:left="397"/>
    </w:pPr>
    <w:rPr>
      <w:szCs w:val="20"/>
    </w:rPr>
  </w:style>
  <w:style w:type="character" w:customStyle="1" w:styleId="BodyTextIndent3Char">
    <w:name w:val="Body Text Indent 3 Char"/>
    <w:link w:val="BodyTextIndent3"/>
    <w:rsid w:val="0045493E"/>
    <w:rPr>
      <w:rFonts w:ascii="Arial Armenian" w:hAnsi="Arial Armenian"/>
      <w:lang w:val="en-US" w:eastAsia="en-US" w:bidi="ar-SA"/>
    </w:rPr>
  </w:style>
  <w:style w:type="paragraph" w:customStyle="1" w:styleId="xl24">
    <w:name w:val="xl24"/>
    <w:basedOn w:val="Normal"/>
    <w:rsid w:val="0045493E"/>
    <w:pPr>
      <w:spacing w:before="100" w:beforeAutospacing="1" w:after="100" w:afterAutospacing="1"/>
    </w:pPr>
    <w:rPr>
      <w:rFonts w:ascii="Arial Armenian" w:eastAsia="Arial Unicode MS" w:hAnsi="Arial Armenian" w:cs="Arial Unicode MS"/>
      <w:sz w:val="18"/>
      <w:szCs w:val="18"/>
    </w:rPr>
  </w:style>
  <w:style w:type="paragraph" w:customStyle="1" w:styleId="Tablefigure">
    <w:name w:val="Table_figure"/>
    <w:basedOn w:val="Normal"/>
    <w:rsid w:val="0045493E"/>
    <w:pPr>
      <w:spacing w:before="60"/>
      <w:jc w:val="right"/>
    </w:pPr>
    <w:rPr>
      <w:rFonts w:ascii="Arial Armenian" w:hAnsi="Arial Armenian"/>
      <w:sz w:val="16"/>
      <w:szCs w:val="20"/>
      <w:lang w:val="en-GB"/>
    </w:rPr>
  </w:style>
  <w:style w:type="character" w:customStyle="1" w:styleId="BodyTextIndent2Char1">
    <w:name w:val="Body Text Indent 2 Char1"/>
    <w:link w:val="BodyTextIndent2"/>
    <w:rsid w:val="0045493E"/>
    <w:rPr>
      <w:rFonts w:ascii="Arial Armenian" w:hAnsi="Arial Armenian"/>
      <w:lang w:val="en-GB" w:eastAsia="en-US" w:bidi="ar-SA"/>
    </w:rPr>
  </w:style>
  <w:style w:type="character" w:customStyle="1" w:styleId="BodyTextIndentChar">
    <w:name w:val="Body Text Indent Char"/>
    <w:aliases w:val="(Table Source) Char2, (Table Source) Char1,(Table Source) Char Char1,(Table Source)1 Char2"/>
    <w:link w:val="BodyTextIndent"/>
    <w:rsid w:val="0045493E"/>
    <w:rPr>
      <w:rFonts w:ascii="Arial Armenian" w:hAnsi="Arial Armenian"/>
      <w:i/>
      <w:sz w:val="16"/>
      <w:lang w:val="en-GB" w:eastAsia="en-US" w:bidi="ar-SA"/>
    </w:rPr>
  </w:style>
  <w:style w:type="paragraph" w:customStyle="1" w:styleId="Specialnormal">
    <w:name w:val="Special normal"/>
    <w:basedOn w:val="Normal"/>
    <w:qFormat/>
    <w:rsid w:val="0045493E"/>
    <w:pPr>
      <w:overflowPunct w:val="0"/>
      <w:autoSpaceDE w:val="0"/>
      <w:autoSpaceDN w:val="0"/>
      <w:adjustRightInd w:val="0"/>
      <w:jc w:val="center"/>
      <w:textAlignment w:val="baseline"/>
    </w:pPr>
    <w:rPr>
      <w:sz w:val="20"/>
      <w:szCs w:val="20"/>
      <w:lang w:val="en-GB"/>
    </w:rPr>
  </w:style>
  <w:style w:type="character" w:customStyle="1" w:styleId="CommentTextChar">
    <w:name w:val="Comment Text Char"/>
    <w:link w:val="CommentText"/>
    <w:uiPriority w:val="99"/>
    <w:rsid w:val="0045493E"/>
    <w:rPr>
      <w:rFonts w:ascii="Arial Armenian" w:hAnsi="Arial Armenian"/>
      <w:lang w:val="ru-RU" w:eastAsia="ru-RU" w:bidi="ar-SA"/>
    </w:rPr>
  </w:style>
  <w:style w:type="paragraph" w:customStyle="1" w:styleId="a4">
    <w:name w:val="???????? ????? ? ????????"/>
    <w:basedOn w:val="Normal"/>
    <w:rsid w:val="0045493E"/>
    <w:pPr>
      <w:ind w:left="360" w:hanging="360"/>
    </w:pPr>
    <w:rPr>
      <w:rFonts w:ascii="Times Armenian" w:hAnsi="Times Armenian"/>
      <w:szCs w:val="20"/>
      <w:lang w:eastAsia="ru-RU"/>
    </w:rPr>
  </w:style>
  <w:style w:type="paragraph" w:customStyle="1" w:styleId="a5">
    <w:name w:val="???????"/>
    <w:link w:val="Char"/>
    <w:rsid w:val="0045493E"/>
    <w:pPr>
      <w:spacing w:after="160" w:line="259" w:lineRule="auto"/>
    </w:pPr>
    <w:rPr>
      <w:sz w:val="22"/>
      <w:szCs w:val="22"/>
      <w:lang w:val="ru-RU" w:eastAsia="ru-RU"/>
    </w:rPr>
  </w:style>
  <w:style w:type="character" w:customStyle="1" w:styleId="Char">
    <w:name w:val="??????? Char"/>
    <w:link w:val="a5"/>
    <w:rsid w:val="0045493E"/>
    <w:rPr>
      <w:lang w:val="ru-RU" w:eastAsia="ru-RU" w:bidi="ar-SA"/>
    </w:rPr>
  </w:style>
  <w:style w:type="paragraph" w:customStyle="1" w:styleId="2">
    <w:name w:val="???????2"/>
    <w:rsid w:val="0045493E"/>
    <w:pPr>
      <w:spacing w:after="160" w:line="259" w:lineRule="auto"/>
    </w:pPr>
    <w:rPr>
      <w:rFonts w:ascii="Times Armenian" w:hAnsi="Times Armenian"/>
      <w:sz w:val="24"/>
      <w:szCs w:val="22"/>
      <w:lang w:eastAsia="ru-RU"/>
    </w:rPr>
  </w:style>
  <w:style w:type="paragraph" w:customStyle="1" w:styleId="a6">
    <w:name w:val="???????? ?????"/>
    <w:basedOn w:val="a5"/>
    <w:rsid w:val="0045493E"/>
    <w:pPr>
      <w:jc w:val="center"/>
    </w:pPr>
    <w:rPr>
      <w:rFonts w:ascii="Times Armenian" w:hAnsi="Times Armenian"/>
      <w:i/>
      <w:sz w:val="32"/>
      <w:lang w:val="en-US"/>
    </w:rPr>
  </w:style>
  <w:style w:type="paragraph" w:customStyle="1" w:styleId="31">
    <w:name w:val="???????? ????? ? ???????? 31"/>
    <w:basedOn w:val="2"/>
    <w:rsid w:val="0045493E"/>
    <w:pPr>
      <w:spacing w:line="360" w:lineRule="auto"/>
      <w:ind w:firstLine="360"/>
      <w:jc w:val="both"/>
    </w:pPr>
  </w:style>
  <w:style w:type="paragraph" w:customStyle="1" w:styleId="a7">
    <w:name w:val="??????"/>
    <w:basedOn w:val="2"/>
    <w:qFormat/>
    <w:rsid w:val="0045493E"/>
    <w:pPr>
      <w:spacing w:line="360" w:lineRule="auto"/>
      <w:ind w:left="-426" w:right="-619" w:firstLine="710"/>
      <w:jc w:val="both"/>
    </w:pPr>
    <w:rPr>
      <w:rFonts w:ascii="Arial LatArm" w:hAnsi="Arial LatArm"/>
      <w:i/>
      <w:lang w:val="en-AU"/>
    </w:rPr>
  </w:style>
  <w:style w:type="paragraph" w:customStyle="1" w:styleId="3">
    <w:name w:val="???????? ????? 3"/>
    <w:basedOn w:val="Normal"/>
    <w:rsid w:val="0045493E"/>
    <w:rPr>
      <w:rFonts w:ascii="Times Armenian" w:hAnsi="Times Armenian"/>
      <w:szCs w:val="20"/>
      <w:lang w:val="ru-RU" w:eastAsia="ru-RU"/>
    </w:rPr>
  </w:style>
  <w:style w:type="paragraph" w:customStyle="1" w:styleId="20">
    <w:name w:val="???????? ????? ? ????????2"/>
    <w:basedOn w:val="2"/>
    <w:rsid w:val="0045493E"/>
    <w:pPr>
      <w:spacing w:line="360" w:lineRule="auto"/>
      <w:ind w:firstLine="720"/>
      <w:jc w:val="both"/>
    </w:pPr>
    <w:rPr>
      <w:sz w:val="28"/>
    </w:rPr>
  </w:style>
  <w:style w:type="paragraph" w:customStyle="1" w:styleId="11">
    <w:name w:val="????????? 11"/>
    <w:basedOn w:val="2"/>
    <w:next w:val="2"/>
    <w:rsid w:val="0045493E"/>
    <w:pPr>
      <w:keepNext/>
      <w:spacing w:line="360" w:lineRule="auto"/>
      <w:outlineLvl w:val="0"/>
    </w:pPr>
    <w:rPr>
      <w:rFonts w:ascii="Times LatArm" w:hAnsi="Times LatArm"/>
    </w:rPr>
  </w:style>
  <w:style w:type="paragraph" w:customStyle="1" w:styleId="10">
    <w:name w:val="????????1"/>
    <w:basedOn w:val="a5"/>
    <w:rsid w:val="0045493E"/>
    <w:pPr>
      <w:jc w:val="center"/>
    </w:pPr>
    <w:rPr>
      <w:rFonts w:ascii="Times Armenian" w:hAnsi="Times Armenian"/>
      <w:i/>
      <w:sz w:val="28"/>
      <w:lang w:val="en-US"/>
    </w:rPr>
  </w:style>
  <w:style w:type="paragraph" w:customStyle="1" w:styleId="21">
    <w:name w:val="???????? ????? ? ???????? 2"/>
    <w:basedOn w:val="a5"/>
    <w:rsid w:val="0045493E"/>
    <w:pPr>
      <w:ind w:right="-141" w:firstLine="567"/>
      <w:jc w:val="both"/>
    </w:pPr>
    <w:rPr>
      <w:rFonts w:ascii="Times Armenian" w:hAnsi="Times Armenian"/>
      <w:sz w:val="24"/>
    </w:rPr>
  </w:style>
  <w:style w:type="paragraph" w:customStyle="1" w:styleId="22">
    <w:name w:val="???????? ????? 2"/>
    <w:basedOn w:val="a5"/>
    <w:rsid w:val="0045493E"/>
    <w:pPr>
      <w:spacing w:line="360" w:lineRule="auto"/>
      <w:jc w:val="both"/>
    </w:pPr>
    <w:rPr>
      <w:rFonts w:ascii="Times LatArm" w:hAnsi="Times LatArm"/>
      <w:b/>
      <w:i/>
      <w:sz w:val="28"/>
      <w:lang w:val="en-US"/>
    </w:rPr>
  </w:style>
  <w:style w:type="paragraph" w:customStyle="1" w:styleId="12">
    <w:name w:val="???????1"/>
    <w:rsid w:val="0045493E"/>
    <w:pPr>
      <w:spacing w:after="160" w:line="259" w:lineRule="auto"/>
    </w:pPr>
    <w:rPr>
      <w:sz w:val="22"/>
      <w:szCs w:val="22"/>
      <w:lang w:val="ru-RU" w:eastAsia="ru-RU"/>
    </w:rPr>
  </w:style>
  <w:style w:type="paragraph" w:customStyle="1" w:styleId="30">
    <w:name w:val="???????? ????? ? ????????3"/>
    <w:basedOn w:val="a5"/>
    <w:rsid w:val="0045493E"/>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rsid w:val="0045493E"/>
    <w:pPr>
      <w:spacing w:before="240" w:after="120" w:line="276" w:lineRule="auto"/>
    </w:pPr>
    <w:rPr>
      <w:rFonts w:ascii="GHEA Grapalat" w:hAnsi="GHEA Grapalat"/>
      <w:iCs/>
      <w:spacing w:val="0"/>
      <w:kern w:val="0"/>
      <w:lang w:val="af-ZA" w:eastAsia="ru-RU"/>
    </w:rPr>
  </w:style>
  <w:style w:type="paragraph" w:customStyle="1" w:styleId="Heading2ChapterParanumText">
    <w:name w:val="Heading 2.(Chapter).Paranum.Text"/>
    <w:basedOn w:val="Normal"/>
    <w:next w:val="BodyTextMainTextdateBodyTextMaintext"/>
    <w:link w:val="Heading2ChapterParanumTextChar"/>
    <w:rsid w:val="0045493E"/>
    <w:pPr>
      <w:keepNext/>
      <w:widowControl w:val="0"/>
      <w:spacing w:after="240" w:line="360" w:lineRule="auto"/>
      <w:outlineLvl w:val="1"/>
    </w:pPr>
    <w:rPr>
      <w:rFonts w:ascii="Times Armenian" w:hAnsi="Times Armenian"/>
      <w:b/>
      <w:spacing w:val="24"/>
      <w:kern w:val="28"/>
      <w:lang w:val="it-IT"/>
    </w:rPr>
  </w:style>
  <w:style w:type="paragraph" w:customStyle="1" w:styleId="BodyTextMainTextdateBodyTextMaintext">
    <w:name w:val="Body Text.(Main Text).date.Body Text (Main text)"/>
    <w:basedOn w:val="Normal"/>
    <w:rsid w:val="0045493E"/>
    <w:pPr>
      <w:widowControl w:val="0"/>
      <w:spacing w:after="120" w:line="360" w:lineRule="auto"/>
      <w:ind w:firstLine="652"/>
    </w:pPr>
    <w:rPr>
      <w:rFonts w:ascii="Arial Armenian" w:hAnsi="Arial Armenian"/>
      <w:sz w:val="20"/>
      <w:lang w:val="en-GB"/>
    </w:rPr>
  </w:style>
  <w:style w:type="character" w:customStyle="1" w:styleId="Heading2ChapterParanumTextChar">
    <w:name w:val="Heading 2.(Chapter).Paranum.Text Char"/>
    <w:link w:val="Heading2ChapterParanumText"/>
    <w:rsid w:val="0045493E"/>
    <w:rPr>
      <w:rFonts w:ascii="Times Armenian" w:hAnsi="Times Armenian"/>
      <w:b/>
      <w:spacing w:val="24"/>
      <w:kern w:val="28"/>
      <w:sz w:val="24"/>
      <w:szCs w:val="24"/>
      <w:lang w:val="it-IT" w:eastAsia="en-US" w:bidi="ar-SA"/>
    </w:rPr>
  </w:style>
  <w:style w:type="character" w:customStyle="1" w:styleId="StyleHeading2ChapterParanumTextSylfaen1Char">
    <w:name w:val="Style Heading 2.(Chapter).Paranum.Text + Sylfaen1 Char"/>
    <w:link w:val="StyleHeading2ChapterParanumTextSylfaen1"/>
    <w:rsid w:val="0045493E"/>
    <w:rPr>
      <w:rFonts w:ascii="GHEA Grapalat" w:hAnsi="GHEA Grapalat" w:cs="Arial"/>
      <w:b/>
      <w:iCs/>
      <w:sz w:val="22"/>
      <w:szCs w:val="22"/>
      <w:lang w:val="af-ZA" w:eastAsia="ru-RU"/>
    </w:rPr>
  </w:style>
  <w:style w:type="paragraph" w:customStyle="1" w:styleId="8">
    <w:name w:val="????????? 8"/>
    <w:basedOn w:val="a5"/>
    <w:next w:val="a5"/>
    <w:rsid w:val="0045493E"/>
    <w:pPr>
      <w:keepNext/>
      <w:ind w:firstLine="426"/>
      <w:outlineLvl w:val="7"/>
    </w:pPr>
    <w:rPr>
      <w:rFonts w:ascii="Times Armenian" w:hAnsi="Times Armenian"/>
      <w:b/>
      <w:sz w:val="24"/>
      <w:lang w:val="en-US"/>
    </w:rPr>
  </w:style>
  <w:style w:type="paragraph" w:customStyle="1" w:styleId="210">
    <w:name w:val="???????? ????? ? ???????? 21"/>
    <w:basedOn w:val="2"/>
    <w:rsid w:val="0045493E"/>
    <w:pPr>
      <w:spacing w:line="360" w:lineRule="auto"/>
      <w:ind w:firstLine="840"/>
      <w:jc w:val="both"/>
    </w:pPr>
    <w:rPr>
      <w:rFonts w:ascii="Arial LatArm" w:hAnsi="Arial LatArm"/>
    </w:rPr>
  </w:style>
  <w:style w:type="character" w:customStyle="1" w:styleId="BodyText2Char1">
    <w:name w:val="Body Text 2 Char1"/>
    <w:aliases w:val="1Text Char1"/>
    <w:link w:val="BodyText2"/>
    <w:rsid w:val="0045493E"/>
    <w:rPr>
      <w:lang w:val="ru-RU" w:eastAsia="ru-RU" w:bidi="ar-SA"/>
    </w:rPr>
  </w:style>
  <w:style w:type="character" w:customStyle="1" w:styleId="BodyText3Char1">
    <w:name w:val="Body Text 3 Char1"/>
    <w:link w:val="BodyText3"/>
    <w:rsid w:val="0045493E"/>
    <w:rPr>
      <w:sz w:val="16"/>
      <w:szCs w:val="16"/>
      <w:lang w:val="ru-RU" w:eastAsia="ru-RU" w:bidi="ar-SA"/>
    </w:rPr>
  </w:style>
  <w:style w:type="paragraph" w:customStyle="1" w:styleId="Bullet">
    <w:name w:val="Bullet"/>
    <w:aliases w:val="bl,Bullet L1,bl1"/>
    <w:basedOn w:val="Normal"/>
    <w:rsid w:val="0045493E"/>
    <w:pPr>
      <w:numPr>
        <w:numId w:val="3"/>
      </w:numPr>
      <w:tabs>
        <w:tab w:val="clear" w:pos="720"/>
        <w:tab w:val="left" w:pos="360"/>
      </w:tabs>
      <w:overflowPunct w:val="0"/>
      <w:autoSpaceDE w:val="0"/>
      <w:autoSpaceDN w:val="0"/>
      <w:adjustRightInd w:val="0"/>
      <w:spacing w:after="130"/>
      <w:ind w:left="360"/>
      <w:textAlignment w:val="baseline"/>
    </w:pPr>
    <w:rPr>
      <w:lang w:val="en-GB"/>
    </w:rPr>
  </w:style>
  <w:style w:type="paragraph" w:customStyle="1" w:styleId="BSAPtext">
    <w:name w:val="BSAP text"/>
    <w:basedOn w:val="Normal"/>
    <w:rsid w:val="0045493E"/>
    <w:rPr>
      <w:rFonts w:ascii="Bookman Old Style" w:hAnsi="Bookman Old Style"/>
    </w:rPr>
  </w:style>
  <w:style w:type="character" w:customStyle="1" w:styleId="EndnoteTextChar">
    <w:name w:val="Endnote Text Char"/>
    <w:link w:val="EndnoteText"/>
    <w:rsid w:val="0045493E"/>
    <w:rPr>
      <w:lang w:val="en-GB" w:eastAsia="en-US" w:bidi="ar-SA"/>
    </w:rPr>
  </w:style>
  <w:style w:type="character" w:customStyle="1" w:styleId="FooterChar2">
    <w:name w:val="Footer Char2"/>
    <w:link w:val="Footer"/>
    <w:rsid w:val="0045493E"/>
    <w:rPr>
      <w:sz w:val="22"/>
      <w:szCs w:val="22"/>
      <w:lang w:val="en-GB"/>
    </w:rPr>
  </w:style>
  <w:style w:type="paragraph" w:customStyle="1" w:styleId="xl32">
    <w:name w:val="xl32"/>
    <w:basedOn w:val="Normal"/>
    <w:rsid w:val="004549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Armenian" w:hAnsi="Times Armenian"/>
      <w:sz w:val="16"/>
      <w:szCs w:val="16"/>
      <w:lang w:val="ru-RU" w:eastAsia="ru-RU"/>
    </w:rPr>
  </w:style>
  <w:style w:type="paragraph" w:customStyle="1" w:styleId="CaptionSubtitle">
    <w:name w:val="Caption: Subtitle"/>
    <w:rsid w:val="0045493E"/>
    <w:pPr>
      <w:spacing w:after="160" w:line="259" w:lineRule="auto"/>
    </w:pPr>
    <w:rPr>
      <w:rFonts w:ascii="Arial" w:hAnsi="Arial"/>
      <w:sz w:val="18"/>
      <w:szCs w:val="22"/>
    </w:rPr>
  </w:style>
  <w:style w:type="character" w:customStyle="1" w:styleId="FootnoteTextChar">
    <w:name w:val="Footnote Text Char"/>
    <w:aliases w:val="fn Char3,ADB Char2,single space Char1,footnote text Char Char1,fn Char Char1,ADB Char Char1,single space Char Char Char1,footnote text Char2,FOOTNOTES Char Char1,FOOTNOTES Char Char Char Char1,FOOTNOTES Char2,f Char1,Footnote Char"/>
    <w:link w:val="FootnoteText"/>
    <w:uiPriority w:val="99"/>
    <w:rsid w:val="0045493E"/>
    <w:rPr>
      <w:rFonts w:ascii="GHEA Grapalat" w:hAnsi="GHEA Grapalat"/>
      <w:sz w:val="16"/>
      <w:szCs w:val="20"/>
    </w:rPr>
  </w:style>
  <w:style w:type="paragraph" w:customStyle="1" w:styleId="Tabletext">
    <w:name w:val="Tabletext"/>
    <w:basedOn w:val="Normal"/>
    <w:rsid w:val="0045493E"/>
    <w:pPr>
      <w:overflowPunct w:val="0"/>
      <w:autoSpaceDE w:val="0"/>
      <w:autoSpaceDN w:val="0"/>
      <w:adjustRightInd w:val="0"/>
      <w:ind w:left="153" w:hanging="153"/>
      <w:textAlignment w:val="baseline"/>
    </w:pPr>
    <w:rPr>
      <w:sz w:val="18"/>
      <w:szCs w:val="20"/>
      <w:lang w:val="en-GB"/>
    </w:rPr>
  </w:style>
  <w:style w:type="paragraph" w:customStyle="1" w:styleId="CaptionTable">
    <w:name w:val="Caption_Table"/>
    <w:basedOn w:val="Caption"/>
    <w:qFormat/>
    <w:rsid w:val="0045493E"/>
    <w:pPr>
      <w:ind w:left="1325" w:hanging="1325"/>
    </w:pPr>
    <w:rPr>
      <w:rFonts w:ascii="Arial Armenian" w:hAnsi="Arial Armenian"/>
      <w:lang w:val="en-GB"/>
    </w:rPr>
  </w:style>
  <w:style w:type="paragraph" w:customStyle="1" w:styleId="xl34">
    <w:name w:val="xl34"/>
    <w:basedOn w:val="Normal"/>
    <w:qFormat/>
    <w:rsid w:val="0045493E"/>
    <w:pPr>
      <w:spacing w:before="100" w:beforeAutospacing="1" w:after="100" w:afterAutospacing="1"/>
      <w:jc w:val="center"/>
    </w:pPr>
    <w:rPr>
      <w:rFonts w:ascii="Arial Armenian" w:eastAsia="Arial Unicode MS" w:hAnsi="Arial Armenian" w:cs="Arial Unicode MS"/>
      <w:sz w:val="16"/>
      <w:szCs w:val="16"/>
    </w:rPr>
  </w:style>
  <w:style w:type="paragraph" w:customStyle="1" w:styleId="Tablefirstcolumn">
    <w:name w:val="Table_first column"/>
    <w:basedOn w:val="Normal"/>
    <w:rsid w:val="0045493E"/>
    <w:pPr>
      <w:spacing w:before="60"/>
    </w:pPr>
    <w:rPr>
      <w:rFonts w:ascii="Arial Armenian" w:hAnsi="Arial Armenian"/>
      <w:sz w:val="16"/>
      <w:szCs w:val="20"/>
      <w:lang w:val="en-GB"/>
    </w:rPr>
  </w:style>
  <w:style w:type="paragraph" w:customStyle="1" w:styleId="xl25">
    <w:name w:val="xl25"/>
    <w:basedOn w:val="Normal"/>
    <w:rsid w:val="0045493E"/>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i/>
      <w:iCs/>
      <w:sz w:val="16"/>
      <w:szCs w:val="16"/>
    </w:rPr>
  </w:style>
  <w:style w:type="paragraph" w:customStyle="1" w:styleId="BodyTextIndentTableSourceTableSourceCharBodyTextIndentChar">
    <w:name w:val="Body Text Indent.(Table Source).(Table Source) Char.Body Text Indent Char"/>
    <w:basedOn w:val="BodyTextMainTextdateBodyTextMaintext"/>
    <w:next w:val="Normal"/>
    <w:rsid w:val="0045493E"/>
    <w:pPr>
      <w:spacing w:before="60" w:after="60" w:line="240" w:lineRule="auto"/>
    </w:pPr>
    <w:rPr>
      <w:i/>
      <w:sz w:val="16"/>
    </w:rPr>
  </w:style>
  <w:style w:type="paragraph" w:customStyle="1" w:styleId="Tablefirstrow">
    <w:name w:val="Table_first row"/>
    <w:basedOn w:val="Normal"/>
    <w:rsid w:val="0045493E"/>
    <w:pPr>
      <w:widowControl w:val="0"/>
      <w:spacing w:before="60"/>
      <w:jc w:val="right"/>
    </w:pPr>
    <w:rPr>
      <w:rFonts w:ascii="Arial Armenian" w:hAnsi="Arial Armenian"/>
      <w:b/>
      <w:sz w:val="16"/>
      <w:szCs w:val="20"/>
      <w:lang w:val="en-GB"/>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45493E"/>
    <w:rPr>
      <w:rFonts w:ascii="Arial Armenian" w:hAnsi="Arial Armenian"/>
      <w:i/>
      <w:sz w:val="18"/>
      <w:lang w:val="en-GB"/>
    </w:rPr>
  </w:style>
  <w:style w:type="character" w:customStyle="1" w:styleId="BalloonTextChar">
    <w:name w:val="Balloon Text Char"/>
    <w:link w:val="BalloonText"/>
    <w:uiPriority w:val="99"/>
    <w:qFormat/>
    <w:rsid w:val="0045493E"/>
    <w:rPr>
      <w:rFonts w:ascii="Tahoma" w:hAnsi="Tahoma" w:cs="Tahoma"/>
      <w:sz w:val="16"/>
      <w:szCs w:val="16"/>
    </w:rPr>
  </w:style>
  <w:style w:type="paragraph" w:customStyle="1" w:styleId="ListParagraph3">
    <w:name w:val="List Paragraph3"/>
    <w:aliases w:val="Akapit z listą BS,List Paragraph 1,List_Paragraph,Multilevel para_II,Bullet1,Bullets,References,List Paragraph (numbered (a)),IBL List Paragraph,List Paragraph nowy,Numbered List Paragraph,List Paragraph-ExecSummary,List Paragraph31,Ha"/>
    <w:basedOn w:val="Normal"/>
    <w:link w:val="ListParagraphChar"/>
    <w:qFormat/>
    <w:rsid w:val="0045493E"/>
    <w:pPr>
      <w:ind w:left="720"/>
      <w:contextualSpacing/>
    </w:pPr>
  </w:style>
  <w:style w:type="character" w:customStyle="1" w:styleId="HeaderChar1">
    <w:name w:val="Header Char1"/>
    <w:aliases w:val="Header Char Char Char Char Char Char Char Char Char Char Char,Header Char Char Char Char Char Char Char Char Char Char Char Char Char,h Char"/>
    <w:link w:val="Header"/>
    <w:uiPriority w:val="99"/>
    <w:rsid w:val="0045493E"/>
    <w:rPr>
      <w:sz w:val="24"/>
      <w:szCs w:val="24"/>
    </w:rPr>
  </w:style>
  <w:style w:type="paragraph" w:customStyle="1" w:styleId="H1-intro">
    <w:name w:val="H1-intro"/>
    <w:basedOn w:val="Heading1"/>
    <w:rsid w:val="0045493E"/>
    <w:pPr>
      <w:widowControl w:val="0"/>
      <w:tabs>
        <w:tab w:val="left" w:pos="-284"/>
      </w:tabs>
      <w:spacing w:before="0" w:after="0"/>
      <w:ind w:right="-51"/>
      <w:jc w:val="center"/>
    </w:pPr>
    <w:rPr>
      <w:rFonts w:ascii="Times Armenian" w:hAnsi="Times Armenian"/>
      <w:bCs w:val="0"/>
      <w:iCs/>
      <w:spacing w:val="60"/>
      <w:kern w:val="28"/>
      <w:sz w:val="28"/>
      <w:lang w:val="es-ES"/>
    </w:rPr>
  </w:style>
  <w:style w:type="character" w:customStyle="1" w:styleId="TitleChar1">
    <w:name w:val="Title Char1"/>
    <w:rsid w:val="0045493E"/>
    <w:rPr>
      <w:rFonts w:ascii="Arial Armenian" w:hAnsi="Arial Armenian"/>
      <w:b/>
      <w:bCs/>
      <w:sz w:val="24"/>
      <w:szCs w:val="24"/>
      <w:lang w:val="fr-FR"/>
    </w:rPr>
  </w:style>
  <w:style w:type="paragraph" w:customStyle="1" w:styleId="CaptionGraph">
    <w:name w:val="Caption_Graph"/>
    <w:basedOn w:val="Caption"/>
    <w:qFormat/>
    <w:rsid w:val="0045493E"/>
    <w:pPr>
      <w:spacing w:before="120"/>
      <w:ind w:left="1325" w:hanging="1325"/>
    </w:pPr>
    <w:rPr>
      <w:lang w:val="it-IT"/>
    </w:rPr>
  </w:style>
  <w:style w:type="paragraph" w:customStyle="1" w:styleId="graphtable">
    <w:name w:val="graph&amp;table"/>
    <w:basedOn w:val="BodyText"/>
    <w:next w:val="BodyTextIndent"/>
    <w:rsid w:val="0045493E"/>
    <w:pPr>
      <w:widowControl w:val="0"/>
      <w:spacing w:before="60" w:after="60"/>
    </w:pPr>
    <w:rPr>
      <w:rFonts w:ascii="Arial Armenian" w:hAnsi="Arial Armenian"/>
      <w:sz w:val="20"/>
      <w:szCs w:val="20"/>
      <w:lang w:val="en-GB"/>
    </w:rPr>
  </w:style>
  <w:style w:type="paragraph" w:customStyle="1" w:styleId="BodyTextdate">
    <w:name w:val="Body Text.date"/>
    <w:basedOn w:val="Normal"/>
    <w:rsid w:val="0045493E"/>
    <w:pPr>
      <w:widowControl w:val="0"/>
      <w:spacing w:after="120" w:line="360" w:lineRule="auto"/>
    </w:pPr>
    <w:rPr>
      <w:rFonts w:ascii="Arial Armenian" w:hAnsi="Arial Armenian"/>
      <w:spacing w:val="-5"/>
      <w:sz w:val="20"/>
      <w:szCs w:val="20"/>
      <w:lang w:val="en-GB"/>
    </w:rPr>
  </w:style>
  <w:style w:type="character" w:customStyle="1" w:styleId="CaptionGraphChar">
    <w:name w:val="Caption_Graph Char"/>
    <w:rsid w:val="0045493E"/>
    <w:rPr>
      <w:rFonts w:ascii="Arial Armenian" w:hAnsi="Arial Armenian"/>
      <w:b/>
      <w:sz w:val="20"/>
    </w:rPr>
  </w:style>
  <w:style w:type="paragraph" w:customStyle="1" w:styleId="CoverSubTitle">
    <w:name w:val="Cover SubTitle"/>
    <w:basedOn w:val="Normal"/>
    <w:rsid w:val="0045493E"/>
    <w:pPr>
      <w:widowControl w:val="0"/>
      <w:overflowPunct w:val="0"/>
      <w:autoSpaceDE w:val="0"/>
      <w:autoSpaceDN w:val="0"/>
      <w:adjustRightInd w:val="0"/>
      <w:spacing w:line="440" w:lineRule="exact"/>
      <w:jc w:val="center"/>
      <w:textAlignment w:val="baseline"/>
    </w:pPr>
    <w:rPr>
      <w:sz w:val="32"/>
      <w:szCs w:val="20"/>
    </w:rPr>
  </w:style>
  <w:style w:type="paragraph" w:customStyle="1" w:styleId="Heading5Side">
    <w:name w:val="Heading 5.Side"/>
    <w:basedOn w:val="Normal"/>
    <w:next w:val="Normal"/>
    <w:rsid w:val="0045493E"/>
    <w:pPr>
      <w:keepNext/>
      <w:spacing w:line="360" w:lineRule="auto"/>
      <w:outlineLvl w:val="4"/>
    </w:pPr>
    <w:rPr>
      <w:rFonts w:ascii="Times LatArm" w:hAnsi="Times LatArm"/>
      <w:szCs w:val="20"/>
      <w:lang w:val="en-NZ"/>
    </w:rPr>
  </w:style>
  <w:style w:type="paragraph" w:customStyle="1" w:styleId="23">
    <w:name w:val="çàãîëîâîê 2"/>
    <w:basedOn w:val="Normal"/>
    <w:next w:val="Normal"/>
    <w:rsid w:val="0045493E"/>
    <w:pPr>
      <w:keepNext/>
      <w:overflowPunct w:val="0"/>
      <w:autoSpaceDE w:val="0"/>
      <w:autoSpaceDN w:val="0"/>
      <w:adjustRightInd w:val="0"/>
    </w:pPr>
    <w:rPr>
      <w:rFonts w:ascii="Arial Armenian" w:hAnsi="Arial Armenian"/>
      <w:szCs w:val="20"/>
    </w:rPr>
  </w:style>
  <w:style w:type="paragraph" w:customStyle="1" w:styleId="BodyTextMainTextdate">
    <w:name w:val="Body Text.(Main Text).date"/>
    <w:basedOn w:val="Normal"/>
    <w:rsid w:val="0045493E"/>
    <w:pPr>
      <w:jc w:val="center"/>
    </w:pPr>
    <w:rPr>
      <w:rFonts w:ascii="Times LatArm" w:hAnsi="Times LatArm"/>
      <w:b/>
      <w:i/>
      <w:sz w:val="28"/>
      <w:szCs w:val="20"/>
    </w:rPr>
  </w:style>
  <w:style w:type="paragraph" w:customStyle="1" w:styleId="CaptionAnnexedTable">
    <w:name w:val="Caption_Annexed Table"/>
    <w:basedOn w:val="Caption"/>
    <w:rsid w:val="0045493E"/>
    <w:pPr>
      <w:spacing w:before="120"/>
      <w:ind w:left="1325" w:hanging="1325"/>
    </w:pPr>
  </w:style>
  <w:style w:type="paragraph" w:customStyle="1" w:styleId="xl28">
    <w:name w:val="xl28"/>
    <w:basedOn w:val="Normal"/>
    <w:rsid w:val="0045493E"/>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ascii="Times Armenian" w:eastAsia="Arial Unicode MS" w:hAnsi="Times Armenian" w:cs="Arial Unicode MS"/>
      <w:b/>
      <w:bCs/>
      <w:sz w:val="16"/>
      <w:szCs w:val="16"/>
    </w:rPr>
  </w:style>
  <w:style w:type="paragraph" w:customStyle="1" w:styleId="xl57">
    <w:name w:val="xl57"/>
    <w:basedOn w:val="Normal"/>
    <w:rsid w:val="0045493E"/>
    <w:pPr>
      <w:pBdr>
        <w:bottom w:val="single" w:sz="4" w:space="0" w:color="auto"/>
        <w:right w:val="single" w:sz="4" w:space="0" w:color="auto"/>
      </w:pBdr>
      <w:spacing w:before="100" w:after="100"/>
    </w:pPr>
    <w:rPr>
      <w:rFonts w:ascii="Times Armenian" w:eastAsia="Arial Unicode MS" w:hAnsi="Times Armenian"/>
      <w:sz w:val="16"/>
      <w:szCs w:val="20"/>
    </w:rPr>
  </w:style>
  <w:style w:type="character" w:customStyle="1" w:styleId="PlainTextChar">
    <w:name w:val="Plain Text Char"/>
    <w:link w:val="PlainText"/>
    <w:rsid w:val="0045493E"/>
    <w:rPr>
      <w:rFonts w:ascii="Courier New" w:hAnsi="Courier New"/>
    </w:rPr>
  </w:style>
  <w:style w:type="paragraph" w:customStyle="1" w:styleId="Armenian">
    <w:name w:val="Armenian"/>
    <w:basedOn w:val="Normal"/>
    <w:rsid w:val="0045493E"/>
    <w:pPr>
      <w:autoSpaceDE w:val="0"/>
      <w:autoSpaceDN w:val="0"/>
    </w:pPr>
    <w:rPr>
      <w:rFonts w:ascii="Times LatArm" w:hAnsi="Times LatArm"/>
      <w:sz w:val="20"/>
    </w:rPr>
  </w:style>
  <w:style w:type="paragraph" w:customStyle="1" w:styleId="Vernagir">
    <w:name w:val="Vernagir"/>
    <w:basedOn w:val="Normal"/>
    <w:next w:val="Normal"/>
    <w:rsid w:val="0045493E"/>
    <w:pPr>
      <w:autoSpaceDE w:val="0"/>
      <w:autoSpaceDN w:val="0"/>
      <w:spacing w:before="240" w:after="120"/>
      <w:jc w:val="center"/>
    </w:pPr>
    <w:rPr>
      <w:rFonts w:ascii="Times Armenian" w:hAnsi="Times Armenian"/>
      <w:b/>
      <w:bCs/>
      <w:sz w:val="20"/>
    </w:rPr>
  </w:style>
  <w:style w:type="paragraph" w:customStyle="1" w:styleId="xl44">
    <w:name w:val="xl44"/>
    <w:basedOn w:val="Normal"/>
    <w:rsid w:val="0045493E"/>
    <w:pPr>
      <w:pBdr>
        <w:bottom w:val="single" w:sz="4" w:space="0" w:color="auto"/>
        <w:right w:val="single" w:sz="4" w:space="0" w:color="auto"/>
      </w:pBdr>
      <w:shd w:val="clear" w:color="auto" w:fill="00FF00"/>
      <w:spacing w:before="100" w:after="100"/>
      <w:jc w:val="center"/>
      <w:textAlignment w:val="top"/>
    </w:pPr>
    <w:rPr>
      <w:rFonts w:ascii="Arial Armenian" w:eastAsia="Arial Unicode MS" w:hAnsi="Arial Armenian"/>
      <w:sz w:val="16"/>
      <w:szCs w:val="20"/>
    </w:rPr>
  </w:style>
  <w:style w:type="paragraph" w:customStyle="1" w:styleId="Heading3Sub-ChapterCenteredtext">
    <w:name w:val="Heading 3.(Sub-Chapter).Centered.(text)"/>
    <w:basedOn w:val="Normal"/>
    <w:next w:val="BodyTextMainTextdateBodyTextMaintext"/>
    <w:rsid w:val="0045493E"/>
    <w:pPr>
      <w:keepNext/>
      <w:widowControl w:val="0"/>
      <w:tabs>
        <w:tab w:val="left" w:pos="624"/>
      </w:tabs>
      <w:spacing w:before="240" w:after="240"/>
      <w:outlineLvl w:val="2"/>
    </w:pPr>
    <w:rPr>
      <w:rFonts w:ascii="Times Armenian" w:hAnsi="Times Armenian"/>
      <w:b/>
      <w:lang w:val="af-ZA"/>
    </w:rPr>
  </w:style>
  <w:style w:type="paragraph" w:customStyle="1" w:styleId="BoxTitle">
    <w:name w:val="Box_Title"/>
    <w:basedOn w:val="Caption"/>
    <w:rsid w:val="0045493E"/>
    <w:pPr>
      <w:spacing w:before="60" w:after="120"/>
      <w:ind w:left="1325" w:hanging="1325"/>
    </w:pPr>
    <w:rPr>
      <w:lang w:val="fr-FR"/>
    </w:rPr>
  </w:style>
  <w:style w:type="paragraph" w:customStyle="1" w:styleId="TOCBase">
    <w:name w:val="TOC Base"/>
    <w:basedOn w:val="Normal"/>
    <w:rsid w:val="0045493E"/>
    <w:pPr>
      <w:tabs>
        <w:tab w:val="right" w:leader="dot" w:pos="8505"/>
      </w:tabs>
      <w:overflowPunct w:val="0"/>
      <w:autoSpaceDE w:val="0"/>
      <w:autoSpaceDN w:val="0"/>
      <w:adjustRightInd w:val="0"/>
      <w:textAlignment w:val="baseline"/>
    </w:pPr>
    <w:rPr>
      <w:rFonts w:ascii="Gill Sans" w:hAnsi="Gill Sans"/>
      <w:szCs w:val="20"/>
    </w:rPr>
  </w:style>
  <w:style w:type="paragraph" w:customStyle="1" w:styleId="Bulets">
    <w:name w:val="Bulets"/>
    <w:basedOn w:val="Normal"/>
    <w:next w:val="Normal"/>
    <w:rsid w:val="0045493E"/>
    <w:pPr>
      <w:tabs>
        <w:tab w:val="left" w:pos="360"/>
      </w:tabs>
      <w:ind w:left="357" w:hanging="357"/>
    </w:pPr>
    <w:rPr>
      <w:rFonts w:ascii="Times Armenian" w:hAnsi="Times Armenian"/>
      <w:sz w:val="20"/>
      <w:szCs w:val="20"/>
    </w:rPr>
  </w:style>
  <w:style w:type="paragraph" w:customStyle="1" w:styleId="Numbering">
    <w:name w:val="Numbering"/>
    <w:basedOn w:val="Normal"/>
    <w:next w:val="Normal"/>
    <w:rsid w:val="0045493E"/>
    <w:pPr>
      <w:tabs>
        <w:tab w:val="left" w:pos="360"/>
      </w:tabs>
      <w:ind w:left="360" w:hanging="360"/>
    </w:pPr>
    <w:rPr>
      <w:rFonts w:ascii="Times Armenian" w:hAnsi="Times Armenian"/>
      <w:sz w:val="20"/>
      <w:szCs w:val="20"/>
    </w:rPr>
  </w:style>
  <w:style w:type="paragraph" w:customStyle="1" w:styleId="Bulet-2">
    <w:name w:val="Bulet-2"/>
    <w:basedOn w:val="Normal"/>
    <w:rsid w:val="0045493E"/>
    <w:pPr>
      <w:tabs>
        <w:tab w:val="left" w:pos="454"/>
      </w:tabs>
      <w:ind w:left="454" w:hanging="454"/>
    </w:pPr>
    <w:rPr>
      <w:rFonts w:ascii="Times Armenian" w:hAnsi="Times Armenian"/>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45493E"/>
    <w:pPr>
      <w:spacing w:after="120"/>
      <w:ind w:left="360"/>
    </w:pPr>
    <w:rPr>
      <w:sz w:val="20"/>
    </w:rPr>
  </w:style>
  <w:style w:type="paragraph" w:customStyle="1" w:styleId="StyleHeading120pt">
    <w:name w:val="Style Heading 1 + 20 pt"/>
    <w:basedOn w:val="Heading1"/>
    <w:rsid w:val="0045493E"/>
    <w:pPr>
      <w:spacing w:before="0" w:after="0"/>
    </w:pPr>
    <w:rPr>
      <w:rFonts w:ascii="Times Armenian" w:hAnsi="Times Armenian"/>
      <w:sz w:val="40"/>
      <w:szCs w:val="24"/>
    </w:rPr>
  </w:style>
  <w:style w:type="paragraph" w:customStyle="1" w:styleId="StyleHeading216ptBoldLightBlueLeft025">
    <w:name w:val="Style Heading 2 + 16 pt Bold Light Blue Left:  0.25&quot;"/>
    <w:basedOn w:val="Heading2"/>
    <w:rsid w:val="0045493E"/>
    <w:pPr>
      <w:ind w:left="360"/>
    </w:pPr>
    <w:rPr>
      <w:color w:val="3366FF"/>
      <w:spacing w:val="24"/>
    </w:rPr>
  </w:style>
  <w:style w:type="character" w:customStyle="1" w:styleId="SubtitleChar">
    <w:name w:val="Subtitle Char"/>
    <w:basedOn w:val="DefaultParagraphFont"/>
    <w:link w:val="Subtitle"/>
    <w:rsid w:val="0045493E"/>
    <w:rPr>
      <w:rFonts w:asciiTheme="majorHAnsi" w:eastAsiaTheme="majorEastAsia" w:hAnsiTheme="majorHAnsi" w:cstheme="majorBidi"/>
      <w:i/>
      <w:iCs/>
      <w:spacing w:val="13"/>
      <w:sz w:val="24"/>
      <w:szCs w:val="24"/>
    </w:rPr>
  </w:style>
  <w:style w:type="paragraph" w:customStyle="1" w:styleId="BodyTextIndentTableSource">
    <w:name w:val="Body Text Indent.(Table Source)"/>
    <w:basedOn w:val="Normal"/>
    <w:rsid w:val="0045493E"/>
    <w:pPr>
      <w:spacing w:line="360" w:lineRule="auto"/>
      <w:ind w:firstLine="540"/>
    </w:pPr>
    <w:rPr>
      <w:rFonts w:ascii="Times LatArm" w:hAnsi="Times LatArm"/>
      <w:szCs w:val="20"/>
    </w:rPr>
  </w:style>
  <w:style w:type="character" w:customStyle="1" w:styleId="TableTitleCharCharCharCharCharCharCharCharCharCharChar">
    <w:name w:val="(Table Title) Char Char Char Char Char Char Char Char Char Char Char"/>
    <w:aliases w:val="Caption1,(Table Title)1"/>
    <w:rsid w:val="0045493E"/>
    <w:rPr>
      <w:rFonts w:ascii="Arial Armenian" w:hAnsi="Arial Armenian"/>
      <w:b/>
      <w:lang w:val="en-GB" w:eastAsia="en-US" w:bidi="ar-SA"/>
    </w:rPr>
  </w:style>
  <w:style w:type="paragraph" w:customStyle="1" w:styleId="xl26">
    <w:name w:val="xl26"/>
    <w:basedOn w:val="Normal"/>
    <w:rsid w:val="0045493E"/>
    <w:pPr>
      <w:pBdr>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27">
    <w:name w:val="xl27"/>
    <w:basedOn w:val="Normal"/>
    <w:rsid w:val="0045493E"/>
    <w:pPr>
      <w:pBdr>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29">
    <w:name w:val="xl29"/>
    <w:basedOn w:val="Normal"/>
    <w:rsid w:val="0045493E"/>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Times Armenian" w:eastAsia="Arial Unicode MS" w:hAnsi="Times Armenian" w:cs="Arial Unicode MS"/>
      <w:b/>
      <w:bCs/>
      <w:sz w:val="16"/>
      <w:szCs w:val="16"/>
    </w:rPr>
  </w:style>
  <w:style w:type="paragraph" w:customStyle="1" w:styleId="xl30">
    <w:name w:val="xl30"/>
    <w:basedOn w:val="Normal"/>
    <w:rsid w:val="0045493E"/>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31">
    <w:name w:val="xl31"/>
    <w:basedOn w:val="Normal"/>
    <w:rsid w:val="00454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Armenian" w:eastAsia="Arial Unicode MS" w:hAnsi="Times Armenian" w:cs="Arial Unicode MS"/>
      <w:sz w:val="16"/>
      <w:szCs w:val="16"/>
    </w:rPr>
  </w:style>
  <w:style w:type="paragraph" w:customStyle="1" w:styleId="xl43">
    <w:name w:val="xl43"/>
    <w:basedOn w:val="Normal"/>
    <w:rsid w:val="0045493E"/>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16"/>
      <w:szCs w:val="16"/>
    </w:rPr>
  </w:style>
  <w:style w:type="paragraph" w:customStyle="1" w:styleId="BoxText">
    <w:name w:val="Box Text"/>
    <w:basedOn w:val="BodyText"/>
    <w:rsid w:val="0045493E"/>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line="360" w:lineRule="auto"/>
      <w:ind w:firstLine="652"/>
      <w:suppressOverlap/>
    </w:pPr>
    <w:rPr>
      <w:rFonts w:ascii="Arial Armenian" w:hAnsi="Arial Armenian"/>
      <w:sz w:val="20"/>
      <w:szCs w:val="20"/>
      <w:lang w:val="it-IT"/>
    </w:rPr>
  </w:style>
  <w:style w:type="paragraph" w:customStyle="1" w:styleId="BulletAB1">
    <w:name w:val="Bullet AB1"/>
    <w:basedOn w:val="Normal"/>
    <w:rsid w:val="0045493E"/>
    <w:pPr>
      <w:tabs>
        <w:tab w:val="left" w:pos="360"/>
        <w:tab w:val="left" w:pos="1008"/>
      </w:tabs>
      <w:ind w:left="360" w:hanging="360"/>
    </w:pPr>
    <w:rPr>
      <w:sz w:val="21"/>
      <w:szCs w:val="20"/>
      <w:lang w:val="en-GB"/>
    </w:rPr>
  </w:style>
  <w:style w:type="paragraph" w:customStyle="1" w:styleId="Style1">
    <w:name w:val="Style1"/>
    <w:basedOn w:val="BodyText"/>
    <w:rsid w:val="0045493E"/>
    <w:pPr>
      <w:tabs>
        <w:tab w:val="left" w:pos="360"/>
        <w:tab w:val="left" w:pos="720"/>
        <w:tab w:val="left" w:pos="900"/>
        <w:tab w:val="left" w:pos="9029"/>
      </w:tabs>
      <w:spacing w:after="0" w:line="360" w:lineRule="auto"/>
      <w:ind w:left="720" w:hanging="360"/>
    </w:pPr>
    <w:rPr>
      <w:rFonts w:ascii="Arial Armenian" w:hAnsi="Arial Armenian"/>
      <w:i/>
      <w:szCs w:val="20"/>
      <w:lang w:val="af-ZA"/>
    </w:rPr>
  </w:style>
  <w:style w:type="paragraph" w:customStyle="1" w:styleId="Tables">
    <w:name w:val="Tables"/>
    <w:basedOn w:val="BodyText2"/>
    <w:qFormat/>
    <w:rsid w:val="0045493E"/>
    <w:pPr>
      <w:spacing w:after="0" w:line="240" w:lineRule="auto"/>
    </w:pPr>
    <w:rPr>
      <w:b/>
      <w:bCs/>
      <w:iCs/>
      <w:sz w:val="22"/>
      <w:szCs w:val="24"/>
      <w:lang w:val="en-US" w:eastAsia="en-US"/>
    </w:rPr>
  </w:style>
  <w:style w:type="paragraph" w:customStyle="1" w:styleId="wolort">
    <w:name w:val="wolort"/>
    <w:basedOn w:val="Normal"/>
    <w:rsid w:val="0045493E"/>
    <w:pPr>
      <w:jc w:val="center"/>
    </w:pPr>
    <w:rPr>
      <w:rFonts w:ascii="Arial Armenian" w:hAnsi="Arial Armenian"/>
      <w:b/>
    </w:rPr>
  </w:style>
  <w:style w:type="character" w:customStyle="1" w:styleId="Heading4Char">
    <w:name w:val="Heading 4 Char"/>
    <w:aliases w:val="Centred Char"/>
    <w:basedOn w:val="DefaultParagraphFont"/>
    <w:link w:val="Heading4"/>
    <w:rsid w:val="0045493E"/>
    <w:rPr>
      <w:rFonts w:ascii="GHEA Grapalat" w:hAnsi="GHEA Grapalat"/>
      <w:b/>
      <w:color w:val="0070C0"/>
      <w:sz w:val="22"/>
      <w:szCs w:val="22"/>
      <w:lang w:val="hy-AM"/>
    </w:rPr>
  </w:style>
  <w:style w:type="paragraph" w:customStyle="1" w:styleId="Tabletext0">
    <w:name w:val="Table text"/>
    <w:basedOn w:val="Normal"/>
    <w:rsid w:val="0045493E"/>
    <w:pPr>
      <w:overflowPunct w:val="0"/>
      <w:autoSpaceDE w:val="0"/>
      <w:autoSpaceDN w:val="0"/>
      <w:adjustRightInd w:val="0"/>
      <w:spacing w:before="60" w:line="240" w:lineRule="atLeast"/>
      <w:textAlignment w:val="baseline"/>
    </w:pPr>
    <w:rPr>
      <w:sz w:val="18"/>
      <w:szCs w:val="20"/>
      <w:lang w:val="en-GB"/>
    </w:rPr>
  </w:style>
  <w:style w:type="paragraph" w:customStyle="1" w:styleId="MessageText">
    <w:name w:val="Message Text"/>
    <w:basedOn w:val="BodyText"/>
    <w:rsid w:val="0045493E"/>
    <w:pPr>
      <w:widowControl w:val="0"/>
      <w:spacing w:line="360" w:lineRule="auto"/>
      <w:ind w:firstLine="652"/>
    </w:pPr>
    <w:rPr>
      <w:rFonts w:ascii="Arial Armenian" w:hAnsi="Arial Armenian"/>
      <w:szCs w:val="20"/>
      <w:lang w:val="en-GB"/>
    </w:rPr>
  </w:style>
  <w:style w:type="paragraph" w:customStyle="1" w:styleId="Heading41">
    <w:name w:val="Heading 41"/>
    <w:aliases w:val="Centred1"/>
    <w:basedOn w:val="Normal"/>
    <w:rsid w:val="0045493E"/>
    <w:pPr>
      <w:widowControl w:val="0"/>
      <w:tabs>
        <w:tab w:val="left" w:pos="1080"/>
      </w:tabs>
      <w:ind w:left="737" w:hanging="737"/>
    </w:pPr>
    <w:rPr>
      <w:rFonts w:ascii="Arial Armenian" w:hAnsi="Arial Armenian"/>
      <w:sz w:val="20"/>
      <w:szCs w:val="20"/>
      <w:lang w:val="en-GB"/>
    </w:rPr>
  </w:style>
  <w:style w:type="paragraph" w:customStyle="1" w:styleId="PRAMO">
    <w:name w:val="PRAMO"/>
    <w:basedOn w:val="Normal"/>
    <w:rsid w:val="0045493E"/>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pPr>
    <w:rPr>
      <w:rFonts w:ascii="Arial" w:hAnsi="Arial"/>
      <w:lang w:val="en-GB"/>
    </w:rPr>
  </w:style>
  <w:style w:type="paragraph" w:customStyle="1" w:styleId="bullet1">
    <w:name w:val="bullet1"/>
    <w:basedOn w:val="NormalIndent"/>
    <w:rsid w:val="0045493E"/>
    <w:pPr>
      <w:tabs>
        <w:tab w:val="clear" w:pos="1134"/>
        <w:tab w:val="clear" w:pos="1701"/>
        <w:tab w:val="left" w:pos="1418"/>
      </w:tabs>
      <w:ind w:left="0"/>
      <w:jc w:val="left"/>
    </w:pPr>
  </w:style>
  <w:style w:type="paragraph" w:customStyle="1" w:styleId="a8">
    <w:name w:val="????????"/>
    <w:basedOn w:val="Normal"/>
    <w:rsid w:val="0045493E"/>
    <w:pPr>
      <w:jc w:val="center"/>
    </w:pPr>
    <w:rPr>
      <w:rFonts w:ascii="Times Armenian" w:hAnsi="Times Armenian"/>
      <w:i/>
      <w:sz w:val="28"/>
      <w:szCs w:val="20"/>
      <w:lang w:eastAsia="ru-RU"/>
    </w:rPr>
  </w:style>
  <w:style w:type="paragraph" w:customStyle="1" w:styleId="13">
    <w:name w:val="???????? ????? ? ????????1"/>
    <w:basedOn w:val="2"/>
    <w:rsid w:val="0045493E"/>
    <w:pPr>
      <w:spacing w:line="360" w:lineRule="auto"/>
      <w:ind w:firstLine="720"/>
      <w:jc w:val="both"/>
    </w:pPr>
    <w:rPr>
      <w:sz w:val="28"/>
    </w:rPr>
  </w:style>
  <w:style w:type="paragraph" w:customStyle="1" w:styleId="BodyTextIndentTableSource1">
    <w:name w:val="Body Text Indent.(Table Source)1"/>
    <w:basedOn w:val="Normal"/>
    <w:rsid w:val="0045493E"/>
    <w:pPr>
      <w:ind w:firstLine="3"/>
    </w:pPr>
    <w:rPr>
      <w:rFonts w:ascii="Times Armenian" w:hAnsi="Times Armenian"/>
      <w:szCs w:val="20"/>
      <w:lang w:val="fr-FR"/>
    </w:rPr>
  </w:style>
  <w:style w:type="paragraph" w:customStyle="1" w:styleId="xl33">
    <w:name w:val="xl33"/>
    <w:basedOn w:val="Normal"/>
    <w:rsid w:val="0045493E"/>
    <w:pPr>
      <w:pBdr>
        <w:top w:val="single" w:sz="4" w:space="0" w:color="auto"/>
        <w:left w:val="single" w:sz="4" w:space="0" w:color="auto"/>
        <w:bottom w:val="single" w:sz="4" w:space="0" w:color="auto"/>
        <w:right w:val="single" w:sz="4" w:space="0" w:color="auto"/>
      </w:pBdr>
      <w:spacing w:before="100" w:after="100"/>
    </w:pPr>
    <w:rPr>
      <w:rFonts w:ascii="Arial Armenian" w:eastAsia="Arial Unicode MS" w:hAnsi="Arial Armenian"/>
      <w:b/>
      <w:i/>
      <w:sz w:val="16"/>
      <w:szCs w:val="20"/>
    </w:rPr>
  </w:style>
  <w:style w:type="paragraph" w:customStyle="1" w:styleId="xl35">
    <w:name w:val="xl35"/>
    <w:basedOn w:val="Normal"/>
    <w:rsid w:val="0045493E"/>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i/>
      <w:sz w:val="16"/>
      <w:szCs w:val="20"/>
    </w:rPr>
  </w:style>
  <w:style w:type="paragraph" w:customStyle="1" w:styleId="xl36">
    <w:name w:val="xl36"/>
    <w:basedOn w:val="Normal"/>
    <w:rsid w:val="0045493E"/>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sz w:val="16"/>
      <w:szCs w:val="20"/>
    </w:rPr>
  </w:style>
  <w:style w:type="paragraph" w:customStyle="1" w:styleId="xl37">
    <w:name w:val="xl37"/>
    <w:basedOn w:val="Normal"/>
    <w:rsid w:val="0045493E"/>
    <w:pPr>
      <w:pBdr>
        <w:top w:val="single" w:sz="4" w:space="0" w:color="auto"/>
        <w:left w:val="single" w:sz="4" w:space="0" w:color="auto"/>
        <w:bottom w:val="single" w:sz="4" w:space="0" w:color="auto"/>
        <w:right w:val="single" w:sz="4" w:space="0" w:color="auto"/>
      </w:pBdr>
      <w:spacing w:before="100" w:after="100"/>
      <w:textAlignment w:val="center"/>
    </w:pPr>
    <w:rPr>
      <w:rFonts w:ascii="Arial Armenian" w:eastAsia="Arial Unicode MS" w:hAnsi="Arial Armenian"/>
      <w:b/>
      <w:sz w:val="16"/>
      <w:szCs w:val="20"/>
    </w:rPr>
  </w:style>
  <w:style w:type="paragraph" w:customStyle="1" w:styleId="xl38">
    <w:name w:val="xl38"/>
    <w:basedOn w:val="Normal"/>
    <w:rsid w:val="0045493E"/>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b/>
      <w:sz w:val="16"/>
      <w:szCs w:val="20"/>
    </w:rPr>
  </w:style>
  <w:style w:type="paragraph" w:customStyle="1" w:styleId="xl39">
    <w:name w:val="xl39"/>
    <w:basedOn w:val="Normal"/>
    <w:rsid w:val="0045493E"/>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Armenian" w:eastAsia="Arial Unicode MS" w:hAnsi="Arial Armenian"/>
      <w:b/>
      <w:sz w:val="16"/>
      <w:szCs w:val="20"/>
    </w:rPr>
  </w:style>
  <w:style w:type="paragraph" w:customStyle="1" w:styleId="xl40">
    <w:name w:val="xl40"/>
    <w:basedOn w:val="Normal"/>
    <w:rsid w:val="0045493E"/>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Armenian" w:eastAsia="Arial Unicode MS" w:hAnsi="Arial Armenian"/>
      <w:b/>
      <w:sz w:val="16"/>
      <w:szCs w:val="20"/>
    </w:rPr>
  </w:style>
  <w:style w:type="paragraph" w:customStyle="1" w:styleId="xl41">
    <w:name w:val="xl41"/>
    <w:basedOn w:val="Normal"/>
    <w:rsid w:val="0045493E"/>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sz w:val="16"/>
      <w:szCs w:val="20"/>
    </w:rPr>
  </w:style>
  <w:style w:type="paragraph" w:customStyle="1" w:styleId="xl42">
    <w:name w:val="xl42"/>
    <w:basedOn w:val="Normal"/>
    <w:rsid w:val="0045493E"/>
    <w:pPr>
      <w:pBdr>
        <w:bottom w:val="single" w:sz="4" w:space="0" w:color="auto"/>
        <w:right w:val="single" w:sz="4" w:space="0" w:color="auto"/>
      </w:pBdr>
      <w:shd w:val="clear" w:color="auto" w:fill="00FF00"/>
      <w:spacing w:before="100" w:after="100"/>
      <w:jc w:val="center"/>
      <w:textAlignment w:val="top"/>
    </w:pPr>
    <w:rPr>
      <w:rFonts w:ascii="Arial Armenian" w:eastAsia="Arial Unicode MS" w:hAnsi="Arial Armenian"/>
      <w:i/>
      <w:sz w:val="16"/>
      <w:szCs w:val="20"/>
    </w:rPr>
  </w:style>
  <w:style w:type="paragraph" w:customStyle="1" w:styleId="xl45">
    <w:name w:val="xl45"/>
    <w:basedOn w:val="Normal"/>
    <w:rsid w:val="0045493E"/>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i/>
      <w:sz w:val="16"/>
      <w:szCs w:val="20"/>
    </w:rPr>
  </w:style>
  <w:style w:type="paragraph" w:customStyle="1" w:styleId="xl46">
    <w:name w:val="xl46"/>
    <w:basedOn w:val="Normal"/>
    <w:rsid w:val="0045493E"/>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i/>
      <w:sz w:val="16"/>
      <w:szCs w:val="20"/>
    </w:rPr>
  </w:style>
  <w:style w:type="paragraph" w:customStyle="1" w:styleId="xl47">
    <w:name w:val="xl47"/>
    <w:basedOn w:val="Normal"/>
    <w:rsid w:val="0045493E"/>
    <w:pPr>
      <w:pBdr>
        <w:bottom w:val="single" w:sz="4" w:space="0" w:color="auto"/>
        <w:right w:val="single" w:sz="4" w:space="0" w:color="auto"/>
      </w:pBdr>
      <w:shd w:val="clear" w:color="auto" w:fill="FFFFFF"/>
      <w:spacing w:before="100" w:after="100"/>
      <w:textAlignment w:val="top"/>
    </w:pPr>
    <w:rPr>
      <w:rFonts w:ascii="Arial Armenian" w:eastAsia="Arial Unicode MS" w:hAnsi="Arial Armenian"/>
      <w:i/>
      <w:sz w:val="16"/>
      <w:szCs w:val="20"/>
    </w:rPr>
  </w:style>
  <w:style w:type="paragraph" w:customStyle="1" w:styleId="xl48">
    <w:name w:val="xl48"/>
    <w:basedOn w:val="Normal"/>
    <w:rsid w:val="0045493E"/>
    <w:pPr>
      <w:pBdr>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6"/>
      <w:szCs w:val="20"/>
    </w:rPr>
  </w:style>
  <w:style w:type="paragraph" w:customStyle="1" w:styleId="xl49">
    <w:name w:val="xl49"/>
    <w:basedOn w:val="Normal"/>
    <w:rsid w:val="0045493E"/>
    <w:pPr>
      <w:pBdr>
        <w:top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8"/>
      <w:szCs w:val="20"/>
    </w:rPr>
  </w:style>
  <w:style w:type="paragraph" w:customStyle="1" w:styleId="xl50">
    <w:name w:val="xl50"/>
    <w:basedOn w:val="Normal"/>
    <w:rsid w:val="0045493E"/>
    <w:pPr>
      <w:pBdr>
        <w:top w:val="single" w:sz="4" w:space="0" w:color="auto"/>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51">
    <w:name w:val="xl51"/>
    <w:basedOn w:val="Normal"/>
    <w:rsid w:val="0045493E"/>
    <w:pPr>
      <w:pBdr>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52">
    <w:name w:val="xl52"/>
    <w:basedOn w:val="Normal"/>
    <w:qFormat/>
    <w:rsid w:val="0045493E"/>
    <w:pPr>
      <w:pBdr>
        <w:top w:val="single" w:sz="4" w:space="0" w:color="auto"/>
        <w:lef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3">
    <w:name w:val="xl53"/>
    <w:basedOn w:val="Normal"/>
    <w:rsid w:val="0045493E"/>
    <w:pPr>
      <w:pBdr>
        <w:top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4">
    <w:name w:val="xl54"/>
    <w:basedOn w:val="Normal"/>
    <w:rsid w:val="0045493E"/>
    <w:pPr>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55">
    <w:name w:val="xl55"/>
    <w:basedOn w:val="Normal"/>
    <w:rsid w:val="0045493E"/>
    <w:pPr>
      <w:pBdr>
        <w:left w:val="single" w:sz="4" w:space="0" w:color="auto"/>
        <w:bottom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6">
    <w:name w:val="xl56"/>
    <w:basedOn w:val="Normal"/>
    <w:rsid w:val="0045493E"/>
    <w:pPr>
      <w:pBdr>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8">
    <w:name w:val="xl58"/>
    <w:basedOn w:val="Normal"/>
    <w:rsid w:val="0045493E"/>
    <w:pPr>
      <w:pBdr>
        <w:left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4"/>
      <w:szCs w:val="20"/>
    </w:rPr>
  </w:style>
  <w:style w:type="paragraph" w:customStyle="1" w:styleId="xl59">
    <w:name w:val="xl59"/>
    <w:basedOn w:val="Normal"/>
    <w:rsid w:val="0045493E"/>
    <w:pPr>
      <w:pBdr>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4"/>
      <w:szCs w:val="20"/>
    </w:rPr>
  </w:style>
  <w:style w:type="paragraph" w:customStyle="1" w:styleId="xl60">
    <w:name w:val="xl60"/>
    <w:basedOn w:val="Normal"/>
    <w:rsid w:val="0045493E"/>
    <w:pPr>
      <w:pBdr>
        <w:top w:val="single" w:sz="4" w:space="0" w:color="auto"/>
        <w:lef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1">
    <w:name w:val="xl61"/>
    <w:basedOn w:val="Normal"/>
    <w:rsid w:val="0045493E"/>
    <w:pPr>
      <w:pBdr>
        <w:top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2">
    <w:name w:val="xl62"/>
    <w:basedOn w:val="Normal"/>
    <w:rsid w:val="0045493E"/>
    <w:pPr>
      <w:pBdr>
        <w:left w:val="single" w:sz="4" w:space="0" w:color="auto"/>
        <w:bottom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3">
    <w:name w:val="xl63"/>
    <w:basedOn w:val="Normal"/>
    <w:rsid w:val="0045493E"/>
    <w:pPr>
      <w:pBdr>
        <w:bottom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4">
    <w:name w:val="xl64"/>
    <w:basedOn w:val="Normal"/>
    <w:rsid w:val="0045493E"/>
    <w:pPr>
      <w:pBdr>
        <w:top w:val="single" w:sz="4" w:space="0" w:color="auto"/>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sz w:val="14"/>
      <w:szCs w:val="20"/>
    </w:rPr>
  </w:style>
  <w:style w:type="paragraph" w:customStyle="1" w:styleId="xl65">
    <w:name w:val="xl65"/>
    <w:basedOn w:val="Normal"/>
    <w:rsid w:val="0045493E"/>
    <w:pPr>
      <w:pBdr>
        <w:left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66">
    <w:name w:val="xl66"/>
    <w:basedOn w:val="Normal"/>
    <w:rsid w:val="0045493E"/>
    <w:pPr>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67">
    <w:name w:val="xl67"/>
    <w:basedOn w:val="Normal"/>
    <w:rsid w:val="0045493E"/>
    <w:pPr>
      <w:pBdr>
        <w:top w:val="single" w:sz="4" w:space="0" w:color="auto"/>
        <w:left w:val="single" w:sz="4" w:space="0" w:color="auto"/>
        <w:bottom w:val="single" w:sz="4" w:space="0" w:color="auto"/>
      </w:pBdr>
      <w:shd w:val="clear" w:color="auto" w:fill="FFFFFF"/>
      <w:spacing w:before="100" w:after="100"/>
      <w:jc w:val="center"/>
      <w:textAlignment w:val="top"/>
    </w:pPr>
    <w:rPr>
      <w:rFonts w:ascii="Arial Armenian" w:eastAsia="Arial Unicode MS" w:hAnsi="Arial Armenian"/>
      <w:b/>
      <w:sz w:val="18"/>
      <w:szCs w:val="20"/>
    </w:rPr>
  </w:style>
  <w:style w:type="paragraph" w:customStyle="1" w:styleId="xl68">
    <w:name w:val="xl68"/>
    <w:basedOn w:val="Normal"/>
    <w:rsid w:val="0045493E"/>
    <w:pPr>
      <w:pBdr>
        <w:top w:val="single" w:sz="4" w:space="0" w:color="auto"/>
        <w:left w:val="single" w:sz="4" w:space="0" w:color="auto"/>
        <w:bottom w:val="single" w:sz="4" w:space="0" w:color="auto"/>
        <w:right w:val="single" w:sz="4" w:space="0" w:color="auto"/>
      </w:pBdr>
      <w:spacing w:before="100" w:after="100"/>
      <w:textAlignment w:val="center"/>
    </w:pPr>
    <w:rPr>
      <w:rFonts w:ascii="Arial Armenian" w:eastAsia="Arial Unicode MS" w:hAnsi="Arial Armenian"/>
      <w:i/>
      <w:sz w:val="14"/>
      <w:szCs w:val="20"/>
    </w:rPr>
  </w:style>
  <w:style w:type="paragraph" w:customStyle="1" w:styleId="xl69">
    <w:name w:val="xl69"/>
    <w:basedOn w:val="Normal"/>
    <w:rsid w:val="0045493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Armenian" w:eastAsia="Arial Unicode MS" w:hAnsi="Arial Armenian" w:cs="Arial Unicode MS"/>
    </w:rPr>
  </w:style>
  <w:style w:type="paragraph" w:customStyle="1" w:styleId="xl70">
    <w:name w:val="xl70"/>
    <w:basedOn w:val="Normal"/>
    <w:rsid w:val="0045493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71">
    <w:name w:val="xl71"/>
    <w:basedOn w:val="Normal"/>
    <w:rsid w:val="004549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72">
    <w:name w:val="xl72"/>
    <w:basedOn w:val="Normal"/>
    <w:rsid w:val="004549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Armenian" w:eastAsia="Arial Unicode MS" w:hAnsi="Arial Armenian" w:cs="Arial Unicode MS"/>
      <w:i/>
      <w:iCs/>
    </w:rPr>
  </w:style>
  <w:style w:type="paragraph" w:customStyle="1" w:styleId="xl73">
    <w:name w:val="xl73"/>
    <w:basedOn w:val="Normal"/>
    <w:rsid w:val="00454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rPr>
  </w:style>
  <w:style w:type="paragraph" w:customStyle="1" w:styleId="xl74">
    <w:name w:val="xl74"/>
    <w:basedOn w:val="Normal"/>
    <w:rsid w:val="0045493E"/>
    <w:pPr>
      <w:pBdr>
        <w:left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75">
    <w:name w:val="xl75"/>
    <w:basedOn w:val="Normal"/>
    <w:rsid w:val="0045493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b/>
      <w:bCs/>
      <w:i/>
      <w:iCs/>
    </w:rPr>
  </w:style>
  <w:style w:type="paragraph" w:customStyle="1" w:styleId="xl76">
    <w:name w:val="xl76"/>
    <w:basedOn w:val="Normal"/>
    <w:rsid w:val="004549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77">
    <w:name w:val="xl77"/>
    <w:basedOn w:val="Normal"/>
    <w:rsid w:val="0045493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rPr>
  </w:style>
  <w:style w:type="paragraph" w:customStyle="1" w:styleId="xl78">
    <w:name w:val="xl78"/>
    <w:basedOn w:val="Normal"/>
    <w:rsid w:val="0045493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i/>
      <w:iCs/>
    </w:rPr>
  </w:style>
  <w:style w:type="paragraph" w:customStyle="1" w:styleId="xl79">
    <w:name w:val="xl79"/>
    <w:basedOn w:val="Normal"/>
    <w:rsid w:val="0045493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i/>
      <w:iCs/>
    </w:rPr>
  </w:style>
  <w:style w:type="paragraph" w:customStyle="1" w:styleId="xl80">
    <w:name w:val="xl80"/>
    <w:basedOn w:val="Normal"/>
    <w:rsid w:val="0045493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rPr>
  </w:style>
  <w:style w:type="paragraph" w:customStyle="1" w:styleId="xl81">
    <w:name w:val="xl81"/>
    <w:basedOn w:val="Normal"/>
    <w:rsid w:val="0045493E"/>
    <w:pPr>
      <w:pBdr>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82">
    <w:name w:val="xl82"/>
    <w:basedOn w:val="Normal"/>
    <w:rsid w:val="0045493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83">
    <w:name w:val="xl83"/>
    <w:basedOn w:val="Normal"/>
    <w:rsid w:val="0045493E"/>
    <w:pPr>
      <w:pBdr>
        <w:top w:val="single" w:sz="4" w:space="0" w:color="auto"/>
        <w:left w:val="single" w:sz="8" w:space="0" w:color="auto"/>
        <w:bottom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84">
    <w:name w:val="xl84"/>
    <w:basedOn w:val="Normal"/>
    <w:rsid w:val="0045493E"/>
    <w:pPr>
      <w:pBdr>
        <w:top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85">
    <w:name w:val="xl85"/>
    <w:basedOn w:val="Normal"/>
    <w:rsid w:val="004549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86">
    <w:name w:val="xl86"/>
    <w:basedOn w:val="Normal"/>
    <w:rsid w:val="0045493E"/>
    <w:pPr>
      <w:pBdr>
        <w:left w:val="single" w:sz="4" w:space="0" w:color="auto"/>
        <w:bottom w:val="single" w:sz="4"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87">
    <w:name w:val="xl87"/>
    <w:basedOn w:val="Normal"/>
    <w:rsid w:val="0045493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b/>
      <w:bCs/>
    </w:rPr>
  </w:style>
  <w:style w:type="paragraph" w:customStyle="1" w:styleId="xl88">
    <w:name w:val="xl88"/>
    <w:basedOn w:val="Normal"/>
    <w:rsid w:val="0045493E"/>
    <w:pPr>
      <w:pBdr>
        <w:bottom w:val="single" w:sz="4" w:space="0" w:color="auto"/>
      </w:pBdr>
      <w:shd w:val="clear" w:color="auto" w:fill="FFFFFF"/>
      <w:spacing w:before="100" w:beforeAutospacing="1" w:after="100" w:afterAutospacing="1"/>
    </w:pPr>
    <w:rPr>
      <w:rFonts w:ascii="Arial Armenian" w:eastAsia="Arial Unicode MS" w:hAnsi="Arial Armenian" w:cs="Arial Unicode MS"/>
    </w:rPr>
  </w:style>
  <w:style w:type="paragraph" w:customStyle="1" w:styleId="xl89">
    <w:name w:val="xl89"/>
    <w:basedOn w:val="Normal"/>
    <w:rsid w:val="0045493E"/>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Armenian" w:eastAsia="Arial Unicode MS" w:hAnsi="Arial Armenian" w:cs="Arial Unicode MS"/>
      <w:b/>
      <w:bCs/>
    </w:rPr>
  </w:style>
  <w:style w:type="paragraph" w:customStyle="1" w:styleId="xl90">
    <w:name w:val="xl90"/>
    <w:basedOn w:val="Normal"/>
    <w:rsid w:val="0045493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1">
    <w:name w:val="xl91"/>
    <w:basedOn w:val="Normal"/>
    <w:rsid w:val="004549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2">
    <w:name w:val="xl92"/>
    <w:basedOn w:val="Normal"/>
    <w:rsid w:val="00454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3">
    <w:name w:val="xl93"/>
    <w:basedOn w:val="Normal"/>
    <w:rsid w:val="00454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u w:val="single"/>
    </w:rPr>
  </w:style>
  <w:style w:type="paragraph" w:customStyle="1" w:styleId="xl94">
    <w:name w:val="xl94"/>
    <w:basedOn w:val="Normal"/>
    <w:rsid w:val="0045493E"/>
    <w:pPr>
      <w:pBdr>
        <w:left w:val="single" w:sz="4" w:space="0" w:color="auto"/>
        <w:bottom w:val="single" w:sz="4" w:space="0" w:color="auto"/>
        <w:right w:val="single" w:sz="8" w:space="0" w:color="auto"/>
      </w:pBdr>
      <w:spacing w:before="100" w:beforeAutospacing="1" w:after="100" w:afterAutospacing="1"/>
    </w:pPr>
    <w:rPr>
      <w:rFonts w:ascii="Arial Armenian" w:eastAsia="Arial Unicode MS" w:hAnsi="Arial Armenian" w:cs="Arial Unicode MS"/>
    </w:rPr>
  </w:style>
  <w:style w:type="paragraph" w:customStyle="1" w:styleId="xl95">
    <w:name w:val="xl95"/>
    <w:basedOn w:val="Normal"/>
    <w:rsid w:val="0045493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6">
    <w:name w:val="xl96"/>
    <w:basedOn w:val="Normal"/>
    <w:rsid w:val="0045493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rPr>
  </w:style>
  <w:style w:type="paragraph" w:customStyle="1" w:styleId="xl97">
    <w:name w:val="xl97"/>
    <w:basedOn w:val="Normal"/>
    <w:rsid w:val="0045493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Armenian" w:eastAsia="Arial Unicode MS" w:hAnsi="Arial Armenian" w:cs="Arial Unicode MS"/>
    </w:rPr>
  </w:style>
  <w:style w:type="paragraph" w:customStyle="1" w:styleId="xl98">
    <w:name w:val="xl98"/>
    <w:basedOn w:val="Normal"/>
    <w:rsid w:val="0045493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textAlignment w:val="center"/>
    </w:pPr>
    <w:rPr>
      <w:rFonts w:ascii="Arial Armenian" w:eastAsia="Arial Unicode MS" w:hAnsi="Arial Armenian" w:cs="Arial Unicode MS"/>
    </w:rPr>
  </w:style>
  <w:style w:type="paragraph" w:customStyle="1" w:styleId="xl99">
    <w:name w:val="xl99"/>
    <w:basedOn w:val="Normal"/>
    <w:rsid w:val="0045493E"/>
    <w:pPr>
      <w:pBdr>
        <w:right w:val="single" w:sz="8" w:space="0" w:color="auto"/>
      </w:pBdr>
      <w:shd w:val="clear" w:color="auto" w:fill="FFFFFF"/>
      <w:spacing w:before="100" w:beforeAutospacing="1" w:after="100" w:afterAutospacing="1"/>
      <w:jc w:val="right"/>
    </w:pPr>
    <w:rPr>
      <w:rFonts w:ascii="Arial Armenian" w:eastAsia="Arial Unicode MS" w:hAnsi="Arial Armenian" w:cs="Arial Unicode MS"/>
      <w:b/>
      <w:bCs/>
    </w:rPr>
  </w:style>
  <w:style w:type="paragraph" w:customStyle="1" w:styleId="xl100">
    <w:name w:val="xl100"/>
    <w:basedOn w:val="Normal"/>
    <w:rsid w:val="0045493E"/>
    <w:pPr>
      <w:pBdr>
        <w:right w:val="single" w:sz="8" w:space="0" w:color="auto"/>
      </w:pBdr>
      <w:shd w:val="clear" w:color="auto" w:fill="CCFFFF"/>
      <w:spacing w:before="100" w:beforeAutospacing="1" w:after="100" w:afterAutospacing="1"/>
      <w:jc w:val="right"/>
    </w:pPr>
    <w:rPr>
      <w:rFonts w:ascii="Arial Armenian" w:eastAsia="Arial Unicode MS" w:hAnsi="Arial Armenian" w:cs="Arial Unicode MS"/>
    </w:rPr>
  </w:style>
  <w:style w:type="paragraph" w:customStyle="1" w:styleId="xl101">
    <w:name w:val="xl101"/>
    <w:basedOn w:val="Normal"/>
    <w:rsid w:val="0045493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Armenian" w:eastAsia="Arial Unicode MS" w:hAnsi="Arial Armenian" w:cs="Arial Unicode MS"/>
      <w:b/>
      <w:bCs/>
      <w:i/>
      <w:iCs/>
    </w:rPr>
  </w:style>
  <w:style w:type="paragraph" w:customStyle="1" w:styleId="xl102">
    <w:name w:val="xl102"/>
    <w:basedOn w:val="Normal"/>
    <w:rsid w:val="0045493E"/>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pPr>
    <w:rPr>
      <w:rFonts w:ascii="Arial Armenian" w:eastAsia="Arial Unicode MS" w:hAnsi="Arial Armenian" w:cs="Arial Unicode MS"/>
    </w:rPr>
  </w:style>
  <w:style w:type="paragraph" w:customStyle="1" w:styleId="xl103">
    <w:name w:val="xl103"/>
    <w:basedOn w:val="Normal"/>
    <w:rsid w:val="0045493E"/>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pPr>
    <w:rPr>
      <w:rFonts w:ascii="Arial Armenian" w:eastAsia="Arial Unicode MS" w:hAnsi="Arial Armenian" w:cs="Arial Unicode MS"/>
      <w:i/>
      <w:iCs/>
    </w:rPr>
  </w:style>
  <w:style w:type="paragraph" w:customStyle="1" w:styleId="xl104">
    <w:name w:val="xl104"/>
    <w:basedOn w:val="Normal"/>
    <w:rsid w:val="0045493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Armenian" w:eastAsia="Arial Unicode MS" w:hAnsi="Arial Armenian" w:cs="Arial Unicode MS"/>
    </w:rPr>
  </w:style>
  <w:style w:type="paragraph" w:customStyle="1" w:styleId="xl105">
    <w:name w:val="xl105"/>
    <w:basedOn w:val="Normal"/>
    <w:rsid w:val="004549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106">
    <w:name w:val="xl106"/>
    <w:basedOn w:val="Normal"/>
    <w:rsid w:val="0045493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Armenian" w:eastAsia="Arial Unicode MS" w:hAnsi="Arial Armenian" w:cs="Arial Unicode MS"/>
    </w:rPr>
  </w:style>
  <w:style w:type="paragraph" w:customStyle="1" w:styleId="xl107">
    <w:name w:val="xl107"/>
    <w:basedOn w:val="Normal"/>
    <w:rsid w:val="0045493E"/>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eastAsia="Arial Unicode MS" w:hAnsi="Arial Armenian" w:cs="Arial Unicode MS"/>
      <w:b/>
      <w:bCs/>
    </w:rPr>
  </w:style>
  <w:style w:type="paragraph" w:customStyle="1" w:styleId="xl108">
    <w:name w:val="xl108"/>
    <w:basedOn w:val="Normal"/>
    <w:rsid w:val="0045493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109">
    <w:name w:val="xl109"/>
    <w:basedOn w:val="Normal"/>
    <w:rsid w:val="0045493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110">
    <w:name w:val="xl110"/>
    <w:basedOn w:val="Normal"/>
    <w:rsid w:val="0045493E"/>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111">
    <w:name w:val="xl111"/>
    <w:basedOn w:val="Normal"/>
    <w:rsid w:val="0045493E"/>
    <w:pPr>
      <w:pBdr>
        <w:top w:val="single" w:sz="4" w:space="0" w:color="auto"/>
        <w:left w:val="single" w:sz="8" w:space="0" w:color="auto"/>
        <w:bottom w:val="single" w:sz="4" w:space="0" w:color="auto"/>
      </w:pBdr>
      <w:spacing w:before="100" w:beforeAutospacing="1" w:after="100" w:afterAutospacing="1"/>
      <w:jc w:val="center"/>
    </w:pPr>
    <w:rPr>
      <w:rFonts w:ascii="Arial Armenian" w:eastAsia="Arial Unicode MS" w:hAnsi="Arial Armenian" w:cs="Arial Unicode MS"/>
      <w:b/>
      <w:bCs/>
    </w:rPr>
  </w:style>
  <w:style w:type="paragraph" w:customStyle="1" w:styleId="xl112">
    <w:name w:val="xl112"/>
    <w:basedOn w:val="Normal"/>
    <w:rsid w:val="0045493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13">
    <w:name w:val="xl113"/>
    <w:basedOn w:val="Normal"/>
    <w:rsid w:val="0045493E"/>
    <w:pPr>
      <w:pBdr>
        <w:top w:val="single" w:sz="4" w:space="0" w:color="auto"/>
        <w:left w:val="single" w:sz="8" w:space="0" w:color="auto"/>
        <w:bottom w:val="single" w:sz="4" w:space="0" w:color="auto"/>
      </w:pBdr>
      <w:shd w:val="clear" w:color="auto" w:fill="FFFFFF"/>
      <w:spacing w:before="100" w:beforeAutospacing="1" w:after="100" w:afterAutospacing="1"/>
      <w:jc w:val="center"/>
    </w:pPr>
    <w:rPr>
      <w:rFonts w:ascii="Arial Armenian" w:eastAsia="Arial Unicode MS" w:hAnsi="Arial Armenian" w:cs="Arial Unicode MS"/>
      <w:b/>
      <w:bCs/>
    </w:rPr>
  </w:style>
  <w:style w:type="paragraph" w:customStyle="1" w:styleId="xl114">
    <w:name w:val="xl114"/>
    <w:basedOn w:val="Normal"/>
    <w:rsid w:val="0045493E"/>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115">
    <w:name w:val="xl115"/>
    <w:basedOn w:val="Normal"/>
    <w:rsid w:val="0045493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Armenian" w:eastAsia="Arial Unicode MS" w:hAnsi="Arial Armenian" w:cs="Arial Unicode MS"/>
      <w:b/>
      <w:bCs/>
    </w:rPr>
  </w:style>
  <w:style w:type="character" w:customStyle="1" w:styleId="Heading3Char">
    <w:name w:val="Heading 3 Char"/>
    <w:aliases w:val="(Sub-Chapter) Char2,Centered Char2,(text) Char2,Heading 3 Char Char Char Char Char Char Char3"/>
    <w:basedOn w:val="DefaultParagraphFont"/>
    <w:link w:val="Heading3"/>
    <w:uiPriority w:val="9"/>
    <w:qFormat/>
    <w:rsid w:val="0045493E"/>
    <w:rPr>
      <w:rFonts w:ascii="GHEA Grapalat" w:hAnsi="GHEA Grapalat"/>
      <w:b/>
      <w:caps/>
      <w:sz w:val="22"/>
      <w:szCs w:val="22"/>
      <w:lang w:val="hy-AM"/>
    </w:rPr>
  </w:style>
  <w:style w:type="paragraph" w:customStyle="1" w:styleId="KLegalHeading3">
    <w:name w:val="KLegal Heading 3"/>
    <w:basedOn w:val="Normal"/>
    <w:next w:val="Heading2"/>
    <w:rsid w:val="0045493E"/>
    <w:pPr>
      <w:keepNext/>
      <w:overflowPunct w:val="0"/>
      <w:autoSpaceDE w:val="0"/>
      <w:autoSpaceDN w:val="0"/>
      <w:adjustRightInd w:val="0"/>
      <w:spacing w:after="220"/>
      <w:ind w:left="1440" w:hanging="720"/>
      <w:textAlignment w:val="baseline"/>
    </w:pPr>
    <w:rPr>
      <w:b/>
      <w:szCs w:val="20"/>
      <w:lang w:val="en-GB"/>
    </w:rPr>
  </w:style>
  <w:style w:type="paragraph" w:customStyle="1" w:styleId="KLegalHeading4">
    <w:name w:val="KLegal Heading 4"/>
    <w:basedOn w:val="Normal"/>
    <w:next w:val="Heading2"/>
    <w:rsid w:val="0045493E"/>
    <w:pPr>
      <w:keepNext/>
      <w:overflowPunct w:val="0"/>
      <w:autoSpaceDE w:val="0"/>
      <w:autoSpaceDN w:val="0"/>
      <w:adjustRightInd w:val="0"/>
      <w:spacing w:after="220"/>
      <w:ind w:left="2160" w:hanging="720"/>
      <w:textAlignment w:val="baseline"/>
    </w:pPr>
    <w:rPr>
      <w:b/>
      <w:i/>
      <w:szCs w:val="20"/>
      <w:lang w:val="en-GB"/>
    </w:rPr>
  </w:style>
  <w:style w:type="paragraph" w:customStyle="1" w:styleId="KLegalHeading1">
    <w:name w:val="KLegal Heading 1"/>
    <w:basedOn w:val="Normal"/>
    <w:next w:val="KLegalHeading2"/>
    <w:rsid w:val="0045493E"/>
    <w:pPr>
      <w:keepNext/>
      <w:pageBreakBefore/>
      <w:overflowPunct w:val="0"/>
      <w:autoSpaceDE w:val="0"/>
      <w:autoSpaceDN w:val="0"/>
      <w:adjustRightInd w:val="0"/>
      <w:spacing w:after="440"/>
      <w:ind w:left="851" w:hanging="851"/>
      <w:textAlignment w:val="baseline"/>
      <w:outlineLvl w:val="0"/>
    </w:pPr>
    <w:rPr>
      <w:b/>
      <w:sz w:val="32"/>
      <w:szCs w:val="20"/>
      <w:lang w:val="en-GB"/>
    </w:rPr>
  </w:style>
  <w:style w:type="paragraph" w:customStyle="1" w:styleId="KLegalHeading2">
    <w:name w:val="KLegal Heading 2"/>
    <w:basedOn w:val="Normal"/>
    <w:next w:val="KLegalHeading3"/>
    <w:rsid w:val="0045493E"/>
    <w:pPr>
      <w:keepNext/>
      <w:overflowPunct w:val="0"/>
      <w:autoSpaceDE w:val="0"/>
      <w:autoSpaceDN w:val="0"/>
      <w:adjustRightInd w:val="0"/>
      <w:spacing w:after="220"/>
      <w:ind w:left="851" w:hanging="851"/>
      <w:textAlignment w:val="baseline"/>
      <w:outlineLvl w:val="1"/>
    </w:pPr>
    <w:rPr>
      <w:b/>
      <w:sz w:val="28"/>
      <w:szCs w:val="20"/>
      <w:lang w:val="en-GB"/>
    </w:rPr>
  </w:style>
  <w:style w:type="character" w:customStyle="1" w:styleId="Normal1">
    <w:name w:val="Normal1"/>
    <w:rsid w:val="0045493E"/>
    <w:rPr>
      <w:rFonts w:ascii="Arial" w:hAnsi="Arial"/>
      <w:sz w:val="24"/>
      <w:szCs w:val="24"/>
    </w:rPr>
  </w:style>
  <w:style w:type="paragraph" w:customStyle="1" w:styleId="BulletblBulletL1bl1">
    <w:name w:val="Bullet.bl.Bullet L1.bl1"/>
    <w:basedOn w:val="Normal"/>
    <w:rsid w:val="0045493E"/>
    <w:pPr>
      <w:tabs>
        <w:tab w:val="left" w:pos="360"/>
      </w:tabs>
      <w:autoSpaceDE w:val="0"/>
      <w:autoSpaceDN w:val="0"/>
      <w:spacing w:after="130"/>
      <w:ind w:left="360" w:hanging="360"/>
    </w:pPr>
    <w:rPr>
      <w:rFonts w:ascii="Times Armenian" w:hAnsi="Times Armenian"/>
      <w:lang w:val="en-GB" w:eastAsia="ru-RU"/>
    </w:rPr>
  </w:style>
  <w:style w:type="paragraph" w:customStyle="1" w:styleId="Heading3Centeredtext">
    <w:name w:val="Heading 3.Centered.(text)"/>
    <w:basedOn w:val="Normal"/>
    <w:next w:val="Heading2"/>
    <w:rsid w:val="0045493E"/>
    <w:pPr>
      <w:keepNext/>
      <w:autoSpaceDE w:val="0"/>
      <w:autoSpaceDN w:val="0"/>
      <w:spacing w:after="220"/>
      <w:outlineLvl w:val="2"/>
    </w:pPr>
    <w:rPr>
      <w:rFonts w:ascii="Times Armenian" w:hAnsi="Times Armenian"/>
      <w:b/>
      <w:bCs/>
      <w:lang w:val="en-GB" w:eastAsia="ru-RU"/>
    </w:rPr>
  </w:style>
  <w:style w:type="paragraph" w:customStyle="1" w:styleId="14">
    <w:name w:val="çàãîëîâîê 1"/>
    <w:basedOn w:val="Normal"/>
    <w:next w:val="Normal"/>
    <w:rsid w:val="0045493E"/>
    <w:pPr>
      <w:keepNext/>
      <w:overflowPunct w:val="0"/>
      <w:autoSpaceDE w:val="0"/>
      <w:autoSpaceDN w:val="0"/>
      <w:adjustRightInd w:val="0"/>
      <w:jc w:val="center"/>
    </w:pPr>
    <w:rPr>
      <w:rFonts w:ascii="Arial Armenian" w:hAnsi="Arial Armenian"/>
      <w:szCs w:val="20"/>
    </w:rPr>
  </w:style>
  <w:style w:type="paragraph" w:customStyle="1" w:styleId="BalloonText2">
    <w:name w:val="Balloon Text2"/>
    <w:basedOn w:val="Normal"/>
    <w:semiHidden/>
    <w:rsid w:val="0045493E"/>
    <w:pPr>
      <w:ind w:left="2157" w:hanging="180"/>
    </w:pPr>
    <w:rPr>
      <w:rFonts w:ascii="Tahoma" w:hAnsi="Tahoma" w:cs="Tahoma"/>
      <w:sz w:val="16"/>
      <w:szCs w:val="16"/>
    </w:rPr>
  </w:style>
  <w:style w:type="character" w:customStyle="1" w:styleId="Heading3CharCharCharCharCharCharChar">
    <w:name w:val="Heading 3 Char Char Char Char Char Char Char"/>
    <w:rsid w:val="0045493E"/>
    <w:rPr>
      <w:rFonts w:ascii="Times Armenian" w:hAnsi="Times Armenian"/>
      <w:b/>
      <w:bCs/>
      <w:sz w:val="24"/>
      <w:szCs w:val="24"/>
      <w:lang w:val="en-GB" w:eastAsia="en-US" w:bidi="ar-SA"/>
    </w:rPr>
  </w:style>
  <w:style w:type="paragraph" w:customStyle="1" w:styleId="WW-BodyText3">
    <w:name w:val="WW-Body Text 3"/>
    <w:basedOn w:val="Normal"/>
    <w:rsid w:val="0045493E"/>
    <w:pPr>
      <w:suppressAutoHyphens/>
    </w:pPr>
    <w:rPr>
      <w:rFonts w:ascii="Times Armenian" w:hAnsi="Times Armenian"/>
      <w:lang w:eastAsia="ar-SA"/>
    </w:rPr>
  </w:style>
  <w:style w:type="paragraph" w:customStyle="1" w:styleId="WW-BodyTextIndent2">
    <w:name w:val="WW-Body Text Indent 2"/>
    <w:basedOn w:val="Normal"/>
    <w:rsid w:val="0045493E"/>
    <w:pPr>
      <w:suppressAutoHyphens/>
      <w:ind w:firstLine="720"/>
    </w:pPr>
    <w:rPr>
      <w:rFonts w:ascii="Times LatArm" w:hAnsi="Times LatArm"/>
      <w:i/>
      <w:iCs/>
      <w:lang w:eastAsia="ar-SA"/>
    </w:rPr>
  </w:style>
  <w:style w:type="paragraph" w:customStyle="1" w:styleId="BalloonText1">
    <w:name w:val="Balloon Text1"/>
    <w:basedOn w:val="Normal"/>
    <w:semiHidden/>
    <w:rsid w:val="0045493E"/>
    <w:rPr>
      <w:rFonts w:ascii="Tahoma" w:hAnsi="Tahoma" w:cs="Tahoma"/>
      <w:sz w:val="16"/>
      <w:szCs w:val="16"/>
    </w:rPr>
  </w:style>
  <w:style w:type="paragraph" w:customStyle="1" w:styleId="BalloonText3">
    <w:name w:val="Balloon Text3"/>
    <w:basedOn w:val="Normal"/>
    <w:semiHidden/>
    <w:rsid w:val="0045493E"/>
    <w:rPr>
      <w:rFonts w:ascii="Tahoma" w:hAnsi="Tahoma" w:cs="Tahoma"/>
      <w:sz w:val="16"/>
      <w:szCs w:val="16"/>
    </w:rPr>
  </w:style>
  <w:style w:type="paragraph" w:customStyle="1" w:styleId="xl116">
    <w:name w:val="xl116"/>
    <w:basedOn w:val="Normal"/>
    <w:rsid w:val="0045493E"/>
    <w:pPr>
      <w:pBdr>
        <w:top w:val="single" w:sz="4" w:space="0" w:color="auto"/>
        <w:right w:val="single" w:sz="4" w:space="0" w:color="auto"/>
      </w:pBdr>
      <w:spacing w:before="100" w:beforeAutospacing="1" w:after="100" w:afterAutospacing="1"/>
      <w:jc w:val="right"/>
      <w:textAlignment w:val="center"/>
    </w:pPr>
    <w:rPr>
      <w:rFonts w:ascii="Times Armenian" w:eastAsia="Arial Unicode MS" w:hAnsi="Times Armenian" w:cs="Arial Unicode MS"/>
    </w:rPr>
  </w:style>
  <w:style w:type="paragraph" w:customStyle="1" w:styleId="xl117">
    <w:name w:val="xl117"/>
    <w:basedOn w:val="Normal"/>
    <w:rsid w:val="0045493E"/>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18">
    <w:name w:val="xl118"/>
    <w:basedOn w:val="Normal"/>
    <w:rsid w:val="0045493E"/>
    <w:pPr>
      <w:pBdr>
        <w:top w:val="single" w:sz="8" w:space="0" w:color="auto"/>
        <w:left w:val="single" w:sz="8"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119">
    <w:name w:val="xl119"/>
    <w:basedOn w:val="Normal"/>
    <w:rsid w:val="0045493E"/>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20">
    <w:name w:val="xl120"/>
    <w:basedOn w:val="Normal"/>
    <w:rsid w:val="0045493E"/>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Times Armenian" w:eastAsia="Arial Unicode MS" w:hAnsi="Times Armenian" w:cs="Arial Unicode MS"/>
      <w:b/>
      <w:bCs/>
    </w:rPr>
  </w:style>
  <w:style w:type="paragraph" w:customStyle="1" w:styleId="xl121">
    <w:name w:val="xl121"/>
    <w:basedOn w:val="Normal"/>
    <w:rsid w:val="0045493E"/>
    <w:pPr>
      <w:pBdr>
        <w:top w:val="single" w:sz="8" w:space="0" w:color="auto"/>
        <w:left w:val="single" w:sz="4" w:space="0" w:color="auto"/>
        <w:bottom w:val="single" w:sz="4" w:space="0" w:color="auto"/>
        <w:right w:val="single" w:sz="8" w:space="0" w:color="auto"/>
      </w:pBdr>
      <w:shd w:val="clear" w:color="auto" w:fill="CCFFCC"/>
      <w:spacing w:before="100" w:beforeAutospacing="1" w:after="100" w:afterAutospacing="1"/>
      <w:jc w:val="right"/>
    </w:pPr>
    <w:rPr>
      <w:rFonts w:ascii="Times Armenian" w:eastAsia="Arial Unicode MS" w:hAnsi="Times Armenian" w:cs="Arial Unicode MS"/>
      <w:b/>
      <w:bCs/>
    </w:rPr>
  </w:style>
  <w:style w:type="paragraph" w:customStyle="1" w:styleId="xl122">
    <w:name w:val="xl122"/>
    <w:basedOn w:val="Normal"/>
    <w:rsid w:val="0045493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3">
    <w:name w:val="xl123"/>
    <w:basedOn w:val="Normal"/>
    <w:rsid w:val="0045493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4">
    <w:name w:val="xl124"/>
    <w:basedOn w:val="Normal"/>
    <w:rsid w:val="0045493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Armenian" w:eastAsia="Arial Unicode MS" w:hAnsi="Times Armenian" w:cs="Arial Unicode MS"/>
      <w:b/>
      <w:bCs/>
      <w:i/>
      <w:iCs/>
    </w:rPr>
  </w:style>
  <w:style w:type="paragraph" w:customStyle="1" w:styleId="xl125">
    <w:name w:val="xl125"/>
    <w:basedOn w:val="Normal"/>
    <w:rsid w:val="0045493E"/>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rPr>
  </w:style>
  <w:style w:type="paragraph" w:customStyle="1" w:styleId="xl126">
    <w:name w:val="xl126"/>
    <w:basedOn w:val="Normal"/>
    <w:rsid w:val="0045493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7">
    <w:name w:val="xl127"/>
    <w:basedOn w:val="Normal"/>
    <w:rsid w:val="0045493E"/>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8">
    <w:name w:val="xl128"/>
    <w:basedOn w:val="Normal"/>
    <w:rsid w:val="0045493E"/>
    <w:pPr>
      <w:pBdr>
        <w:bottom w:val="single" w:sz="4" w:space="0" w:color="auto"/>
        <w:right w:val="single" w:sz="4" w:space="0" w:color="auto"/>
      </w:pBdr>
      <w:spacing w:before="100" w:beforeAutospacing="1" w:after="100" w:afterAutospacing="1"/>
    </w:pPr>
    <w:rPr>
      <w:rFonts w:ascii="Times Armenian" w:eastAsia="Arial Unicode MS" w:hAnsi="Times Armenian" w:cs="Arial Unicode MS"/>
    </w:rPr>
  </w:style>
  <w:style w:type="paragraph" w:customStyle="1" w:styleId="xl129">
    <w:name w:val="xl129"/>
    <w:basedOn w:val="Normal"/>
    <w:rsid w:val="0045493E"/>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30">
    <w:name w:val="xl130"/>
    <w:basedOn w:val="Normal"/>
    <w:rsid w:val="0045493E"/>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i/>
      <w:iCs/>
    </w:rPr>
  </w:style>
  <w:style w:type="paragraph" w:customStyle="1" w:styleId="xl131">
    <w:name w:val="xl131"/>
    <w:basedOn w:val="Normal"/>
    <w:rsid w:val="004549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2">
    <w:name w:val="xl132"/>
    <w:basedOn w:val="Normal"/>
    <w:rsid w:val="0045493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3">
    <w:name w:val="xl133"/>
    <w:basedOn w:val="Normal"/>
    <w:rsid w:val="0045493E"/>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4">
    <w:name w:val="xl134"/>
    <w:basedOn w:val="Normal"/>
    <w:rsid w:val="0045493E"/>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5">
    <w:name w:val="xl135"/>
    <w:basedOn w:val="Normal"/>
    <w:rsid w:val="0045493E"/>
    <w:pPr>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Times Armenian" w:eastAsia="Arial Unicode MS" w:hAnsi="Times Armenian" w:cs="Arial Unicode MS"/>
    </w:rPr>
  </w:style>
  <w:style w:type="paragraph" w:customStyle="1" w:styleId="xl136">
    <w:name w:val="xl136"/>
    <w:basedOn w:val="Normal"/>
    <w:rsid w:val="004549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i/>
      <w:iCs/>
    </w:rPr>
  </w:style>
  <w:style w:type="paragraph" w:customStyle="1" w:styleId="xl137">
    <w:name w:val="xl137"/>
    <w:basedOn w:val="Normal"/>
    <w:rsid w:val="0045493E"/>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Times Armenian" w:eastAsia="Arial Unicode MS" w:hAnsi="Times Armenian" w:cs="Arial Unicode MS"/>
      <w:b/>
      <w:bCs/>
    </w:rPr>
  </w:style>
  <w:style w:type="paragraph" w:customStyle="1" w:styleId="xl138">
    <w:name w:val="xl138"/>
    <w:basedOn w:val="Normal"/>
    <w:rsid w:val="0045493E"/>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jc w:val="right"/>
    </w:pPr>
    <w:rPr>
      <w:rFonts w:ascii="Times Armenian" w:eastAsia="Arial Unicode MS" w:hAnsi="Times Armenian" w:cs="Arial Unicode MS"/>
      <w:b/>
      <w:bCs/>
    </w:rPr>
  </w:style>
  <w:style w:type="paragraph" w:customStyle="1" w:styleId="StyleHeading5SideItalic">
    <w:name w:val="Style Heading 5Side + Italic"/>
    <w:basedOn w:val="Heading5"/>
    <w:rsid w:val="0045493E"/>
    <w:pPr>
      <w:widowControl w:val="0"/>
      <w:tabs>
        <w:tab w:val="left" w:pos="1021"/>
      </w:tabs>
      <w:spacing w:before="0" w:after="120"/>
    </w:pPr>
    <w:rPr>
      <w:rFonts w:ascii="Times Armenian" w:hAnsi="Times Armenian"/>
      <w:sz w:val="20"/>
      <w:szCs w:val="20"/>
      <w:u w:val="single"/>
      <w:lang w:val="en-GB"/>
    </w:rPr>
  </w:style>
  <w:style w:type="paragraph" w:customStyle="1" w:styleId="CaptionTableTitle">
    <w:name w:val="Caption.(Table Title)"/>
    <w:basedOn w:val="Normal"/>
    <w:next w:val="Normal"/>
    <w:rsid w:val="0045493E"/>
    <w:pPr>
      <w:keepNext/>
      <w:keepLines/>
      <w:spacing w:before="130" w:after="130"/>
    </w:pPr>
    <w:rPr>
      <w:b/>
      <w:szCs w:val="20"/>
      <w:lang w:val="en-GB"/>
    </w:rPr>
  </w:style>
  <w:style w:type="paragraph" w:styleId="NoSpacing">
    <w:name w:val="No Spacing"/>
    <w:basedOn w:val="Normal"/>
    <w:link w:val="NoSpacingChar"/>
    <w:qFormat/>
    <w:rsid w:val="0045493E"/>
    <w:pPr>
      <w:spacing w:after="0" w:line="240" w:lineRule="auto"/>
    </w:pPr>
  </w:style>
  <w:style w:type="character" w:customStyle="1" w:styleId="NoSpacingChar">
    <w:name w:val="No Spacing Char"/>
    <w:basedOn w:val="DefaultParagraphFont"/>
    <w:link w:val="NoSpacing"/>
    <w:rsid w:val="0045493E"/>
  </w:style>
  <w:style w:type="paragraph" w:customStyle="1" w:styleId="StyleHeading2ChapterParanumText10pt">
    <w:name w:val="Style Heading 2(Chapter)ParanumText + 10 pt"/>
    <w:basedOn w:val="Heading2"/>
    <w:rsid w:val="0045493E"/>
  </w:style>
  <w:style w:type="paragraph" w:customStyle="1" w:styleId="CharChar">
    <w:name w:val="Char Char"/>
    <w:basedOn w:val="Normal"/>
    <w:rsid w:val="0045493E"/>
    <w:pPr>
      <w:spacing w:line="240" w:lineRule="exact"/>
    </w:pPr>
    <w:rPr>
      <w:rFonts w:ascii="Arial" w:hAnsi="Arial" w:cs="Arial"/>
      <w:sz w:val="20"/>
      <w:szCs w:val="20"/>
    </w:rPr>
  </w:style>
  <w:style w:type="paragraph" w:customStyle="1" w:styleId="CharCharChar">
    <w:name w:val="Char Char Char"/>
    <w:basedOn w:val="Normal"/>
    <w:rsid w:val="0045493E"/>
    <w:pPr>
      <w:spacing w:line="240" w:lineRule="exact"/>
    </w:pPr>
    <w:rPr>
      <w:rFonts w:ascii="Arial" w:hAnsi="Arial" w:cs="Arial"/>
      <w:sz w:val="20"/>
      <w:szCs w:val="20"/>
    </w:rPr>
  </w:style>
  <w:style w:type="paragraph" w:customStyle="1" w:styleId="BodyText1">
    <w:name w:val="Body Text1"/>
    <w:basedOn w:val="Normal"/>
    <w:rsid w:val="0045493E"/>
    <w:pPr>
      <w:numPr>
        <w:numId w:val="4"/>
      </w:numPr>
      <w:spacing w:after="240"/>
    </w:pPr>
    <w:rPr>
      <w:rFonts w:ascii="Times Armenian" w:hAnsi="Times Armenian"/>
      <w:lang w:eastAsia="ru-RU"/>
    </w:rPr>
  </w:style>
  <w:style w:type="paragraph" w:customStyle="1" w:styleId="Char0">
    <w:name w:val="Char"/>
    <w:basedOn w:val="Normal"/>
    <w:next w:val="Normal"/>
    <w:rsid w:val="0045493E"/>
    <w:pPr>
      <w:spacing w:line="240" w:lineRule="exact"/>
    </w:pPr>
    <w:rPr>
      <w:rFonts w:ascii="Tahoma" w:hAnsi="Tahoma"/>
      <w:szCs w:val="20"/>
    </w:rPr>
  </w:style>
  <w:style w:type="paragraph" w:customStyle="1" w:styleId="Titletable">
    <w:name w:val="Title_table"/>
    <w:basedOn w:val="Caption"/>
    <w:rsid w:val="0045493E"/>
    <w:rPr>
      <w:bCs/>
      <w:lang w:eastAsia="ru-RU"/>
    </w:rPr>
  </w:style>
  <w:style w:type="paragraph" w:customStyle="1" w:styleId="ConsNonformat">
    <w:name w:val="ConsNonformat"/>
    <w:rsid w:val="0045493E"/>
    <w:pPr>
      <w:widowControl w:val="0"/>
      <w:autoSpaceDE w:val="0"/>
      <w:autoSpaceDN w:val="0"/>
      <w:adjustRightInd w:val="0"/>
      <w:spacing w:after="160" w:line="259" w:lineRule="auto"/>
    </w:pPr>
    <w:rPr>
      <w:rFonts w:ascii="Courier New" w:hAnsi="Courier New"/>
      <w:sz w:val="22"/>
      <w:szCs w:val="22"/>
      <w:lang w:val="ru-RU"/>
    </w:rPr>
  </w:style>
  <w:style w:type="paragraph" w:customStyle="1" w:styleId="Znak">
    <w:name w:val="Znak"/>
    <w:basedOn w:val="Normal"/>
    <w:rsid w:val="0045493E"/>
    <w:pPr>
      <w:tabs>
        <w:tab w:val="left" w:pos="709"/>
      </w:tabs>
    </w:pPr>
    <w:rPr>
      <w:rFonts w:ascii="Tahoma" w:hAnsi="Tahoma"/>
      <w:lang w:val="pl-PL" w:eastAsia="pl-PL"/>
    </w:rPr>
  </w:style>
  <w:style w:type="character" w:customStyle="1" w:styleId="BodyTextChar">
    <w:name w:val="Body Text Char"/>
    <w:aliases w:val="Body Text (Main text) Char"/>
    <w:rsid w:val="0045493E"/>
    <w:rPr>
      <w:rFonts w:ascii="Times Armenian" w:hAnsi="Times Armenian"/>
      <w:sz w:val="24"/>
      <w:lang w:val="en-AU" w:eastAsia="en-US" w:bidi="ar-SA"/>
    </w:rPr>
  </w:style>
  <w:style w:type="paragraph" w:customStyle="1" w:styleId="Char7">
    <w:name w:val="Char7"/>
    <w:basedOn w:val="Normal"/>
    <w:rsid w:val="0045493E"/>
    <w:pPr>
      <w:spacing w:line="240" w:lineRule="exact"/>
    </w:pPr>
    <w:rPr>
      <w:rFonts w:ascii="Arial" w:hAnsi="Arial" w:cs="Arial"/>
      <w:sz w:val="20"/>
      <w:szCs w:val="20"/>
    </w:rPr>
  </w:style>
  <w:style w:type="paragraph" w:customStyle="1" w:styleId="a9">
    <w:name w:val="Знак Знак"/>
    <w:basedOn w:val="Normal"/>
    <w:link w:val="Char1"/>
    <w:rsid w:val="0045493E"/>
    <w:pPr>
      <w:spacing w:line="240" w:lineRule="exact"/>
    </w:pPr>
    <w:rPr>
      <w:rFonts w:ascii="Arial" w:hAnsi="Arial" w:cs="Arial"/>
      <w:sz w:val="20"/>
      <w:szCs w:val="20"/>
      <w:lang w:val="en-GB"/>
    </w:rPr>
  </w:style>
  <w:style w:type="character" w:customStyle="1" w:styleId="Char1">
    <w:name w:val="Знак Знак Char"/>
    <w:link w:val="a9"/>
    <w:locked/>
    <w:rsid w:val="0045493E"/>
    <w:rPr>
      <w:rFonts w:ascii="Arial" w:hAnsi="Arial" w:cs="Arial"/>
      <w:lang w:val="en-GB" w:eastAsia="en-US" w:bidi="ar-SA"/>
    </w:rPr>
  </w:style>
  <w:style w:type="paragraph" w:customStyle="1" w:styleId="CharCharCharCharCharCharCharCharCharCharCharChar">
    <w:name w:val="Char Char Char Char Char Char Char Char Char Char Char Char"/>
    <w:basedOn w:val="Normal"/>
    <w:rsid w:val="0045493E"/>
    <w:pPr>
      <w:spacing w:line="240" w:lineRule="exact"/>
    </w:pPr>
    <w:rPr>
      <w:rFonts w:ascii="Arial" w:hAnsi="Arial" w:cs="Arial"/>
      <w:sz w:val="20"/>
      <w:szCs w:val="20"/>
    </w:rPr>
  </w:style>
  <w:style w:type="character" w:customStyle="1" w:styleId="ParanumCharChar">
    <w:name w:val="Paranum Char Char"/>
    <w:rsid w:val="0045493E"/>
    <w:rPr>
      <w:rFonts w:ascii="Arial" w:hAnsi="Arial" w:cs="Arial"/>
      <w:b/>
      <w:bCs/>
      <w:i/>
      <w:iCs/>
      <w:sz w:val="28"/>
      <w:szCs w:val="28"/>
      <w:lang w:val="en-US" w:eastAsia="en-US" w:bidi="ar-SA"/>
    </w:rPr>
  </w:style>
  <w:style w:type="character" w:customStyle="1" w:styleId="textinfo1">
    <w:name w:val="textinfo1"/>
    <w:rsid w:val="0045493E"/>
    <w:rPr>
      <w:rFonts w:ascii="Arial AM" w:hAnsi="Arial AM" w:hint="default"/>
      <w:color w:val="000000"/>
      <w:sz w:val="18"/>
      <w:szCs w:val="18"/>
    </w:rPr>
  </w:style>
  <w:style w:type="paragraph" w:customStyle="1" w:styleId="CharCharCharCharCharCharCharChar">
    <w:name w:val="Char Char Char Char Char Char Char Char"/>
    <w:basedOn w:val="Normal"/>
    <w:rsid w:val="0045493E"/>
    <w:pPr>
      <w:spacing w:line="240" w:lineRule="exact"/>
    </w:pPr>
    <w:rPr>
      <w:rFonts w:ascii="Arial" w:hAnsi="Arial" w:cs="Arial"/>
      <w:sz w:val="20"/>
      <w:szCs w:val="20"/>
    </w:rPr>
  </w:style>
  <w:style w:type="paragraph" w:customStyle="1" w:styleId="CharCharCharCharCharCharCharCharCharCharCharCharCharCharChar">
    <w:name w:val="Char Char Char Char Знак Char Знак Char Char Char Char Char Char Char Char Char Char"/>
    <w:basedOn w:val="Normal"/>
    <w:qFormat/>
    <w:rsid w:val="0045493E"/>
    <w:pPr>
      <w:tabs>
        <w:tab w:val="left" w:pos="709"/>
      </w:tabs>
    </w:pPr>
    <w:rPr>
      <w:rFonts w:ascii="Tahoma" w:hAnsi="Tahoma"/>
      <w:lang w:val="pl-PL" w:eastAsia="pl-PL"/>
    </w:rPr>
  </w:style>
  <w:style w:type="paragraph" w:customStyle="1" w:styleId="Report-Title">
    <w:name w:val="Report-Title"/>
    <w:rsid w:val="0045493E"/>
    <w:pPr>
      <w:spacing w:after="240" w:line="259" w:lineRule="auto"/>
    </w:pPr>
    <w:rPr>
      <w:rFonts w:ascii="Arial" w:eastAsia="MS Mincho" w:hAnsi="Arial" w:cs="Arial"/>
      <w:b/>
      <w:bCs/>
      <w:sz w:val="36"/>
      <w:szCs w:val="36"/>
    </w:rPr>
  </w:style>
  <w:style w:type="paragraph" w:customStyle="1" w:styleId="msonormalcxspmiddle">
    <w:name w:val="msonormalcxspmiddle"/>
    <w:basedOn w:val="Normal"/>
    <w:rsid w:val="0045493E"/>
    <w:pPr>
      <w:spacing w:before="100" w:beforeAutospacing="1" w:after="100" w:afterAutospacing="1"/>
    </w:pPr>
  </w:style>
  <w:style w:type="paragraph" w:customStyle="1" w:styleId="BodyText21">
    <w:name w:val="Body Text 21"/>
    <w:basedOn w:val="Normal"/>
    <w:rsid w:val="0045493E"/>
    <w:pPr>
      <w:overflowPunct w:val="0"/>
      <w:autoSpaceDE w:val="0"/>
      <w:autoSpaceDN w:val="0"/>
      <w:adjustRightInd w:val="0"/>
      <w:spacing w:line="360" w:lineRule="auto"/>
      <w:ind w:firstLine="720"/>
      <w:textAlignment w:val="baseline"/>
    </w:pPr>
    <w:rPr>
      <w:rFonts w:ascii="Times Armenian" w:hAnsi="Times Armenian"/>
    </w:rPr>
  </w:style>
  <w:style w:type="paragraph" w:customStyle="1" w:styleId="a3">
    <w:name w:val="Стиль"/>
    <w:rsid w:val="0045493E"/>
    <w:pPr>
      <w:numPr>
        <w:numId w:val="5"/>
      </w:numPr>
      <w:tabs>
        <w:tab w:val="clear" w:pos="360"/>
      </w:tabs>
      <w:spacing w:after="160" w:line="259" w:lineRule="auto"/>
    </w:pPr>
    <w:rPr>
      <w:rFonts w:ascii="Baltica" w:hAnsi="Baltica"/>
      <w:sz w:val="22"/>
      <w:szCs w:val="22"/>
      <w:lang w:eastAsia="ru-RU"/>
    </w:rPr>
  </w:style>
  <w:style w:type="paragraph" w:customStyle="1" w:styleId="ConsNormal">
    <w:name w:val="ConsNormal"/>
    <w:rsid w:val="0045493E"/>
    <w:pPr>
      <w:widowControl w:val="0"/>
      <w:autoSpaceDE w:val="0"/>
      <w:autoSpaceDN w:val="0"/>
      <w:adjustRightInd w:val="0"/>
      <w:spacing w:after="160" w:line="259" w:lineRule="auto"/>
      <w:ind w:firstLine="720"/>
    </w:pPr>
    <w:rPr>
      <w:rFonts w:ascii="Arial" w:hAnsi="Arial"/>
      <w:sz w:val="22"/>
      <w:szCs w:val="22"/>
      <w:lang w:val="ru-RU"/>
    </w:rPr>
  </w:style>
  <w:style w:type="paragraph" w:customStyle="1" w:styleId="ListDash">
    <w:name w:val="List Dash"/>
    <w:basedOn w:val="Normal"/>
    <w:rsid w:val="0045493E"/>
    <w:pPr>
      <w:numPr>
        <w:numId w:val="6"/>
      </w:numPr>
      <w:spacing w:before="120" w:after="120"/>
    </w:pPr>
    <w:rPr>
      <w:szCs w:val="20"/>
      <w:lang w:val="en-GB"/>
    </w:rPr>
  </w:style>
  <w:style w:type="paragraph" w:customStyle="1" w:styleId="CharCharCharCharCharCharChar">
    <w:name w:val="Char Char Char Char Char Char Char"/>
    <w:basedOn w:val="Normal"/>
    <w:rsid w:val="0045493E"/>
    <w:pPr>
      <w:spacing w:line="240" w:lineRule="exact"/>
    </w:pPr>
    <w:rPr>
      <w:rFonts w:ascii="Arial" w:hAnsi="Arial" w:cs="Arial"/>
      <w:sz w:val="20"/>
      <w:szCs w:val="20"/>
    </w:rPr>
  </w:style>
  <w:style w:type="paragraph" w:customStyle="1" w:styleId="Default">
    <w:name w:val="Default"/>
    <w:link w:val="DefaultChar"/>
    <w:rsid w:val="0045493E"/>
    <w:pPr>
      <w:widowControl w:val="0"/>
      <w:autoSpaceDE w:val="0"/>
      <w:autoSpaceDN w:val="0"/>
      <w:adjustRightInd w:val="0"/>
      <w:spacing w:after="160" w:line="259" w:lineRule="auto"/>
    </w:pPr>
    <w:rPr>
      <w:rFonts w:ascii="Times Armenian" w:hAnsi="Times Armenian" w:cs="Times Armenian"/>
      <w:color w:val="000000"/>
      <w:sz w:val="24"/>
      <w:szCs w:val="24"/>
      <w:lang w:val="ru-RU" w:eastAsia="ru-RU"/>
    </w:rPr>
  </w:style>
  <w:style w:type="paragraph" w:customStyle="1" w:styleId="2ndheading">
    <w:name w:val="2nd heading"/>
    <w:basedOn w:val="Normal"/>
    <w:next w:val="Normal"/>
    <w:rsid w:val="0045493E"/>
    <w:pPr>
      <w:numPr>
        <w:numId w:val="7"/>
      </w:numPr>
      <w:tabs>
        <w:tab w:val="clear" w:pos="643"/>
      </w:tabs>
      <w:ind w:left="0" w:firstLine="0"/>
    </w:pPr>
    <w:rPr>
      <w:rFonts w:ascii="Univers" w:hAnsi="Univers"/>
      <w:bCs/>
      <w:sz w:val="28"/>
      <w:szCs w:val="20"/>
      <w:lang w:val="en-GB"/>
    </w:rPr>
  </w:style>
  <w:style w:type="character" w:customStyle="1" w:styleId="BodyTextFirstIndentChar2">
    <w:name w:val="Body Text First Indent Char2"/>
    <w:link w:val="BodyTextFirstIndent"/>
    <w:rsid w:val="0045493E"/>
    <w:rPr>
      <w:sz w:val="24"/>
      <w:szCs w:val="24"/>
      <w:lang w:val="ru-RU" w:eastAsia="ru-RU" w:bidi="ar-SA"/>
    </w:rPr>
  </w:style>
  <w:style w:type="character" w:customStyle="1" w:styleId="CommentSubjectChar2">
    <w:name w:val="Comment Subject Char2"/>
    <w:link w:val="CommentSubject"/>
    <w:rsid w:val="0045493E"/>
    <w:rPr>
      <w:rFonts w:ascii="Courier New" w:hAnsi="Courier New"/>
      <w:b/>
      <w:bCs/>
      <w:lang w:val="en-US" w:eastAsia="en-US" w:bidi="ar-SA"/>
    </w:rPr>
  </w:style>
  <w:style w:type="paragraph" w:customStyle="1" w:styleId="CharCharCharChar">
    <w:name w:val="Char Char Char Char"/>
    <w:basedOn w:val="Normal"/>
    <w:rsid w:val="0045493E"/>
    <w:pPr>
      <w:tabs>
        <w:tab w:val="left" w:pos="840"/>
      </w:tabs>
      <w:spacing w:line="240" w:lineRule="exact"/>
      <w:ind w:left="840" w:hanging="360"/>
    </w:pPr>
    <w:rPr>
      <w:rFonts w:ascii="Verdana" w:hAnsi="Verdana"/>
      <w:sz w:val="20"/>
      <w:szCs w:val="20"/>
      <w:lang w:val="ru-RU"/>
    </w:rPr>
  </w:style>
  <w:style w:type="paragraph" w:customStyle="1" w:styleId="6">
    <w:name w:val="Знак Знак6"/>
    <w:basedOn w:val="Normal"/>
    <w:link w:val="Char3"/>
    <w:rsid w:val="0045493E"/>
    <w:pPr>
      <w:spacing w:line="240" w:lineRule="exact"/>
    </w:pPr>
    <w:rPr>
      <w:rFonts w:ascii="Arial" w:hAnsi="Arial" w:cs="Arial"/>
      <w:sz w:val="20"/>
      <w:szCs w:val="20"/>
      <w:lang w:val="en-GB"/>
    </w:rPr>
  </w:style>
  <w:style w:type="character" w:customStyle="1" w:styleId="Char3">
    <w:name w:val="Знак Знак Char3"/>
    <w:link w:val="6"/>
    <w:rsid w:val="0045493E"/>
    <w:rPr>
      <w:rFonts w:ascii="Arial" w:hAnsi="Arial" w:cs="Arial"/>
      <w:lang w:val="en-GB" w:eastAsia="en-US" w:bidi="ar-SA"/>
    </w:rPr>
  </w:style>
  <w:style w:type="paragraph" w:customStyle="1" w:styleId="aa">
    <w:name w:val="Заголовок таблицы"/>
    <w:basedOn w:val="ab"/>
    <w:rsid w:val="0045493E"/>
    <w:pPr>
      <w:jc w:val="center"/>
    </w:pPr>
    <w:rPr>
      <w:b/>
    </w:rPr>
  </w:style>
  <w:style w:type="paragraph" w:customStyle="1" w:styleId="ab">
    <w:name w:val="Содержимое таблицы"/>
    <w:basedOn w:val="Normal"/>
    <w:rsid w:val="0045493E"/>
    <w:pPr>
      <w:suppressLineNumbers/>
      <w:suppressAutoHyphens/>
    </w:pPr>
    <w:rPr>
      <w:szCs w:val="20"/>
    </w:rPr>
  </w:style>
  <w:style w:type="paragraph" w:customStyle="1" w:styleId="norm">
    <w:name w:val="norm"/>
    <w:basedOn w:val="Normal"/>
    <w:link w:val="normChar"/>
    <w:rsid w:val="0045493E"/>
    <w:pPr>
      <w:spacing w:line="480" w:lineRule="auto"/>
      <w:ind w:firstLine="709"/>
    </w:pPr>
    <w:rPr>
      <w:rFonts w:ascii="Arial Armenian" w:hAnsi="Arial Armenian"/>
      <w:szCs w:val="20"/>
      <w:lang w:eastAsia="ru-RU"/>
    </w:rPr>
  </w:style>
  <w:style w:type="character" w:customStyle="1" w:styleId="normChar">
    <w:name w:val="norm Char"/>
    <w:link w:val="norm"/>
    <w:rsid w:val="0045493E"/>
    <w:rPr>
      <w:rFonts w:ascii="Arial Armenian" w:hAnsi="Arial Armenian"/>
      <w:sz w:val="22"/>
      <w:lang w:val="en-US" w:eastAsia="ru-RU" w:bidi="ar-SA"/>
    </w:rPr>
  </w:style>
  <w:style w:type="paragraph" w:customStyle="1" w:styleId="ac">
    <w:name w:val="??????? ??????????"/>
    <w:basedOn w:val="a5"/>
    <w:rsid w:val="0045493E"/>
    <w:pPr>
      <w:tabs>
        <w:tab w:val="center" w:pos="4320"/>
        <w:tab w:val="right" w:pos="8640"/>
      </w:tabs>
    </w:pPr>
    <w:rPr>
      <w:rFonts w:ascii="Times Armenian" w:hAnsi="Times Armenian"/>
      <w:sz w:val="24"/>
      <w:lang w:val="en-US"/>
    </w:rPr>
  </w:style>
  <w:style w:type="paragraph" w:customStyle="1" w:styleId="BodyText22">
    <w:name w:val="Body Text 22"/>
    <w:basedOn w:val="Normal"/>
    <w:rsid w:val="0045493E"/>
    <w:pPr>
      <w:overflowPunct w:val="0"/>
      <w:autoSpaceDE w:val="0"/>
      <w:autoSpaceDN w:val="0"/>
      <w:adjustRightInd w:val="0"/>
      <w:textAlignment w:val="baseline"/>
    </w:pPr>
    <w:rPr>
      <w:rFonts w:ascii="Times LatArm" w:hAnsi="Times LatArm"/>
      <w:szCs w:val="20"/>
      <w:lang w:val="en-GB" w:eastAsia="ru-RU"/>
    </w:rPr>
  </w:style>
  <w:style w:type="paragraph" w:customStyle="1" w:styleId="CharCharChar0">
    <w:name w:val="Char Char Char Знак Знак"/>
    <w:basedOn w:val="Normal"/>
    <w:rsid w:val="0045493E"/>
    <w:pPr>
      <w:spacing w:line="240" w:lineRule="exact"/>
    </w:pPr>
    <w:rPr>
      <w:rFonts w:ascii="Arial" w:hAnsi="Arial" w:cs="Arial"/>
      <w:sz w:val="20"/>
      <w:szCs w:val="20"/>
    </w:rPr>
  </w:style>
  <w:style w:type="paragraph" w:customStyle="1" w:styleId="CharChar39">
    <w:name w:val="Char Char39"/>
    <w:basedOn w:val="Normal"/>
    <w:rsid w:val="0045493E"/>
    <w:pPr>
      <w:spacing w:line="240" w:lineRule="exact"/>
    </w:pPr>
    <w:rPr>
      <w:rFonts w:ascii="Arial" w:hAnsi="Arial" w:cs="Arial"/>
      <w:sz w:val="20"/>
      <w:szCs w:val="20"/>
    </w:rPr>
  </w:style>
  <w:style w:type="paragraph" w:customStyle="1" w:styleId="CharCharChar3">
    <w:name w:val="Char Char Char3"/>
    <w:basedOn w:val="Normal"/>
    <w:rsid w:val="0045493E"/>
    <w:pPr>
      <w:spacing w:line="240" w:lineRule="exact"/>
    </w:pPr>
    <w:rPr>
      <w:rFonts w:ascii="Arial" w:hAnsi="Arial" w:cs="Arial"/>
      <w:sz w:val="20"/>
      <w:szCs w:val="20"/>
    </w:rPr>
  </w:style>
  <w:style w:type="paragraph" w:customStyle="1" w:styleId="Znak3">
    <w:name w:val="Znak3"/>
    <w:basedOn w:val="Normal"/>
    <w:rsid w:val="0045493E"/>
    <w:pPr>
      <w:tabs>
        <w:tab w:val="left" w:pos="709"/>
      </w:tabs>
    </w:pPr>
    <w:rPr>
      <w:rFonts w:ascii="Tahoma" w:hAnsi="Tahoma"/>
      <w:lang w:val="pl-PL" w:eastAsia="pl-PL"/>
    </w:rPr>
  </w:style>
  <w:style w:type="paragraph" w:customStyle="1" w:styleId="CM31">
    <w:name w:val="CM31"/>
    <w:basedOn w:val="Default"/>
    <w:next w:val="Default"/>
    <w:rsid w:val="0045493E"/>
    <w:pPr>
      <w:numPr>
        <w:numId w:val="8"/>
      </w:numPr>
      <w:spacing w:after="228"/>
      <w:ind w:left="0" w:firstLine="0"/>
    </w:pPr>
    <w:rPr>
      <w:rFonts w:ascii="Arial-Armenian" w:hAnsi="Arial-Armenian" w:cs="Arial-Armenian"/>
      <w:color w:val="auto"/>
    </w:rPr>
  </w:style>
  <w:style w:type="paragraph" w:customStyle="1" w:styleId="StyleCaptionTimesArmenian11pt">
    <w:name w:val="Style Caption + Times Armenian 11 pt"/>
    <w:basedOn w:val="Caption"/>
    <w:link w:val="StyleCaptionTimesArmenian11ptChar"/>
    <w:rsid w:val="0045493E"/>
    <w:pPr>
      <w:overflowPunct w:val="0"/>
      <w:autoSpaceDE w:val="0"/>
      <w:autoSpaceDN w:val="0"/>
      <w:adjustRightInd w:val="0"/>
      <w:spacing w:after="120"/>
      <w:textAlignment w:val="baseline"/>
    </w:pPr>
    <w:rPr>
      <w:rFonts w:ascii="Arial Armenian" w:hAnsi="Arial Armenian"/>
      <w:bCs/>
      <w:sz w:val="26"/>
      <w:szCs w:val="26"/>
    </w:rPr>
  </w:style>
  <w:style w:type="character" w:customStyle="1" w:styleId="StyleCaptionTimesArmenian11ptChar">
    <w:name w:val="Style Caption + Times Armenian 11 pt Char"/>
    <w:link w:val="StyleCaptionTimesArmenian11pt"/>
    <w:rsid w:val="0045493E"/>
    <w:rPr>
      <w:rFonts w:ascii="Arial Armenian" w:hAnsi="Arial Armenian"/>
      <w:b/>
      <w:bCs/>
      <w:sz w:val="26"/>
      <w:szCs w:val="26"/>
      <w:lang w:val="en-US" w:eastAsia="en-US" w:bidi="ar-SA"/>
    </w:rPr>
  </w:style>
  <w:style w:type="paragraph" w:customStyle="1" w:styleId="StyleHeading120ptBlue">
    <w:name w:val="Style Heading 1 + 20 pt Blue"/>
    <w:basedOn w:val="Heading1"/>
    <w:rsid w:val="0045493E"/>
    <w:pPr>
      <w:spacing w:line="360" w:lineRule="auto"/>
      <w:ind w:firstLine="720"/>
      <w:jc w:val="both"/>
    </w:pPr>
    <w:rPr>
      <w:sz w:val="40"/>
      <w:szCs w:val="40"/>
      <w:lang w:val="en-GB"/>
    </w:rPr>
  </w:style>
  <w:style w:type="paragraph" w:customStyle="1" w:styleId="StyleHeading1TimesArmenian10ptNotBoldUnderline1">
    <w:name w:val="Style Heading 1 + Times Armenian 10 pt Not Bold Underline1"/>
    <w:basedOn w:val="Heading1"/>
    <w:rsid w:val="0045493E"/>
    <w:pPr>
      <w:tabs>
        <w:tab w:val="center" w:pos="-180"/>
        <w:tab w:val="left" w:pos="450"/>
      </w:tabs>
      <w:spacing w:line="360" w:lineRule="auto"/>
      <w:jc w:val="both"/>
    </w:pPr>
    <w:rPr>
      <w:rFonts w:cs="Sylfaen"/>
      <w:b w:val="0"/>
      <w:bCs w:val="0"/>
      <w:szCs w:val="24"/>
    </w:rPr>
  </w:style>
  <w:style w:type="paragraph" w:customStyle="1" w:styleId="CharCharCharCharCharCharCharCharCharChar">
    <w:name w:val="Char Char Char Char Char Char Char Char Char Char"/>
    <w:basedOn w:val="Normal"/>
    <w:rsid w:val="0045493E"/>
    <w:pPr>
      <w:spacing w:line="240" w:lineRule="exact"/>
    </w:pPr>
    <w:rPr>
      <w:rFonts w:ascii="Arial" w:hAnsi="Arial" w:cs="Arial"/>
      <w:sz w:val="20"/>
      <w:szCs w:val="20"/>
    </w:rPr>
  </w:style>
  <w:style w:type="paragraph" w:customStyle="1" w:styleId="Titlechart">
    <w:name w:val="Title_chart"/>
    <w:basedOn w:val="Caption"/>
    <w:rsid w:val="0045493E"/>
    <w:rPr>
      <w:bCs/>
      <w:lang w:eastAsia="ru-RU"/>
    </w:rPr>
  </w:style>
  <w:style w:type="paragraph" w:customStyle="1" w:styleId="CharCharCharCharCharCharCharCharCharCharCharCharChar">
    <w:name w:val="Char Char Char Char Char Char Char Char Char Char Char Char Char"/>
    <w:basedOn w:val="Normal"/>
    <w:rsid w:val="0045493E"/>
    <w:pPr>
      <w:spacing w:line="240" w:lineRule="exact"/>
    </w:pPr>
    <w:rPr>
      <w:rFonts w:ascii="Arial" w:hAnsi="Arial" w:cs="Arial"/>
      <w:sz w:val="20"/>
      <w:szCs w:val="20"/>
    </w:rPr>
  </w:style>
  <w:style w:type="paragraph" w:customStyle="1" w:styleId="StyleHeading1SectionSectionHeadingText11Chapterhead3">
    <w:name w:val="Style Heading 1(Section)Section Heading(Text)1 1Chapterhead3..."/>
    <w:basedOn w:val="Heading1"/>
    <w:link w:val="StyleHeading1SectionSectionHeadingText11Chapterhead3Char"/>
    <w:rsid w:val="0045493E"/>
    <w:pPr>
      <w:spacing w:before="0" w:after="0" w:line="360" w:lineRule="auto"/>
    </w:pPr>
    <w:rPr>
      <w:b w:val="0"/>
      <w:color w:val="auto"/>
      <w:sz w:val="22"/>
      <w:szCs w:val="22"/>
      <w:lang w:val="es-ES"/>
    </w:rPr>
  </w:style>
  <w:style w:type="character" w:customStyle="1" w:styleId="StyleHeading1SectionSectionHeadingText11Chapterhead3Char">
    <w:name w:val="Style Heading 1(Section)Section Heading(Text)1 1Chapterhead3... Char"/>
    <w:link w:val="StyleHeading1SectionSectionHeadingText11Chapterhead3"/>
    <w:rsid w:val="0045493E"/>
    <w:rPr>
      <w:rFonts w:ascii="GHEA Grapalat" w:eastAsia="SimSun" w:hAnsi="GHEA Grapalat"/>
      <w:b/>
      <w:sz w:val="22"/>
      <w:szCs w:val="22"/>
      <w:lang w:val="es-ES"/>
    </w:rPr>
  </w:style>
  <w:style w:type="paragraph" w:customStyle="1" w:styleId="StyleHeading2ChapterParanumTextSylfaen">
    <w:name w:val="Style Heading 2.(Chapter).Paranum.Text + Sylfaen"/>
    <w:basedOn w:val="Heading2ChapterParanumText"/>
    <w:link w:val="StyleHeading2ChapterParanumTextSylfaenChar"/>
    <w:rsid w:val="0045493E"/>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45493E"/>
    <w:rPr>
      <w:rFonts w:ascii="Sylfaen" w:hAnsi="Sylfaen"/>
      <w:b/>
      <w:bCs/>
      <w:spacing w:val="24"/>
      <w:kern w:val="28"/>
      <w:sz w:val="24"/>
      <w:szCs w:val="24"/>
      <w:lang w:val="it-IT" w:eastAsia="en-US" w:bidi="ar-SA"/>
    </w:rPr>
  </w:style>
  <w:style w:type="paragraph" w:customStyle="1" w:styleId="StyleHeading3Sub-ChapterCenteredtextHeading3CharCharC">
    <w:name w:val="Style Heading 3(Sub-Chapter)Centered(text)Heading 3 Char Char C..."/>
    <w:basedOn w:val="Heading3"/>
    <w:rsid w:val="0045493E"/>
    <w:pPr>
      <w:ind w:right="302"/>
    </w:pPr>
    <w:rPr>
      <w:bCs/>
      <w:lang w:val="af-ZA"/>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rsid w:val="0045493E"/>
  </w:style>
  <w:style w:type="character" w:customStyle="1" w:styleId="StyleStyleHeading1SectionSectionHeadingText11Chapterhead3Char">
    <w:name w:val="Style Style Heading 1(Section)Section Heading(Text)1 1Chapterhead3.... Char"/>
    <w:basedOn w:val="StyleHeading1SectionSectionHeadingText11Chapterhead3Char"/>
    <w:link w:val="StyleStyleHeading1SectionSectionHeadingText11Chapterhead3"/>
    <w:rsid w:val="0045493E"/>
    <w:rPr>
      <w:rFonts w:ascii="GHEA Grapalat" w:eastAsia="SimSun" w:hAnsi="GHEA Grapalat"/>
      <w:b/>
      <w:sz w:val="22"/>
      <w:szCs w:val="22"/>
      <w:lang w:val="es-ES"/>
    </w:rPr>
  </w:style>
  <w:style w:type="paragraph" w:customStyle="1" w:styleId="211">
    <w:name w:val="???????? ????? 21"/>
    <w:basedOn w:val="2"/>
    <w:rsid w:val="0045493E"/>
    <w:pPr>
      <w:jc w:val="center"/>
    </w:pPr>
    <w:rPr>
      <w:b/>
      <w:sz w:val="28"/>
    </w:rPr>
  </w:style>
  <w:style w:type="paragraph" w:customStyle="1" w:styleId="15">
    <w:name w:val="Абзац списка1"/>
    <w:basedOn w:val="Normal"/>
    <w:qFormat/>
    <w:rsid w:val="0045493E"/>
    <w:pPr>
      <w:spacing w:after="200" w:line="276" w:lineRule="auto"/>
      <w:ind w:left="720"/>
      <w:contextualSpacing/>
    </w:pPr>
    <w:rPr>
      <w:lang w:val="ru-RU" w:eastAsia="ru-RU"/>
    </w:rPr>
  </w:style>
  <w:style w:type="character" w:customStyle="1" w:styleId="apple-style-span">
    <w:name w:val="apple-style-span"/>
    <w:basedOn w:val="DefaultParagraphFont"/>
    <w:rsid w:val="0045493E"/>
  </w:style>
  <w:style w:type="paragraph" w:customStyle="1" w:styleId="mechtex">
    <w:name w:val="mechtex"/>
    <w:basedOn w:val="Normal"/>
    <w:link w:val="mechtexChar"/>
    <w:rsid w:val="0045493E"/>
    <w:pPr>
      <w:jc w:val="center"/>
    </w:pPr>
  </w:style>
  <w:style w:type="character" w:customStyle="1" w:styleId="mechtexChar">
    <w:name w:val="mechtex Char"/>
    <w:link w:val="mechtex"/>
    <w:locked/>
    <w:rsid w:val="0045493E"/>
    <w:rPr>
      <w:sz w:val="22"/>
      <w:szCs w:val="24"/>
      <w:lang w:val="en-US" w:eastAsia="en-US" w:bidi="ar-SA"/>
    </w:rPr>
  </w:style>
  <w:style w:type="paragraph" w:customStyle="1" w:styleId="Style15">
    <w:name w:val="Style1.5"/>
    <w:basedOn w:val="Normal"/>
    <w:rsid w:val="0045493E"/>
    <w:pPr>
      <w:spacing w:line="360" w:lineRule="auto"/>
      <w:ind w:firstLine="709"/>
    </w:pPr>
    <w:rPr>
      <w:rFonts w:ascii="Arial Armenian" w:hAnsi="Arial Armenian"/>
    </w:rPr>
  </w:style>
  <w:style w:type="paragraph" w:customStyle="1" w:styleId="russtyle">
    <w:name w:val="russtyle"/>
    <w:basedOn w:val="Normal"/>
    <w:rsid w:val="0045493E"/>
    <w:rPr>
      <w:rFonts w:ascii="Russian Baltica" w:hAnsi="Russian Baltica"/>
    </w:rPr>
  </w:style>
  <w:style w:type="paragraph" w:customStyle="1" w:styleId="Style2">
    <w:name w:val="Style2"/>
    <w:basedOn w:val="mechtex"/>
    <w:rsid w:val="0045493E"/>
    <w:rPr>
      <w:w w:val="90"/>
    </w:rPr>
  </w:style>
  <w:style w:type="paragraph" w:customStyle="1" w:styleId="Style3">
    <w:name w:val="Style3"/>
    <w:basedOn w:val="mechtex"/>
    <w:rsid w:val="0045493E"/>
    <w:rPr>
      <w:w w:val="90"/>
    </w:rPr>
  </w:style>
  <w:style w:type="paragraph" w:customStyle="1" w:styleId="Style6">
    <w:name w:val="Style6"/>
    <w:basedOn w:val="mechtex"/>
    <w:rsid w:val="0045493E"/>
  </w:style>
  <w:style w:type="paragraph" w:customStyle="1" w:styleId="1CharChar">
    <w:name w:val="Знак Знак1 Char Char Знак Знак"/>
    <w:basedOn w:val="Normal"/>
    <w:rsid w:val="0045493E"/>
    <w:pPr>
      <w:tabs>
        <w:tab w:val="left" w:pos="840"/>
      </w:tabs>
      <w:spacing w:line="240" w:lineRule="exact"/>
      <w:ind w:left="840" w:hanging="360"/>
    </w:pPr>
    <w:rPr>
      <w:rFonts w:ascii="Verdana" w:hAnsi="Verdana"/>
      <w:sz w:val="20"/>
      <w:szCs w:val="20"/>
      <w:lang w:val="ru-RU"/>
    </w:rPr>
  </w:style>
  <w:style w:type="paragraph" w:customStyle="1" w:styleId="CharCharCharChar0">
    <w:name w:val="Знак Знак Char Char Знак Знак Char Char Знак Знак"/>
    <w:basedOn w:val="Normal"/>
    <w:rsid w:val="0045493E"/>
    <w:pPr>
      <w:spacing w:line="240" w:lineRule="exact"/>
    </w:pPr>
    <w:rPr>
      <w:sz w:val="28"/>
      <w:szCs w:val="20"/>
    </w:rPr>
  </w:style>
  <w:style w:type="paragraph" w:customStyle="1" w:styleId="CharCharCharCharCharCharCharCharCharCharCharCharChar3">
    <w:name w:val="Char Char Char Char Char Char Char Char Char Char Char Char Char3"/>
    <w:basedOn w:val="Normal"/>
    <w:rsid w:val="0045493E"/>
    <w:pPr>
      <w:spacing w:line="240" w:lineRule="exact"/>
    </w:pPr>
    <w:rPr>
      <w:rFonts w:ascii="Arial" w:hAnsi="Arial" w:cs="Arial"/>
      <w:sz w:val="20"/>
      <w:szCs w:val="20"/>
    </w:rPr>
  </w:style>
  <w:style w:type="paragraph" w:customStyle="1" w:styleId="16">
    <w:name w:val="Обычный1"/>
    <w:rsid w:val="0045493E"/>
    <w:pPr>
      <w:autoSpaceDE w:val="0"/>
      <w:autoSpaceDN w:val="0"/>
      <w:spacing w:after="160" w:line="259" w:lineRule="auto"/>
    </w:pPr>
    <w:rPr>
      <w:sz w:val="22"/>
      <w:szCs w:val="22"/>
      <w:lang w:val="ru-RU" w:eastAsia="ru-RU"/>
    </w:rPr>
  </w:style>
  <w:style w:type="paragraph" w:customStyle="1" w:styleId="Char2">
    <w:name w:val="Знак Знак Знак Знак Знак Знак Знак Знак Знак Знак Знак Знак Знак Знак Знак Знак Знак Знак Char Знак Знак"/>
    <w:basedOn w:val="Normal"/>
    <w:rsid w:val="0045493E"/>
    <w:pPr>
      <w:spacing w:line="240" w:lineRule="exact"/>
    </w:pPr>
    <w:rPr>
      <w:sz w:val="28"/>
      <w:szCs w:val="20"/>
    </w:rPr>
  </w:style>
  <w:style w:type="paragraph" w:customStyle="1" w:styleId="TitlePageHeader">
    <w:name w:val="TitlePage_Header"/>
    <w:basedOn w:val="Normal"/>
    <w:rsid w:val="0045493E"/>
    <w:pPr>
      <w:spacing w:before="240" w:after="240" w:line="288" w:lineRule="auto"/>
      <w:ind w:left="3240"/>
    </w:pPr>
    <w:rPr>
      <w:rFonts w:ascii="Verdana" w:hAnsi="Verdana"/>
      <w:b/>
      <w:sz w:val="32"/>
      <w:szCs w:val="20"/>
      <w:lang w:eastAsia="fr-FR"/>
    </w:rPr>
  </w:style>
  <w:style w:type="character" w:customStyle="1" w:styleId="t101">
    <w:name w:val="t101"/>
    <w:rsid w:val="0045493E"/>
    <w:rPr>
      <w:b/>
      <w:bCs/>
      <w:color w:val="0000FF"/>
    </w:rPr>
  </w:style>
  <w:style w:type="paragraph" w:customStyle="1" w:styleId="Char30">
    <w:name w:val="Знак Знак Знак Знак Знак Знак Знак Знак Знак Знак Знак Знак Знак Знак Знак Знак Знак Знак Char Знак Знак3"/>
    <w:basedOn w:val="Normal"/>
    <w:rsid w:val="0045493E"/>
    <w:pPr>
      <w:spacing w:line="240" w:lineRule="exact"/>
    </w:pPr>
    <w:rPr>
      <w:sz w:val="28"/>
      <w:szCs w:val="20"/>
    </w:rPr>
  </w:style>
  <w:style w:type="paragraph" w:customStyle="1" w:styleId="Char1CharCharCharCharCharCharCharCharCharCharCharChar">
    <w:name w:val="Char1 Char Char Char Char Char Char Char Char Char Char Char Char"/>
    <w:basedOn w:val="Normal"/>
    <w:rsid w:val="0045493E"/>
    <w:pPr>
      <w:widowControl w:val="0"/>
      <w:autoSpaceDE w:val="0"/>
      <w:autoSpaceDN w:val="0"/>
      <w:adjustRightInd w:val="0"/>
      <w:spacing w:line="240" w:lineRule="exact"/>
    </w:pPr>
    <w:rPr>
      <w:rFonts w:ascii="Arial" w:eastAsia="MS Mincho" w:hAnsi="Arial" w:cs="Arial"/>
      <w:sz w:val="20"/>
      <w:szCs w:val="20"/>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45493E"/>
    <w:pPr>
      <w:spacing w:line="240" w:lineRule="exact"/>
    </w:pPr>
    <w:rPr>
      <w:rFonts w:ascii="Arial" w:hAnsi="Arial" w:cs="Arial"/>
      <w:sz w:val="20"/>
      <w:szCs w:val="20"/>
    </w:rPr>
  </w:style>
  <w:style w:type="paragraph" w:customStyle="1" w:styleId="Style4">
    <w:name w:val="Style 4"/>
    <w:basedOn w:val="Normal"/>
    <w:rsid w:val="0045493E"/>
    <w:pPr>
      <w:numPr>
        <w:numId w:val="9"/>
      </w:numPr>
      <w:spacing w:after="240" w:line="240" w:lineRule="atLeast"/>
    </w:pPr>
    <w:rPr>
      <w:rFonts w:ascii="Garamond" w:hAnsi="Garamond"/>
      <w:szCs w:val="20"/>
    </w:rPr>
  </w:style>
  <w:style w:type="paragraph" w:customStyle="1" w:styleId="NormalWeb1">
    <w:name w:val="Normal (Web)1"/>
    <w:basedOn w:val="Normal"/>
    <w:rsid w:val="0045493E"/>
    <w:pPr>
      <w:spacing w:before="100" w:beforeAutospacing="1" w:after="100" w:afterAutospacing="1"/>
    </w:pPr>
    <w:rPr>
      <w:lang w:val="ru-RU" w:eastAsia="ru-RU"/>
    </w:rPr>
  </w:style>
  <w:style w:type="paragraph" w:customStyle="1" w:styleId="CharCharChar1">
    <w:name w:val="Char Char Char Знак"/>
    <w:basedOn w:val="Normal"/>
    <w:next w:val="Normal"/>
    <w:rsid w:val="0045493E"/>
    <w:pPr>
      <w:spacing w:line="240" w:lineRule="exact"/>
    </w:pPr>
    <w:rPr>
      <w:rFonts w:ascii="Tahoma" w:hAnsi="Tahoma"/>
      <w:szCs w:val="20"/>
    </w:rPr>
  </w:style>
  <w:style w:type="paragraph" w:customStyle="1" w:styleId="CharCharChar1Char">
    <w:name w:val="Char Char Char1 Char"/>
    <w:basedOn w:val="Normal"/>
    <w:rsid w:val="0045493E"/>
    <w:pPr>
      <w:spacing w:line="240" w:lineRule="exact"/>
    </w:pPr>
    <w:rPr>
      <w:rFonts w:ascii="Arial" w:hAnsi="Arial" w:cs="Arial"/>
      <w:sz w:val="20"/>
      <w:szCs w:val="20"/>
    </w:rPr>
  </w:style>
  <w:style w:type="paragraph" w:customStyle="1" w:styleId="CharCharChar30">
    <w:name w:val="Char Char Char Знак3"/>
    <w:basedOn w:val="Normal"/>
    <w:next w:val="Normal"/>
    <w:rsid w:val="0045493E"/>
    <w:pPr>
      <w:spacing w:line="240" w:lineRule="exact"/>
    </w:pPr>
    <w:rPr>
      <w:rFonts w:ascii="Tahoma" w:hAnsi="Tahoma"/>
      <w:szCs w:val="20"/>
    </w:rPr>
  </w:style>
  <w:style w:type="paragraph" w:customStyle="1" w:styleId="17">
    <w:name w:val="Знак Знак1"/>
    <w:basedOn w:val="Normal"/>
    <w:rsid w:val="0045493E"/>
    <w:pPr>
      <w:spacing w:line="240" w:lineRule="exact"/>
    </w:pPr>
    <w:rPr>
      <w:rFonts w:ascii="Arial" w:eastAsia="MS Mincho" w:hAnsi="Arial" w:cs="Arial"/>
      <w:sz w:val="20"/>
      <w:szCs w:val="20"/>
    </w:rPr>
  </w:style>
  <w:style w:type="paragraph" w:customStyle="1" w:styleId="Graphic">
    <w:name w:val="Graphic"/>
    <w:basedOn w:val="Heading2"/>
    <w:rsid w:val="0045493E"/>
    <w:pPr>
      <w:spacing w:after="130"/>
      <w:outlineLvl w:val="9"/>
    </w:pPr>
    <w:rPr>
      <w:rFonts w:ascii="Times New Roman" w:hAnsi="Times New Roman"/>
      <w:bCs w:val="0"/>
      <w:iCs/>
      <w:sz w:val="22"/>
      <w:szCs w:val="22"/>
      <w:lang w:val="en-GB"/>
    </w:rPr>
  </w:style>
  <w:style w:type="paragraph" w:customStyle="1" w:styleId="GlossaryHeader">
    <w:name w:val="Glossary Header"/>
    <w:next w:val="Normal"/>
    <w:rsid w:val="0045493E"/>
    <w:pPr>
      <w:pageBreakBefore/>
      <w:overflowPunct w:val="0"/>
      <w:autoSpaceDE w:val="0"/>
      <w:autoSpaceDN w:val="0"/>
      <w:adjustRightInd w:val="0"/>
      <w:spacing w:after="160" w:line="259" w:lineRule="auto"/>
      <w:textAlignment w:val="baseline"/>
    </w:pPr>
    <w:rPr>
      <w:sz w:val="36"/>
      <w:szCs w:val="22"/>
      <w:lang w:val="en-GB"/>
    </w:rPr>
  </w:style>
  <w:style w:type="paragraph" w:customStyle="1" w:styleId="font5">
    <w:name w:val="font5"/>
    <w:basedOn w:val="Normal"/>
    <w:rsid w:val="0045493E"/>
    <w:pPr>
      <w:spacing w:before="100" w:beforeAutospacing="1" w:after="100" w:afterAutospacing="1"/>
    </w:pPr>
    <w:rPr>
      <w:rFonts w:ascii="Times Armenian" w:hAnsi="Times Armenian"/>
      <w:color w:val="000000"/>
      <w:sz w:val="16"/>
      <w:szCs w:val="16"/>
    </w:rPr>
  </w:style>
  <w:style w:type="paragraph" w:customStyle="1" w:styleId="font6">
    <w:name w:val="font6"/>
    <w:basedOn w:val="Normal"/>
    <w:rsid w:val="0045493E"/>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rsid w:val="0045493E"/>
    <w:pPr>
      <w:spacing w:before="100" w:beforeAutospacing="1" w:after="100" w:afterAutospacing="1"/>
    </w:pPr>
    <w:rPr>
      <w:rFonts w:ascii="Times Armenian" w:hAnsi="Times Armenian"/>
      <w:color w:val="000000"/>
      <w:sz w:val="20"/>
      <w:szCs w:val="20"/>
    </w:rPr>
  </w:style>
  <w:style w:type="paragraph" w:customStyle="1" w:styleId="font8">
    <w:name w:val="font8"/>
    <w:basedOn w:val="Normal"/>
    <w:rsid w:val="0045493E"/>
    <w:pPr>
      <w:spacing w:before="100" w:beforeAutospacing="1" w:after="100" w:afterAutospacing="1"/>
    </w:pPr>
    <w:rPr>
      <w:rFonts w:ascii="Times Armenian" w:hAnsi="Times Armenian"/>
      <w:color w:val="000000"/>
      <w:sz w:val="16"/>
      <w:szCs w:val="16"/>
    </w:rPr>
  </w:style>
  <w:style w:type="paragraph" w:customStyle="1" w:styleId="font9">
    <w:name w:val="font9"/>
    <w:basedOn w:val="Normal"/>
    <w:rsid w:val="0045493E"/>
    <w:pPr>
      <w:spacing w:before="100" w:beforeAutospacing="1" w:after="100" w:afterAutospacing="1"/>
    </w:pPr>
    <w:rPr>
      <w:rFonts w:ascii="Times Armenian" w:hAnsi="Times Armenian"/>
      <w:color w:val="000000"/>
    </w:rPr>
  </w:style>
  <w:style w:type="paragraph" w:customStyle="1" w:styleId="font10">
    <w:name w:val="font10"/>
    <w:basedOn w:val="Normal"/>
    <w:rsid w:val="0045493E"/>
    <w:pPr>
      <w:spacing w:before="100" w:beforeAutospacing="1" w:after="100" w:afterAutospacing="1"/>
    </w:pPr>
    <w:rPr>
      <w:rFonts w:ascii="Times Armenian" w:hAnsi="Times Armenian"/>
      <w:b/>
      <w:bCs/>
      <w:color w:val="000000"/>
      <w:sz w:val="16"/>
      <w:szCs w:val="16"/>
    </w:rPr>
  </w:style>
  <w:style w:type="paragraph" w:customStyle="1" w:styleId="xl139">
    <w:name w:val="xl139"/>
    <w:basedOn w:val="Normal"/>
    <w:rsid w:val="0045493E"/>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rsid w:val="0045493E"/>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rsid w:val="0045493E"/>
    <w:pPr>
      <w:pBdr>
        <w:left w:val="single" w:sz="8" w:space="0" w:color="auto"/>
        <w:bottom w:val="single" w:sz="8" w:space="0" w:color="auto"/>
        <w:right w:val="single" w:sz="8" w:space="0" w:color="auto"/>
      </w:pBdr>
      <w:spacing w:before="100" w:beforeAutospacing="1" w:after="100" w:afterAutospacing="1"/>
      <w:textAlignment w:val="center"/>
    </w:pPr>
    <w:rPr>
      <w:rFonts w:ascii="Times Armenian" w:hAnsi="Times Armenian"/>
      <w:sz w:val="16"/>
      <w:szCs w:val="16"/>
    </w:rPr>
  </w:style>
  <w:style w:type="paragraph" w:customStyle="1" w:styleId="xl142">
    <w:name w:val="xl142"/>
    <w:basedOn w:val="Normal"/>
    <w:rsid w:val="0045493E"/>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rsid w:val="0045493E"/>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rsid w:val="0045493E"/>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rsid w:val="0045493E"/>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rsid w:val="0045493E"/>
    <w:pPr>
      <w:pBdr>
        <w:left w:val="single" w:sz="8" w:space="0" w:color="auto"/>
        <w:bottom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147">
    <w:name w:val="xl147"/>
    <w:basedOn w:val="Normal"/>
    <w:rsid w:val="0045493E"/>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rsid w:val="0045493E"/>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rsid w:val="0045493E"/>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rsid w:val="0045493E"/>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rsid w:val="0045493E"/>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rsid w:val="0045493E"/>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rsid w:val="0045493E"/>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rsid w:val="0045493E"/>
    <w:pPr>
      <w:spacing w:before="100" w:beforeAutospacing="1" w:after="100" w:afterAutospacing="1"/>
      <w:jc w:val="center"/>
      <w:textAlignment w:val="center"/>
    </w:pPr>
  </w:style>
  <w:style w:type="paragraph" w:customStyle="1" w:styleId="xl155">
    <w:name w:val="xl155"/>
    <w:basedOn w:val="Normal"/>
    <w:rsid w:val="0045493E"/>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rsid w:val="0045493E"/>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rsid w:val="0045493E"/>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rsid w:val="0045493E"/>
    <w:pPr>
      <w:pBdr>
        <w:top w:val="double" w:sz="6" w:space="0" w:color="auto"/>
        <w:left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59">
    <w:name w:val="xl159"/>
    <w:basedOn w:val="Normal"/>
    <w:rsid w:val="0045493E"/>
    <w:pPr>
      <w:pBdr>
        <w:left w:val="single" w:sz="8" w:space="0" w:color="auto"/>
        <w:bottom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60">
    <w:name w:val="xl160"/>
    <w:basedOn w:val="Normal"/>
    <w:rsid w:val="0045493E"/>
    <w:pPr>
      <w:pBdr>
        <w:top w:val="single" w:sz="8" w:space="0" w:color="auto"/>
        <w:left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61">
    <w:name w:val="xl161"/>
    <w:basedOn w:val="Normal"/>
    <w:rsid w:val="0045493E"/>
    <w:pPr>
      <w:spacing w:before="100" w:beforeAutospacing="1" w:after="100" w:afterAutospacing="1"/>
      <w:textAlignment w:val="center"/>
    </w:pPr>
    <w:rPr>
      <w:rFonts w:ascii="Times Armenian" w:hAnsi="Times Armenian"/>
      <w:b/>
      <w:bCs/>
      <w:sz w:val="18"/>
      <w:szCs w:val="18"/>
      <w:u w:val="single"/>
    </w:rPr>
  </w:style>
  <w:style w:type="paragraph" w:customStyle="1" w:styleId="xl23">
    <w:name w:val="xl23"/>
    <w:basedOn w:val="Normal"/>
    <w:rsid w:val="0045493E"/>
    <w:pPr>
      <w:spacing w:before="100" w:beforeAutospacing="1" w:after="100" w:afterAutospacing="1"/>
      <w:jc w:val="center"/>
      <w:textAlignment w:val="center"/>
    </w:pPr>
    <w:rPr>
      <w:rFonts w:ascii="Times Armenian" w:hAnsi="Times Armenian"/>
    </w:rPr>
  </w:style>
  <w:style w:type="paragraph" w:customStyle="1" w:styleId="StyleBodyTextArialAMChar">
    <w:name w:val="Style Body Text + Arial AM Char"/>
    <w:basedOn w:val="BodyText"/>
    <w:rsid w:val="0045493E"/>
    <w:pPr>
      <w:spacing w:after="240"/>
    </w:pPr>
    <w:rPr>
      <w:rFonts w:ascii="Arial AM" w:hAnsi="Arial AM"/>
      <w:spacing w:val="-5"/>
      <w:szCs w:val="20"/>
      <w:lang w:val="en-GB"/>
    </w:rPr>
  </w:style>
  <w:style w:type="character" w:customStyle="1" w:styleId="FooterChar">
    <w:name w:val="Footer Char"/>
    <w:uiPriority w:val="99"/>
    <w:rsid w:val="0045493E"/>
    <w:rPr>
      <w:sz w:val="24"/>
      <w:szCs w:val="24"/>
    </w:rPr>
  </w:style>
  <w:style w:type="paragraph" w:customStyle="1" w:styleId="CharCharCharCharChar">
    <w:name w:val="Char Char Char Char Char Знак Знак"/>
    <w:basedOn w:val="Normal"/>
    <w:rsid w:val="0045493E"/>
    <w:pPr>
      <w:spacing w:line="240" w:lineRule="exact"/>
    </w:pPr>
    <w:rPr>
      <w:rFonts w:ascii="Arial" w:hAnsi="Arial" w:cs="Arial"/>
      <w:sz w:val="20"/>
      <w:szCs w:val="20"/>
    </w:rPr>
  </w:style>
  <w:style w:type="paragraph" w:customStyle="1" w:styleId="CharChar1CharCharChar1Char">
    <w:name w:val="Char Char1 Char Char Char1 Char"/>
    <w:basedOn w:val="Normal"/>
    <w:rsid w:val="0045493E"/>
    <w:rPr>
      <w:rFonts w:eastAsia="SimSun"/>
      <w:sz w:val="20"/>
      <w:szCs w:val="20"/>
      <w:lang w:eastAsia="ru-RU"/>
    </w:rPr>
  </w:style>
  <w:style w:type="paragraph" w:customStyle="1" w:styleId="4">
    <w:name w:val="Знак Знак4"/>
    <w:basedOn w:val="Normal"/>
    <w:rsid w:val="0045493E"/>
    <w:pPr>
      <w:tabs>
        <w:tab w:val="left" w:pos="709"/>
      </w:tabs>
    </w:pPr>
    <w:rPr>
      <w:rFonts w:ascii="Tahoma" w:hAnsi="Tahoma"/>
      <w:lang w:val="pl-PL" w:eastAsia="pl-PL"/>
    </w:rPr>
  </w:style>
  <w:style w:type="paragraph" w:customStyle="1" w:styleId="CharCharCharCharCharChar1CharCharCharCharCharCharCharCharChar">
    <w:name w:val="Char Char Char Char Char Char1 Char Char Char Char Char Char Char Char Char Знак Знак"/>
    <w:basedOn w:val="Normal"/>
    <w:rsid w:val="0045493E"/>
    <w:pPr>
      <w:spacing w:line="240" w:lineRule="exact"/>
    </w:pPr>
    <w:rPr>
      <w:rFonts w:ascii="Arial" w:hAnsi="Arial" w:cs="Arial"/>
      <w:sz w:val="20"/>
      <w:szCs w:val="20"/>
    </w:rPr>
  </w:style>
  <w:style w:type="character" w:customStyle="1" w:styleId="BodyTextFirstIndentChar">
    <w:name w:val="Body Text First Indent Char"/>
    <w:rsid w:val="0045493E"/>
    <w:rPr>
      <w:rFonts w:ascii="Times Armenian" w:hAnsi="Times Armenian"/>
      <w:sz w:val="24"/>
      <w:szCs w:val="24"/>
      <w:lang w:val="ru-RU" w:eastAsia="ru-RU" w:bidi="ar-SA"/>
    </w:rPr>
  </w:style>
  <w:style w:type="character" w:customStyle="1" w:styleId="CommentSubjectChar">
    <w:name w:val="Comment Subject Char"/>
    <w:uiPriority w:val="99"/>
    <w:rsid w:val="0045493E"/>
    <w:rPr>
      <w:rFonts w:ascii="Courier New" w:hAnsi="Courier New"/>
      <w:b/>
      <w:bCs/>
      <w:sz w:val="24"/>
      <w:szCs w:val="24"/>
      <w:lang w:val="en-US" w:eastAsia="en-US" w:bidi="ar-SA"/>
    </w:rPr>
  </w:style>
  <w:style w:type="paragraph" w:customStyle="1" w:styleId="Char4">
    <w:name w:val="Знак Char Знак"/>
    <w:basedOn w:val="Normal"/>
    <w:rsid w:val="0045493E"/>
    <w:pPr>
      <w:spacing w:line="240" w:lineRule="exact"/>
    </w:pPr>
    <w:rPr>
      <w:rFonts w:ascii="Arial" w:eastAsia="Batang" w:hAnsi="Arial" w:cs="Arial"/>
      <w:sz w:val="20"/>
      <w:szCs w:val="20"/>
    </w:rPr>
  </w:style>
  <w:style w:type="paragraph" w:customStyle="1" w:styleId="CharCharCharCharCharChar">
    <w:name w:val="Знак Знак Char Char Знак Знак Char Char Знак Знак Char Char"/>
    <w:basedOn w:val="Normal"/>
    <w:rsid w:val="0045493E"/>
    <w:pPr>
      <w:spacing w:line="240" w:lineRule="exact"/>
    </w:pPr>
    <w:rPr>
      <w:sz w:val="28"/>
      <w:szCs w:val="20"/>
    </w:rPr>
  </w:style>
  <w:style w:type="character" w:customStyle="1" w:styleId="longtext">
    <w:name w:val="long_text"/>
    <w:basedOn w:val="DefaultParagraphFont"/>
    <w:rsid w:val="0045493E"/>
  </w:style>
  <w:style w:type="paragraph" w:customStyle="1" w:styleId="hodvats">
    <w:name w:val="hodvats"/>
    <w:basedOn w:val="Normal"/>
    <w:rsid w:val="0045493E"/>
    <w:pPr>
      <w:tabs>
        <w:tab w:val="left" w:pos="993"/>
        <w:tab w:val="left" w:pos="1985"/>
      </w:tabs>
      <w:spacing w:before="113" w:after="57" w:line="220" w:lineRule="exact"/>
      <w:ind w:firstLine="397"/>
    </w:pPr>
    <w:rPr>
      <w:rFonts w:ascii="Dallak Helv" w:hAnsi="Dallak Helv"/>
      <w:b/>
      <w:sz w:val="18"/>
      <w:szCs w:val="20"/>
    </w:rPr>
  </w:style>
  <w:style w:type="character" w:customStyle="1" w:styleId="FooterChar1">
    <w:name w:val="Footer Char1"/>
    <w:locked/>
    <w:rsid w:val="0045493E"/>
    <w:rPr>
      <w:sz w:val="22"/>
      <w:lang w:val="en-GB" w:eastAsia="en-US" w:bidi="ar-SA"/>
    </w:rPr>
  </w:style>
  <w:style w:type="character" w:customStyle="1" w:styleId="CharChar15">
    <w:name w:val="Char Char15"/>
    <w:locked/>
    <w:rsid w:val="0045493E"/>
    <w:rPr>
      <w:rFonts w:ascii="Cambria" w:hAnsi="Cambria"/>
      <w:b/>
      <w:bCs/>
      <w:kern w:val="32"/>
      <w:sz w:val="32"/>
      <w:szCs w:val="32"/>
      <w:lang w:val="fr-FR" w:eastAsia="en-US" w:bidi="ar-SA"/>
    </w:rPr>
  </w:style>
  <w:style w:type="paragraph" w:customStyle="1" w:styleId="24">
    <w:name w:val="Знак Знак2"/>
    <w:basedOn w:val="Normal"/>
    <w:rsid w:val="0045493E"/>
    <w:pPr>
      <w:spacing w:line="240" w:lineRule="exact"/>
    </w:pPr>
    <w:rPr>
      <w:rFonts w:ascii="Arial" w:hAnsi="Arial" w:cs="Arial"/>
      <w:sz w:val="20"/>
      <w:szCs w:val="20"/>
    </w:rPr>
  </w:style>
  <w:style w:type="paragraph" w:customStyle="1" w:styleId="CharCharCharCharChar0">
    <w:name w:val="Char Char Char Char Char"/>
    <w:basedOn w:val="Normal"/>
    <w:rsid w:val="0045493E"/>
    <w:pPr>
      <w:spacing w:line="240" w:lineRule="exact"/>
    </w:pPr>
    <w:rPr>
      <w:rFonts w:ascii="Arial" w:hAnsi="Arial" w:cs="Arial"/>
      <w:sz w:val="20"/>
      <w:szCs w:val="20"/>
    </w:rPr>
  </w:style>
  <w:style w:type="paragraph" w:customStyle="1" w:styleId="CharCharCharCharCharCharCharCharCharCharChar">
    <w:name w:val="Char Char Char Знак Char Char Char Char Char Знак Char Char Char"/>
    <w:basedOn w:val="Normal"/>
    <w:rsid w:val="0045493E"/>
    <w:pPr>
      <w:spacing w:line="240" w:lineRule="exact"/>
    </w:pPr>
    <w:rPr>
      <w:rFonts w:ascii="Arial" w:hAnsi="Arial" w:cs="Arial"/>
      <w:sz w:val="20"/>
      <w:szCs w:val="20"/>
    </w:rPr>
  </w:style>
  <w:style w:type="character" w:customStyle="1" w:styleId="CharChar10">
    <w:name w:val="Char Char10"/>
    <w:locked/>
    <w:rsid w:val="0045493E"/>
    <w:rPr>
      <w:rFonts w:ascii="Arial Armenian" w:hAnsi="Arial Armenian" w:cs="Sylfaen"/>
      <w:sz w:val="24"/>
      <w:szCs w:val="24"/>
      <w:lang w:val="ru-RU" w:eastAsia="ru-RU" w:bidi="ar-SA"/>
    </w:rPr>
  </w:style>
  <w:style w:type="paragraph" w:customStyle="1" w:styleId="StyleHeading4CentredArialUnicode105pt">
    <w:name w:val="Style Heading 4Centred + Arial Unicode 10.5 pt"/>
    <w:basedOn w:val="Heading4"/>
    <w:link w:val="StyleHeading4CentredArialUnicode105ptChar"/>
    <w:rsid w:val="0045493E"/>
    <w:pPr>
      <w:spacing w:before="120"/>
    </w:pPr>
    <w:rPr>
      <w:rFonts w:ascii="Arial Unicode" w:hAnsi="Arial Unicode"/>
    </w:rPr>
  </w:style>
  <w:style w:type="character" w:customStyle="1" w:styleId="StyleHeading4CentredArialUnicode105ptChar">
    <w:name w:val="Style Heading 4Centred + Arial Unicode 10.5 pt Char"/>
    <w:link w:val="StyleHeading4CentredArialUnicode105pt"/>
    <w:rsid w:val="0045493E"/>
    <w:rPr>
      <w:rFonts w:ascii="Arial Unicode" w:hAnsi="Arial Unicode"/>
      <w:b/>
      <w:color w:val="0070C0"/>
      <w:sz w:val="22"/>
      <w:szCs w:val="22"/>
      <w:lang w:val="hy-AM"/>
    </w:rPr>
  </w:style>
  <w:style w:type="paragraph" w:customStyle="1" w:styleId="StyleStyleHeading3Sub-ChapterCenteredtextHeading3CharChar">
    <w:name w:val="Style Style Heading 3(Sub-Chapter)Centered(text)Heading 3 Char Char..."/>
    <w:basedOn w:val="StyleHeading3Sub-ChapterCenteredtextHeading3CharCharC"/>
    <w:rsid w:val="0045493E"/>
    <w:pPr>
      <w:tabs>
        <w:tab w:val="left" w:pos="360"/>
      </w:tabs>
      <w:spacing w:after="240"/>
      <w:ind w:right="0"/>
    </w:pPr>
    <w:rPr>
      <w:caps w:val="0"/>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rsid w:val="0045493E"/>
    <w:pPr>
      <w:spacing w:before="120"/>
    </w:pPr>
    <w:rPr>
      <w:bCs/>
      <w:iCs w:val="0"/>
      <w:spacing w:val="24"/>
      <w:kern w:val="28"/>
      <w:sz w:val="24"/>
      <w:szCs w:val="24"/>
    </w:rPr>
  </w:style>
  <w:style w:type="character" w:customStyle="1" w:styleId="StyleStyleHeading2ChapterParanumTextSylfaen1ArialUniChar">
    <w:name w:val="Style Style Heading 2.(Chapter).Paranum.Text + Sylfaen1 + Arial Uni... Char"/>
    <w:link w:val="StyleStyleHeading2ChapterParanumTextSylfaen1ArialUni"/>
    <w:rsid w:val="0045493E"/>
    <w:rPr>
      <w:rFonts w:ascii="GHEA Grapalat" w:hAnsi="GHEA Grapalat"/>
      <w:b/>
      <w:bCs/>
      <w:spacing w:val="24"/>
      <w:kern w:val="28"/>
      <w:sz w:val="24"/>
      <w:szCs w:val="24"/>
      <w:lang w:val="af-ZA"/>
    </w:rPr>
  </w:style>
  <w:style w:type="paragraph" w:customStyle="1" w:styleId="StyleBodyTextMainTextdateBodyTextMaintextGHEAGrapa">
    <w:name w:val="Style Body Text(Main Text)dateBody Text (Main text) + GHEA Grapa..."/>
    <w:basedOn w:val="BodyText"/>
    <w:rsid w:val="0045493E"/>
    <w:pPr>
      <w:spacing w:line="360" w:lineRule="auto"/>
    </w:pPr>
  </w:style>
  <w:style w:type="paragraph" w:customStyle="1" w:styleId="StyleStyleHeading2ChapterParanumTextSylfaen1ArialUni1">
    <w:name w:val="Style Style Heading 2.(Chapter).Paranum.Text + Sylfaen1 + Arial Uni...1"/>
    <w:basedOn w:val="StyleHeading2ChapterParanumTextSylfaen1"/>
    <w:rsid w:val="0045493E"/>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45493E"/>
    <w:rPr>
      <w:b/>
      <w:bCs w:val="0"/>
      <w:spacing w:val="40"/>
      <w:sz w:val="28"/>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45493E"/>
    <w:rPr>
      <w:bCs/>
      <w:iCs w:val="0"/>
      <w:spacing w:val="24"/>
      <w:kern w:val="28"/>
      <w:lang w:val="pt-BR" w:eastAsia="en-US"/>
    </w:rPr>
  </w:style>
  <w:style w:type="character" w:customStyle="1" w:styleId="StyleStyleHeading2ChapterParanumTextSylfaen1GHEAGrapChar">
    <w:name w:val="Style Style Heading 2.(Chapter).Paranum.Text + Sylfaen1 + GHEA Grap... Char"/>
    <w:link w:val="StyleStyleHeading2ChapterParanumTextSylfaen1GHEAGrap"/>
    <w:rsid w:val="0045493E"/>
    <w:rPr>
      <w:rFonts w:ascii="GHEA Grapalat" w:hAnsi="GHEA Grapalat"/>
      <w:b/>
      <w:bCs/>
      <w:spacing w:val="24"/>
      <w:kern w:val="28"/>
      <w:sz w:val="22"/>
      <w:szCs w:val="22"/>
      <w:lang w:val="pt-BR" w:eastAsia="en-US" w:bidi="ar-SA"/>
    </w:rPr>
  </w:style>
  <w:style w:type="character" w:customStyle="1" w:styleId="CharChar18">
    <w:name w:val="Char Char18"/>
    <w:rsid w:val="0045493E"/>
    <w:rPr>
      <w:rFonts w:ascii="Arial Armenian" w:eastAsia="Times New Roman" w:hAnsi="Arial Armenian"/>
      <w:i/>
      <w:sz w:val="22"/>
      <w:u w:val="single"/>
      <w:lang w:val="en-GB"/>
    </w:rPr>
  </w:style>
  <w:style w:type="character" w:customStyle="1" w:styleId="FontStyle29">
    <w:name w:val="Font Style29"/>
    <w:rsid w:val="0045493E"/>
    <w:rPr>
      <w:rFonts w:ascii="Tahoma" w:hAnsi="Tahoma" w:cs="Tahoma"/>
      <w:color w:val="000000"/>
      <w:sz w:val="16"/>
      <w:szCs w:val="16"/>
    </w:rPr>
  </w:style>
  <w:style w:type="character" w:customStyle="1" w:styleId="CharChar19">
    <w:name w:val="Char Char19"/>
    <w:rsid w:val="0045493E"/>
    <w:rPr>
      <w:b/>
      <w:sz w:val="32"/>
      <w:lang w:val="en-GB" w:eastAsia="en-US" w:bidi="ar-SA"/>
    </w:rPr>
  </w:style>
  <w:style w:type="paragraph" w:customStyle="1" w:styleId="rmcptlkhmsonormal">
    <w:name w:val="rmcptlkh msonormal"/>
    <w:basedOn w:val="Normal"/>
    <w:rsid w:val="0045493E"/>
    <w:pPr>
      <w:spacing w:before="100" w:beforeAutospacing="1" w:after="100" w:afterAutospacing="1"/>
    </w:pPr>
    <w:rPr>
      <w:rFonts w:eastAsia="Batang"/>
      <w:lang w:val="ru-RU" w:eastAsia="ko-KR"/>
    </w:rPr>
  </w:style>
  <w:style w:type="character" w:customStyle="1" w:styleId="CharChar21">
    <w:name w:val="Char Char21"/>
    <w:rsid w:val="0045493E"/>
    <w:rPr>
      <w:rFonts w:ascii="Arial Armenian" w:hAnsi="Arial Armenian"/>
      <w:i/>
      <w:sz w:val="22"/>
      <w:u w:val="single"/>
      <w:lang w:val="en-GB" w:eastAsia="en-US" w:bidi="ar-SA"/>
    </w:rPr>
  </w:style>
  <w:style w:type="character" w:customStyle="1" w:styleId="CharChar20">
    <w:name w:val="Char Char20"/>
    <w:rsid w:val="0045493E"/>
    <w:rPr>
      <w:rFonts w:ascii="Garamond" w:hAnsi="Garamond"/>
      <w:i/>
      <w:spacing w:val="-5"/>
      <w:sz w:val="28"/>
      <w:lang w:val="en-GB" w:eastAsia="en-US" w:bidi="ar-SA"/>
    </w:rPr>
  </w:style>
  <w:style w:type="paragraph" w:customStyle="1" w:styleId="Revision1">
    <w:name w:val="Revision1"/>
    <w:hidden/>
    <w:uiPriority w:val="99"/>
    <w:semiHidden/>
    <w:rsid w:val="0045493E"/>
    <w:pPr>
      <w:spacing w:after="160" w:line="259" w:lineRule="auto"/>
    </w:pPr>
    <w:rPr>
      <w:rFonts w:ascii="Arial Armenian" w:hAnsi="Arial Armenian" w:cs="Sylfaen"/>
      <w:sz w:val="24"/>
      <w:szCs w:val="24"/>
      <w:lang w:val="ru-RU" w:eastAsia="ru-RU"/>
    </w:rPr>
  </w:style>
  <w:style w:type="paragraph" w:customStyle="1" w:styleId="CM33">
    <w:name w:val="CM33"/>
    <w:basedOn w:val="Normal"/>
    <w:next w:val="Normal"/>
    <w:rsid w:val="0045493E"/>
    <w:pPr>
      <w:widowControl w:val="0"/>
      <w:autoSpaceDE w:val="0"/>
      <w:autoSpaceDN w:val="0"/>
      <w:adjustRightInd w:val="0"/>
      <w:spacing w:after="343"/>
    </w:pPr>
    <w:rPr>
      <w:rFonts w:ascii="Arial Armenian" w:hAnsi="Arial Armenian" w:cs="Arial Armenian"/>
    </w:rPr>
  </w:style>
  <w:style w:type="paragraph" w:customStyle="1" w:styleId="CharCharCharCharCharCharCharChar3">
    <w:name w:val="Char Char Char Char Char Char Char Char3"/>
    <w:basedOn w:val="Normal"/>
    <w:rsid w:val="0045493E"/>
    <w:pPr>
      <w:spacing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rsid w:val="0045493E"/>
    <w:pPr>
      <w:tabs>
        <w:tab w:val="left" w:pos="709"/>
      </w:tabs>
    </w:pPr>
    <w:rPr>
      <w:rFonts w:ascii="Tahoma" w:hAnsi="Tahoma"/>
      <w:lang w:val="pl-PL" w:eastAsia="pl-PL"/>
    </w:rPr>
  </w:style>
  <w:style w:type="paragraph" w:customStyle="1" w:styleId="CharCharCharCharCharCharChar3">
    <w:name w:val="Char Char Char Char Char Char Char3"/>
    <w:basedOn w:val="Normal"/>
    <w:rsid w:val="0045493E"/>
    <w:pPr>
      <w:spacing w:line="240" w:lineRule="exact"/>
    </w:pPr>
    <w:rPr>
      <w:rFonts w:ascii="Arial" w:hAnsi="Arial" w:cs="Arial"/>
      <w:sz w:val="20"/>
      <w:szCs w:val="20"/>
    </w:rPr>
  </w:style>
  <w:style w:type="paragraph" w:customStyle="1" w:styleId="CharCharChar31">
    <w:name w:val="Char Char Char Знак Знак3"/>
    <w:basedOn w:val="Normal"/>
    <w:rsid w:val="0045493E"/>
    <w:pPr>
      <w:spacing w:line="240" w:lineRule="exact"/>
    </w:pPr>
    <w:rPr>
      <w:rFonts w:ascii="Arial" w:hAnsi="Arial" w:cs="Arial"/>
      <w:sz w:val="20"/>
      <w:szCs w:val="20"/>
    </w:rPr>
  </w:style>
  <w:style w:type="paragraph" w:customStyle="1" w:styleId="CharCharCharCharCharCharCharCharCharChar3">
    <w:name w:val="Char Char Char Char Char Char Char Char Char Char3"/>
    <w:basedOn w:val="Normal"/>
    <w:rsid w:val="0045493E"/>
    <w:pPr>
      <w:spacing w:line="240" w:lineRule="exact"/>
    </w:pPr>
    <w:rPr>
      <w:rFonts w:ascii="Arial" w:hAnsi="Arial" w:cs="Arial"/>
      <w:sz w:val="20"/>
      <w:szCs w:val="20"/>
    </w:rPr>
  </w:style>
  <w:style w:type="paragraph" w:customStyle="1" w:styleId="1CharChar3">
    <w:name w:val="Знак Знак1 Char Char Знак Знак3"/>
    <w:basedOn w:val="Normal"/>
    <w:rsid w:val="0045493E"/>
    <w:pPr>
      <w:tabs>
        <w:tab w:val="left" w:pos="840"/>
      </w:tabs>
      <w:spacing w:line="240" w:lineRule="exact"/>
      <w:ind w:left="840" w:hanging="360"/>
    </w:pPr>
    <w:rPr>
      <w:rFonts w:ascii="Verdana" w:hAnsi="Verdana"/>
      <w:sz w:val="20"/>
      <w:szCs w:val="20"/>
      <w:lang w:val="ru-RU"/>
    </w:rPr>
  </w:style>
  <w:style w:type="paragraph" w:customStyle="1" w:styleId="CharCharCharChar3">
    <w:name w:val="Знак Знак Char Char Знак Знак Char Char Знак Знак3"/>
    <w:basedOn w:val="Normal"/>
    <w:rsid w:val="0045493E"/>
    <w:pPr>
      <w:spacing w:line="240" w:lineRule="exact"/>
    </w:pPr>
    <w:rPr>
      <w:sz w:val="28"/>
      <w:szCs w:val="20"/>
    </w:rPr>
  </w:style>
  <w:style w:type="paragraph" w:customStyle="1" w:styleId="CharCharChar1Char3">
    <w:name w:val="Char Char Char1 Char3"/>
    <w:basedOn w:val="Normal"/>
    <w:rsid w:val="0045493E"/>
    <w:pPr>
      <w:spacing w:line="240" w:lineRule="exact"/>
    </w:pPr>
    <w:rPr>
      <w:rFonts w:ascii="Arial" w:hAnsi="Arial" w:cs="Arial"/>
      <w:sz w:val="20"/>
      <w:szCs w:val="20"/>
    </w:rPr>
  </w:style>
  <w:style w:type="paragraph" w:customStyle="1" w:styleId="130">
    <w:name w:val="Знак Знак13"/>
    <w:basedOn w:val="Normal"/>
    <w:rsid w:val="0045493E"/>
    <w:pPr>
      <w:spacing w:line="240" w:lineRule="exact"/>
    </w:pPr>
    <w:rPr>
      <w:rFonts w:ascii="Arial" w:eastAsia="MS Mincho" w:hAnsi="Arial" w:cs="Arial"/>
      <w:sz w:val="20"/>
      <w:szCs w:val="20"/>
    </w:rPr>
  </w:style>
  <w:style w:type="paragraph" w:customStyle="1" w:styleId="CharCharCharCharChar3">
    <w:name w:val="Char Char Char Char Char Знак Знак3"/>
    <w:basedOn w:val="Normal"/>
    <w:rsid w:val="0045493E"/>
    <w:pPr>
      <w:spacing w:line="240" w:lineRule="exact"/>
    </w:pPr>
    <w:rPr>
      <w:rFonts w:ascii="Arial" w:hAnsi="Arial" w:cs="Arial"/>
      <w:sz w:val="20"/>
      <w:szCs w:val="20"/>
    </w:rPr>
  </w:style>
  <w:style w:type="paragraph" w:customStyle="1" w:styleId="CharChar1CharCharChar1Char3">
    <w:name w:val="Char Char1 Char Char Char1 Char3"/>
    <w:basedOn w:val="Normal"/>
    <w:rsid w:val="0045493E"/>
    <w:rPr>
      <w:rFonts w:eastAsia="SimSun"/>
      <w:sz w:val="20"/>
      <w:szCs w:val="20"/>
      <w:lang w:eastAsia="ru-RU"/>
    </w:rPr>
  </w:style>
  <w:style w:type="paragraph" w:customStyle="1" w:styleId="43">
    <w:name w:val="Знак Знак43"/>
    <w:basedOn w:val="Normal"/>
    <w:rsid w:val="0045493E"/>
    <w:pPr>
      <w:tabs>
        <w:tab w:val="left" w:pos="709"/>
      </w:tabs>
    </w:pPr>
    <w:rPr>
      <w:rFonts w:ascii="Tahoma" w:hAnsi="Tahoma"/>
      <w:lang w:val="pl-PL" w:eastAsia="pl-PL"/>
    </w:rPr>
  </w:style>
  <w:style w:type="paragraph" w:customStyle="1" w:styleId="Char31">
    <w:name w:val="Знак Char Знак3"/>
    <w:basedOn w:val="Normal"/>
    <w:rsid w:val="0045493E"/>
    <w:pPr>
      <w:spacing w:line="240" w:lineRule="exact"/>
    </w:pPr>
    <w:rPr>
      <w:rFonts w:ascii="Arial" w:eastAsia="Batang" w:hAnsi="Arial" w:cs="Arial"/>
      <w:sz w:val="20"/>
      <w:szCs w:val="20"/>
    </w:rPr>
  </w:style>
  <w:style w:type="paragraph" w:customStyle="1" w:styleId="CharCharCharCharCharChar3">
    <w:name w:val="Знак Знак Char Char Знак Знак Char Char Знак Знак Char Char3"/>
    <w:basedOn w:val="Normal"/>
    <w:rsid w:val="0045493E"/>
    <w:pPr>
      <w:spacing w:line="240" w:lineRule="exact"/>
    </w:pPr>
    <w:rPr>
      <w:sz w:val="28"/>
      <w:szCs w:val="20"/>
    </w:rPr>
  </w:style>
  <w:style w:type="paragraph" w:customStyle="1" w:styleId="230">
    <w:name w:val="Знак Знак23"/>
    <w:basedOn w:val="Normal"/>
    <w:rsid w:val="0045493E"/>
    <w:pPr>
      <w:spacing w:line="240" w:lineRule="exact"/>
    </w:pPr>
    <w:rPr>
      <w:rFonts w:ascii="Arial" w:hAnsi="Arial" w:cs="Arial"/>
      <w:sz w:val="20"/>
      <w:szCs w:val="20"/>
    </w:rPr>
  </w:style>
  <w:style w:type="paragraph" w:customStyle="1" w:styleId="CharCharCharCharChar30">
    <w:name w:val="Char Char Char Char Char3"/>
    <w:basedOn w:val="Normal"/>
    <w:rsid w:val="0045493E"/>
    <w:pPr>
      <w:spacing w:line="240" w:lineRule="exact"/>
    </w:pPr>
    <w:rPr>
      <w:rFonts w:ascii="Arial" w:hAnsi="Arial" w:cs="Arial"/>
      <w:sz w:val="20"/>
      <w:szCs w:val="20"/>
    </w:rPr>
  </w:style>
  <w:style w:type="paragraph" w:customStyle="1" w:styleId="listparagraphcxspmiddle">
    <w:name w:val="listparagraphcxspmiddle"/>
    <w:basedOn w:val="Normal"/>
    <w:rsid w:val="0045493E"/>
    <w:pPr>
      <w:spacing w:before="100" w:beforeAutospacing="1" w:after="100" w:afterAutospacing="1"/>
    </w:pPr>
  </w:style>
  <w:style w:type="paragraph" w:customStyle="1" w:styleId="listparagraphcxsplast">
    <w:name w:val="listparagraphcxsplast"/>
    <w:basedOn w:val="Normal"/>
    <w:rsid w:val="0045493E"/>
    <w:pPr>
      <w:spacing w:before="100" w:beforeAutospacing="1" w:after="100" w:afterAutospacing="1"/>
    </w:pPr>
  </w:style>
  <w:style w:type="paragraph" w:customStyle="1" w:styleId="CharCharCharCharChar1">
    <w:name w:val="Знак Char Char Знак Char Char Char"/>
    <w:aliases w:val=" Знак Char Char Знак Char Char1 Знак, Знак Char Char Знак Char Char Char"/>
    <w:basedOn w:val="Normal"/>
    <w:next w:val="Normal"/>
    <w:semiHidden/>
    <w:rsid w:val="0045493E"/>
    <w:pPr>
      <w:spacing w:line="240" w:lineRule="exact"/>
    </w:pPr>
    <w:rPr>
      <w:rFonts w:ascii="Arial" w:hAnsi="Arial" w:cs="Arial"/>
      <w:b/>
      <w:sz w:val="20"/>
      <w:szCs w:val="20"/>
      <w:lang w:val="en-GB"/>
    </w:rPr>
  </w:style>
  <w:style w:type="character" w:customStyle="1" w:styleId="BodyTextFirstIndentChar1">
    <w:name w:val="Body Text First Indent Char1"/>
    <w:rsid w:val="0045493E"/>
    <w:rPr>
      <w:rFonts w:ascii="Times Armenian" w:hAnsi="Times Armenian"/>
      <w:sz w:val="24"/>
      <w:szCs w:val="24"/>
      <w:lang w:val="ru-RU" w:eastAsia="ru-RU" w:bidi="ar-SA"/>
    </w:rPr>
  </w:style>
  <w:style w:type="character" w:customStyle="1" w:styleId="CommentSubjectChar1">
    <w:name w:val="Comment Subject Char1"/>
    <w:rsid w:val="0045493E"/>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45493E"/>
    <w:pPr>
      <w:spacing w:line="240" w:lineRule="exact"/>
    </w:pPr>
    <w:rPr>
      <w:rFonts w:ascii="Verdana" w:eastAsia="MS Mincho" w:hAnsi="Verdana"/>
      <w:sz w:val="20"/>
      <w:szCs w:val="20"/>
      <w:lang w:val="en-GB"/>
    </w:rPr>
  </w:style>
  <w:style w:type="character" w:customStyle="1" w:styleId="apple-converted-space">
    <w:name w:val="apple-converted-space"/>
    <w:rsid w:val="0045493E"/>
  </w:style>
  <w:style w:type="paragraph" w:customStyle="1" w:styleId="ListParagraph1">
    <w:name w:val="List Paragraph1"/>
    <w:aliases w:val="OBC Bullet,Normal numbered,List Paragraph12"/>
    <w:basedOn w:val="Normal"/>
    <w:uiPriority w:val="34"/>
    <w:qFormat/>
    <w:rsid w:val="0045493E"/>
    <w:pPr>
      <w:ind w:left="720" w:right="201" w:firstLine="900"/>
      <w:contextualSpacing/>
    </w:pPr>
    <w:rPr>
      <w:rFonts w:ascii="Times Armenian" w:hAnsi="Times Armenian"/>
      <w:sz w:val="28"/>
      <w:szCs w:val="28"/>
      <w:lang w:val="hy-AM" w:eastAsia="ru-RU"/>
    </w:rPr>
  </w:style>
  <w:style w:type="character" w:customStyle="1" w:styleId="ListParagraphChar">
    <w:name w:val="List Paragraph Char"/>
    <w:aliases w:val="Akapit z listą BS Char,List Paragraph 1 Char,List_Paragraph Char,Multilevel para_II Char,List Paragraph1 Char,Bullet1 Char,Bullets Char,References Char,List Paragraph (numbered (a)) Char,IBL List Paragraph Char,OBC Bullet Char,Ha Cha"/>
    <w:link w:val="ListParagraph3"/>
    <w:uiPriority w:val="34"/>
    <w:rsid w:val="0045493E"/>
    <w:rPr>
      <w:sz w:val="24"/>
      <w:szCs w:val="24"/>
      <w:lang w:val="en-US" w:eastAsia="en-US" w:bidi="ar-SA"/>
    </w:rPr>
  </w:style>
  <w:style w:type="character" w:customStyle="1" w:styleId="textexposedshow">
    <w:name w:val="text_exposed_show"/>
    <w:rsid w:val="0045493E"/>
    <w:rPr>
      <w:rFonts w:cs="Times New Roman"/>
    </w:rPr>
  </w:style>
  <w:style w:type="paragraph" w:customStyle="1" w:styleId="formtext">
    <w:name w:val="formtext"/>
    <w:basedOn w:val="Normal"/>
    <w:rsid w:val="0045493E"/>
    <w:pPr>
      <w:spacing w:before="120" w:after="120" w:line="240" w:lineRule="exact"/>
    </w:pPr>
    <w:rPr>
      <w:rFonts w:ascii="Arial" w:eastAsia="SimSun" w:hAnsi="Arial"/>
      <w:lang w:eastAsia="fr-FR"/>
    </w:rPr>
  </w:style>
  <w:style w:type="paragraph" w:customStyle="1" w:styleId="italic">
    <w:name w:val="italic"/>
    <w:basedOn w:val="Normal"/>
    <w:rsid w:val="0045493E"/>
    <w:pPr>
      <w:spacing w:before="100" w:beforeAutospacing="1" w:after="100" w:afterAutospacing="1"/>
    </w:pPr>
    <w:rPr>
      <w:rFonts w:cs="Calibri"/>
    </w:rPr>
  </w:style>
  <w:style w:type="paragraph" w:customStyle="1" w:styleId="ecxmsonormal">
    <w:name w:val="ecxmsonormal"/>
    <w:basedOn w:val="Normal"/>
    <w:rsid w:val="0045493E"/>
    <w:pPr>
      <w:spacing w:before="100" w:beforeAutospacing="1" w:after="100" w:afterAutospacing="1"/>
    </w:pPr>
    <w:rPr>
      <w:rFonts w:cs="Calibri"/>
    </w:rPr>
  </w:style>
  <w:style w:type="paragraph" w:customStyle="1" w:styleId="CharCharChar2">
    <w:name w:val="Char Char Char Знак Знак Знак Знак Знак"/>
    <w:basedOn w:val="Normal"/>
    <w:rsid w:val="0045493E"/>
    <w:pPr>
      <w:spacing w:line="240" w:lineRule="exact"/>
    </w:pPr>
    <w:rPr>
      <w:rFonts w:ascii="Arial" w:hAnsi="Arial" w:cs="Arial"/>
      <w:color w:val="000000"/>
      <w:sz w:val="20"/>
      <w:szCs w:val="20"/>
      <w:lang w:val="en-GB"/>
    </w:rPr>
  </w:style>
  <w:style w:type="character" w:customStyle="1" w:styleId="title1">
    <w:name w:val="title1"/>
    <w:rsid w:val="0045493E"/>
    <w:rPr>
      <w:rFonts w:ascii="Verdana" w:hAnsi="Verdana"/>
      <w:b/>
      <w:color w:val="000000"/>
      <w:sz w:val="12"/>
      <w:u w:val="none"/>
    </w:rPr>
  </w:style>
  <w:style w:type="character" w:customStyle="1" w:styleId="hps">
    <w:name w:val="hps"/>
    <w:rsid w:val="0045493E"/>
    <w:rPr>
      <w:rFonts w:cs="Times New Roman"/>
    </w:rPr>
  </w:style>
  <w:style w:type="character" w:customStyle="1" w:styleId="st">
    <w:name w:val="st"/>
    <w:rsid w:val="0045493E"/>
    <w:rPr>
      <w:rFonts w:cs="Times New Roman"/>
    </w:rPr>
  </w:style>
  <w:style w:type="paragraph" w:customStyle="1" w:styleId="bodytext0">
    <w:name w:val="bodytext"/>
    <w:basedOn w:val="Normal"/>
    <w:rsid w:val="0045493E"/>
    <w:pPr>
      <w:spacing w:before="100" w:beforeAutospacing="1" w:after="100" w:afterAutospacing="1"/>
    </w:pPr>
    <w:rPr>
      <w:rFonts w:cs="Calibri"/>
    </w:rPr>
  </w:style>
  <w:style w:type="character" w:customStyle="1" w:styleId="CharChar4">
    <w:name w:val="Char Char4"/>
    <w:rsid w:val="0045493E"/>
    <w:rPr>
      <w:rFonts w:ascii="Cambria" w:hAnsi="Cambria" w:cs="Cambria"/>
      <w:b/>
      <w:bCs/>
      <w:sz w:val="26"/>
      <w:szCs w:val="26"/>
    </w:rPr>
  </w:style>
  <w:style w:type="character" w:customStyle="1" w:styleId="CharChar2">
    <w:name w:val="Char Char2"/>
    <w:rsid w:val="0045493E"/>
    <w:rPr>
      <w:rFonts w:ascii="Calibri" w:hAnsi="Calibri" w:cs="Calibri"/>
      <w:sz w:val="22"/>
      <w:szCs w:val="22"/>
      <w:lang w:val="en-US" w:eastAsia="en-US"/>
    </w:rPr>
  </w:style>
  <w:style w:type="character" w:customStyle="1" w:styleId="CharChar1">
    <w:name w:val="Char Char1"/>
    <w:rsid w:val="0045493E"/>
    <w:rPr>
      <w:rFonts w:ascii="Calibri" w:hAnsi="Calibri" w:cs="Calibri"/>
      <w:sz w:val="22"/>
      <w:szCs w:val="22"/>
      <w:lang w:val="en-US" w:eastAsia="en-US"/>
    </w:rPr>
  </w:style>
  <w:style w:type="paragraph" w:customStyle="1" w:styleId="num02">
    <w:name w:val="Énum02"/>
    <w:basedOn w:val="Normal"/>
    <w:rsid w:val="0045493E"/>
    <w:pPr>
      <w:numPr>
        <w:numId w:val="10"/>
      </w:numPr>
      <w:spacing w:after="120" w:line="260" w:lineRule="exact"/>
    </w:pPr>
    <w:rPr>
      <w:rFonts w:ascii="Arial" w:hAnsi="Arial" w:cs="Arial"/>
      <w:lang w:eastAsia="fr-FR"/>
    </w:rPr>
  </w:style>
  <w:style w:type="character" w:customStyle="1" w:styleId="arg">
    <w:name w:val="arg"/>
    <w:rsid w:val="0045493E"/>
    <w:rPr>
      <w:rFonts w:cs="Times New Roman"/>
    </w:rPr>
  </w:style>
  <w:style w:type="character" w:customStyle="1" w:styleId="fulltext">
    <w:name w:val="fulltext"/>
    <w:rsid w:val="0045493E"/>
    <w:rPr>
      <w:rFonts w:cs="Times New Roman"/>
    </w:rPr>
  </w:style>
  <w:style w:type="paragraph" w:customStyle="1" w:styleId="innewsdate">
    <w:name w:val="in_news_date"/>
    <w:basedOn w:val="Normal"/>
    <w:rsid w:val="0045493E"/>
    <w:pPr>
      <w:spacing w:before="100" w:beforeAutospacing="1" w:after="100" w:afterAutospacing="1"/>
    </w:pPr>
  </w:style>
  <w:style w:type="character" w:customStyle="1" w:styleId="gr">
    <w:name w:val="gr"/>
    <w:rsid w:val="0045493E"/>
    <w:rPr>
      <w:rFonts w:cs="Times New Roman"/>
    </w:rPr>
  </w:style>
  <w:style w:type="character" w:customStyle="1" w:styleId="opennewstext">
    <w:name w:val="opennewstext"/>
    <w:rsid w:val="0045493E"/>
    <w:rPr>
      <w:rFonts w:cs="Times New Roman"/>
    </w:rPr>
  </w:style>
  <w:style w:type="paragraph" w:customStyle="1" w:styleId="CharCharCharCharCharCharCharCharCharCharCharCharCharCharChar1">
    <w:name w:val="Char Char Char Char Знак Char Знак Char Char Char Char Char Char Char Char Char Char1"/>
    <w:basedOn w:val="Normal"/>
    <w:rsid w:val="0045493E"/>
    <w:pPr>
      <w:tabs>
        <w:tab w:val="left" w:pos="709"/>
      </w:tabs>
    </w:pPr>
    <w:rPr>
      <w:rFonts w:ascii="Tahoma" w:hAnsi="Tahoma" w:cs="Tahoma"/>
      <w:lang w:val="pl-PL" w:eastAsia="pl-PL"/>
    </w:rPr>
  </w:style>
  <w:style w:type="character" w:customStyle="1" w:styleId="fulltext0">
    <w:name w:val="full_text"/>
    <w:rsid w:val="0045493E"/>
    <w:rPr>
      <w:rFonts w:cs="Times New Roman"/>
    </w:rPr>
  </w:style>
  <w:style w:type="character" w:customStyle="1" w:styleId="wrc116">
    <w:name w:val="wrc116"/>
    <w:rsid w:val="0045493E"/>
    <w:rPr>
      <w:rFonts w:cs="Times New Roman"/>
      <w:vanish/>
    </w:rPr>
  </w:style>
  <w:style w:type="character" w:customStyle="1" w:styleId="editsection">
    <w:name w:val="editsection"/>
    <w:rsid w:val="0045493E"/>
    <w:rPr>
      <w:rFonts w:cs="Times New Roman"/>
    </w:rPr>
  </w:style>
  <w:style w:type="character" w:customStyle="1" w:styleId="mw-headline">
    <w:name w:val="mw-headline"/>
    <w:rsid w:val="0045493E"/>
    <w:rPr>
      <w:rFonts w:cs="Times New Roman"/>
    </w:rPr>
  </w:style>
  <w:style w:type="character" w:customStyle="1" w:styleId="il">
    <w:name w:val="il"/>
    <w:basedOn w:val="DefaultParagraphFont"/>
    <w:rsid w:val="0045493E"/>
  </w:style>
  <w:style w:type="character" w:customStyle="1" w:styleId="Heading5Char">
    <w:name w:val="Heading 5 Char"/>
    <w:aliases w:val="Side Char"/>
    <w:basedOn w:val="DefaultParagraphFont"/>
    <w:link w:val="Heading5"/>
    <w:locked/>
    <w:rsid w:val="0045493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locked/>
    <w:rsid w:val="0045493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locked/>
    <w:rsid w:val="0045493E"/>
    <w:rPr>
      <w:rFonts w:asciiTheme="majorHAnsi" w:eastAsiaTheme="majorEastAsia" w:hAnsiTheme="majorHAnsi" w:cstheme="majorBidi"/>
      <w:i/>
      <w:iCs/>
    </w:rPr>
  </w:style>
  <w:style w:type="character" w:customStyle="1" w:styleId="Heading8Char">
    <w:name w:val="Heading 8 Char"/>
    <w:basedOn w:val="DefaultParagraphFont"/>
    <w:link w:val="Heading8"/>
    <w:locked/>
    <w:rsid w:val="0045493E"/>
    <w:rPr>
      <w:rFonts w:asciiTheme="majorHAnsi" w:eastAsiaTheme="majorEastAsia" w:hAnsiTheme="majorHAnsi" w:cstheme="majorBidi"/>
      <w:sz w:val="20"/>
      <w:szCs w:val="20"/>
    </w:rPr>
  </w:style>
  <w:style w:type="character" w:customStyle="1" w:styleId="Heading9Char">
    <w:name w:val="Heading 9 Char"/>
    <w:basedOn w:val="DefaultParagraphFont"/>
    <w:link w:val="Heading9"/>
    <w:locked/>
    <w:rsid w:val="0045493E"/>
    <w:rPr>
      <w:rFonts w:asciiTheme="majorHAnsi" w:eastAsiaTheme="majorEastAsia" w:hAnsiTheme="majorHAnsi" w:cstheme="majorBidi"/>
      <w:i/>
      <w:iCs/>
      <w:spacing w:val="5"/>
      <w:sz w:val="20"/>
      <w:szCs w:val="20"/>
    </w:rPr>
  </w:style>
  <w:style w:type="character" w:customStyle="1" w:styleId="BodyText2Char">
    <w:name w:val="Body Text 2 Char"/>
    <w:aliases w:val="1Text Char"/>
    <w:uiPriority w:val="99"/>
    <w:locked/>
    <w:rsid w:val="0045493E"/>
    <w:rPr>
      <w:rFonts w:ascii="Times Armenian" w:hAnsi="Times Armenian" w:cs="Times New Roman"/>
      <w:b/>
      <w:sz w:val="24"/>
      <w:lang w:val="fr-FR"/>
    </w:rPr>
  </w:style>
  <w:style w:type="character" w:customStyle="1" w:styleId="BodyTextIndent2Char">
    <w:name w:val="Body Text Indent 2 Char"/>
    <w:locked/>
    <w:rsid w:val="0045493E"/>
    <w:rPr>
      <w:rFonts w:ascii="Times LatArm" w:hAnsi="Times LatArm" w:cs="Times New Roman"/>
      <w:sz w:val="22"/>
      <w:lang w:val="fr-FR"/>
    </w:rPr>
  </w:style>
  <w:style w:type="character" w:customStyle="1" w:styleId="HeaderChar">
    <w:name w:val="Header Char"/>
    <w:aliases w:val="Header Char Char Char Char Char Char Char Char Char Char Char1,Header Char Char Char Char Char Char Char Char Char Char Char Char Char1,h Char1"/>
    <w:uiPriority w:val="99"/>
    <w:locked/>
    <w:rsid w:val="0045493E"/>
    <w:rPr>
      <w:rFonts w:cs="Times New Roman"/>
      <w:sz w:val="22"/>
      <w:lang w:val="en-GB"/>
    </w:rPr>
  </w:style>
  <w:style w:type="character" w:customStyle="1" w:styleId="TitleChar">
    <w:name w:val="Title Char"/>
    <w:basedOn w:val="DefaultParagraphFont"/>
    <w:link w:val="Title"/>
    <w:locked/>
    <w:rsid w:val="0045493E"/>
    <w:rPr>
      <w:rFonts w:asciiTheme="majorHAnsi" w:eastAsiaTheme="majorEastAsia" w:hAnsiTheme="majorHAnsi" w:cstheme="majorBidi"/>
      <w:spacing w:val="5"/>
      <w:sz w:val="52"/>
      <w:szCs w:val="52"/>
    </w:rPr>
  </w:style>
  <w:style w:type="character" w:customStyle="1" w:styleId="BodyText3Char">
    <w:name w:val="Body Text 3 Char"/>
    <w:uiPriority w:val="99"/>
    <w:locked/>
    <w:rsid w:val="0045493E"/>
    <w:rPr>
      <w:rFonts w:ascii="Times Armenian" w:hAnsi="Times Armenian" w:cs="Times New Roman"/>
      <w:sz w:val="24"/>
      <w:lang w:val="it-IT"/>
    </w:rPr>
  </w:style>
  <w:style w:type="paragraph" w:customStyle="1" w:styleId="Listenabsatz">
    <w:name w:val="Listenabsatz"/>
    <w:basedOn w:val="Normal"/>
    <w:rsid w:val="0045493E"/>
    <w:pPr>
      <w:ind w:left="720"/>
      <w:contextualSpacing/>
    </w:pPr>
    <w:rPr>
      <w:rFonts w:ascii="Cambria" w:hAnsi="Cambria"/>
      <w:lang w:val="de-DE"/>
    </w:rPr>
  </w:style>
  <w:style w:type="paragraph" w:customStyle="1" w:styleId="Style40">
    <w:name w:val="Style4"/>
    <w:basedOn w:val="TOC3"/>
    <w:rsid w:val="0045493E"/>
    <w:rPr>
      <w:bCs/>
      <w:color w:val="000000"/>
      <w:lang w:val="es-ES"/>
    </w:rPr>
  </w:style>
  <w:style w:type="paragraph" w:customStyle="1" w:styleId="Style5">
    <w:name w:val="Style5"/>
    <w:basedOn w:val="TOC3"/>
    <w:rsid w:val="0045493E"/>
    <w:rPr>
      <w:rFonts w:cs="Sylfaen"/>
    </w:rPr>
  </w:style>
  <w:style w:type="paragraph" w:customStyle="1" w:styleId="Style7">
    <w:name w:val="Style7"/>
    <w:basedOn w:val="TOC3"/>
    <w:rsid w:val="0045493E"/>
    <w:rPr>
      <w:rFonts w:cs="Sylfaen"/>
    </w:rPr>
  </w:style>
  <w:style w:type="paragraph" w:customStyle="1" w:styleId="Style8">
    <w:name w:val="Style8"/>
    <w:basedOn w:val="TOC1"/>
    <w:rsid w:val="0045493E"/>
    <w:rPr>
      <w:i w:val="0"/>
    </w:rPr>
  </w:style>
  <w:style w:type="paragraph" w:customStyle="1" w:styleId="Style9">
    <w:name w:val="Style9"/>
    <w:basedOn w:val="TOC1"/>
    <w:rsid w:val="0045493E"/>
  </w:style>
  <w:style w:type="character" w:customStyle="1" w:styleId="CharChar14">
    <w:name w:val="Char Char14"/>
    <w:rsid w:val="0045493E"/>
    <w:rPr>
      <w:sz w:val="36"/>
      <w:lang w:val="en-GB"/>
    </w:rPr>
  </w:style>
  <w:style w:type="character" w:customStyle="1" w:styleId="CharChar5">
    <w:name w:val="Char Char5"/>
    <w:rsid w:val="0045493E"/>
    <w:rPr>
      <w:rFonts w:ascii="Arial Armenian" w:hAnsi="Arial Armenian" w:cs="Sylfaen"/>
      <w:sz w:val="24"/>
      <w:szCs w:val="24"/>
      <w:lang w:val="ru-RU" w:eastAsia="ru-RU"/>
    </w:rPr>
  </w:style>
  <w:style w:type="character" w:customStyle="1" w:styleId="CharChar16">
    <w:name w:val="Char Char16"/>
    <w:rsid w:val="0045493E"/>
    <w:rPr>
      <w:rFonts w:ascii="Times New Roman" w:hAnsi="Times New Roman"/>
      <w:b/>
      <w:sz w:val="32"/>
      <w:lang w:val="en-GB"/>
    </w:rPr>
  </w:style>
  <w:style w:type="character" w:customStyle="1" w:styleId="CharChar17">
    <w:name w:val="Char Char17"/>
    <w:rsid w:val="0045493E"/>
    <w:rPr>
      <w:rFonts w:ascii="Arial Armenian" w:hAnsi="Arial Armenian"/>
      <w:i/>
      <w:sz w:val="22"/>
      <w:u w:val="single"/>
      <w:lang w:val="en-GB" w:eastAsia="en-US" w:bidi="ar-SA"/>
    </w:rPr>
  </w:style>
  <w:style w:type="paragraph" w:customStyle="1" w:styleId="text">
    <w:name w:val="text"/>
    <w:basedOn w:val="Normal"/>
    <w:link w:val="textChar"/>
    <w:rsid w:val="0045493E"/>
    <w:pPr>
      <w:ind w:firstLine="454"/>
    </w:pPr>
    <w:rPr>
      <w:rFonts w:ascii="GHEA Mariam" w:hAnsi="GHEA Mariam"/>
      <w:sz w:val="20"/>
      <w:szCs w:val="20"/>
      <w:lang w:val="en-GB" w:eastAsia="ru-RU"/>
    </w:rPr>
  </w:style>
  <w:style w:type="character" w:customStyle="1" w:styleId="textChar">
    <w:name w:val="text Char"/>
    <w:link w:val="text"/>
    <w:rsid w:val="0045493E"/>
    <w:rPr>
      <w:rFonts w:ascii="GHEA Mariam" w:hAnsi="GHEA Mariam" w:cs="GHEA Mariam"/>
      <w:lang w:val="en-GB" w:eastAsia="ru-RU"/>
    </w:rPr>
  </w:style>
  <w:style w:type="paragraph" w:customStyle="1" w:styleId="Char40">
    <w:name w:val="Char4"/>
    <w:basedOn w:val="Normal"/>
    <w:rsid w:val="0045493E"/>
    <w:pPr>
      <w:spacing w:line="240" w:lineRule="exact"/>
    </w:pPr>
    <w:rPr>
      <w:rFonts w:ascii="Arial" w:eastAsia="Calibri" w:hAnsi="Arial" w:cs="Arial"/>
      <w:sz w:val="20"/>
      <w:szCs w:val="20"/>
    </w:rPr>
  </w:style>
  <w:style w:type="paragraph" w:customStyle="1" w:styleId="p2">
    <w:name w:val="p2"/>
    <w:basedOn w:val="Normal"/>
    <w:rsid w:val="0045493E"/>
    <w:pPr>
      <w:spacing w:before="100" w:beforeAutospacing="1" w:after="100" w:afterAutospacing="1"/>
    </w:pPr>
    <w:rPr>
      <w:rFonts w:eastAsia="Calibri"/>
    </w:rPr>
  </w:style>
  <w:style w:type="paragraph" w:customStyle="1" w:styleId="Char32">
    <w:name w:val="Char3"/>
    <w:basedOn w:val="Normal"/>
    <w:rsid w:val="0045493E"/>
    <w:pPr>
      <w:spacing w:line="240" w:lineRule="exact"/>
    </w:pPr>
    <w:rPr>
      <w:rFonts w:ascii="Arial" w:eastAsia="Calibri" w:hAnsi="Arial" w:cs="Arial"/>
      <w:sz w:val="20"/>
      <w:szCs w:val="20"/>
    </w:rPr>
  </w:style>
  <w:style w:type="paragraph" w:customStyle="1" w:styleId="Char20">
    <w:name w:val="Char2"/>
    <w:basedOn w:val="Normal"/>
    <w:rsid w:val="0045493E"/>
    <w:pPr>
      <w:spacing w:line="240" w:lineRule="exact"/>
    </w:pPr>
    <w:rPr>
      <w:rFonts w:ascii="Arial" w:eastAsia="Calibri" w:hAnsi="Arial" w:cs="Arial"/>
      <w:sz w:val="20"/>
      <w:szCs w:val="20"/>
    </w:rPr>
  </w:style>
  <w:style w:type="paragraph" w:customStyle="1" w:styleId="Char10">
    <w:name w:val="Char1"/>
    <w:basedOn w:val="Normal"/>
    <w:uiPriority w:val="99"/>
    <w:rsid w:val="0045493E"/>
    <w:pPr>
      <w:spacing w:line="240" w:lineRule="exact"/>
    </w:pPr>
    <w:rPr>
      <w:rFonts w:ascii="Arial" w:eastAsia="Calibri" w:hAnsi="Arial" w:cs="Arial"/>
      <w:sz w:val="20"/>
      <w:szCs w:val="20"/>
    </w:rPr>
  </w:style>
  <w:style w:type="character" w:customStyle="1" w:styleId="32ptExact">
    <w:name w:val="Основной текст (3) + Интервал 2 pt Exact"/>
    <w:rsid w:val="0045493E"/>
    <w:rPr>
      <w:rFonts w:ascii="Sylfaen" w:hAnsi="Sylfaen" w:cs="Sylfaen"/>
      <w:spacing w:val="40"/>
      <w:sz w:val="20"/>
      <w:szCs w:val="20"/>
      <w:u w:val="none"/>
      <w:lang w:val="ru-RU" w:eastAsia="ru-RU"/>
    </w:rPr>
  </w:style>
  <w:style w:type="paragraph" w:customStyle="1" w:styleId="CharCharCharCharChar2">
    <w:name w:val="Char Char Char Знак Знак Char Char Знак Знак"/>
    <w:basedOn w:val="Normal"/>
    <w:rsid w:val="0045493E"/>
    <w:pPr>
      <w:spacing w:line="240" w:lineRule="exact"/>
    </w:pPr>
    <w:rPr>
      <w:rFonts w:ascii="Arial" w:hAnsi="Arial" w:cs="Arial"/>
      <w:sz w:val="20"/>
      <w:szCs w:val="20"/>
    </w:rPr>
  </w:style>
  <w:style w:type="paragraph" w:customStyle="1" w:styleId="CharCharCharCharCharChar0">
    <w:name w:val="Char Char Char Char Char Char"/>
    <w:basedOn w:val="Normal"/>
    <w:rsid w:val="0045493E"/>
    <w:pPr>
      <w:spacing w:line="240" w:lineRule="exact"/>
    </w:pPr>
    <w:rPr>
      <w:rFonts w:ascii="Arial" w:hAnsi="Arial" w:cs="Arial"/>
      <w:sz w:val="20"/>
      <w:szCs w:val="20"/>
    </w:rPr>
  </w:style>
  <w:style w:type="paragraph" w:customStyle="1" w:styleId="CharChar113">
    <w:name w:val="Char Char113"/>
    <w:basedOn w:val="Normal"/>
    <w:rsid w:val="0045493E"/>
    <w:pPr>
      <w:spacing w:line="240" w:lineRule="exact"/>
    </w:pPr>
    <w:rPr>
      <w:rFonts w:ascii="Arial" w:hAnsi="Arial" w:cs="Arial"/>
      <w:sz w:val="20"/>
      <w:szCs w:val="20"/>
    </w:rPr>
  </w:style>
  <w:style w:type="character" w:customStyle="1" w:styleId="Heading1Char1">
    <w:name w:val="Heading 1 Char1"/>
    <w:aliases w:val="(Section) Char1,Section Heading Char1,(Text) Char1,1 Char1,Chapter Char1,head3 Char1"/>
    <w:uiPriority w:val="99"/>
    <w:locked/>
    <w:rsid w:val="0045493E"/>
    <w:rPr>
      <w:rFonts w:ascii="Arial" w:hAnsi="Arial"/>
      <w:b/>
      <w:kern w:val="32"/>
      <w:sz w:val="32"/>
    </w:rPr>
  </w:style>
  <w:style w:type="character" w:customStyle="1" w:styleId="BodyTextIndent3Char1">
    <w:name w:val="Body Text Indent 3 Char1"/>
    <w:uiPriority w:val="99"/>
    <w:locked/>
    <w:rsid w:val="0045493E"/>
    <w:rPr>
      <w:rFonts w:ascii="Times New Roman" w:hAnsi="Times New Roman"/>
      <w:sz w:val="16"/>
    </w:rPr>
  </w:style>
  <w:style w:type="character" w:customStyle="1" w:styleId="PlainTextChar1">
    <w:name w:val="Plain Text Char1"/>
    <w:uiPriority w:val="99"/>
    <w:locked/>
    <w:rsid w:val="0045493E"/>
    <w:rPr>
      <w:rFonts w:ascii="Courier New" w:hAnsi="Courier New"/>
      <w:sz w:val="20"/>
    </w:rPr>
  </w:style>
  <w:style w:type="character" w:customStyle="1" w:styleId="CommentTextChar1">
    <w:name w:val="Comment Text Char1"/>
    <w:uiPriority w:val="99"/>
    <w:locked/>
    <w:rsid w:val="0045493E"/>
    <w:rPr>
      <w:rFonts w:ascii="Times New Roman" w:hAnsi="Times New Roman"/>
      <w:sz w:val="20"/>
      <w:lang w:val="en-GB"/>
    </w:rPr>
  </w:style>
  <w:style w:type="character" w:customStyle="1" w:styleId="SubtitleChar1">
    <w:name w:val="Subtitle Char1"/>
    <w:uiPriority w:val="99"/>
    <w:locked/>
    <w:rsid w:val="0045493E"/>
    <w:rPr>
      <w:rFonts w:ascii="Times LatArm" w:hAnsi="Times LatArm"/>
      <w:b/>
      <w:sz w:val="24"/>
    </w:rPr>
  </w:style>
  <w:style w:type="character" w:customStyle="1" w:styleId="BalloonTextChar1">
    <w:name w:val="Balloon Text Char1"/>
    <w:uiPriority w:val="99"/>
    <w:locked/>
    <w:rsid w:val="0045493E"/>
    <w:rPr>
      <w:rFonts w:ascii="Tahoma" w:hAnsi="Tahoma"/>
      <w:sz w:val="16"/>
    </w:rPr>
  </w:style>
  <w:style w:type="character" w:customStyle="1" w:styleId="CharChar163">
    <w:name w:val="Char Char163"/>
    <w:uiPriority w:val="99"/>
    <w:rsid w:val="0045493E"/>
    <w:rPr>
      <w:rFonts w:ascii="Times New Roman" w:hAnsi="Times New Roman"/>
      <w:b/>
      <w:sz w:val="20"/>
      <w:lang w:val="en-GB"/>
    </w:rPr>
  </w:style>
  <w:style w:type="character" w:customStyle="1" w:styleId="CharChar142">
    <w:name w:val="Char Char142"/>
    <w:uiPriority w:val="99"/>
    <w:rsid w:val="0045493E"/>
    <w:rPr>
      <w:rFonts w:ascii="Times New Roman" w:hAnsi="Times New Roman"/>
      <w:sz w:val="20"/>
      <w:lang w:val="en-GB"/>
    </w:rPr>
  </w:style>
  <w:style w:type="character" w:customStyle="1" w:styleId="CharChar53">
    <w:name w:val="Char Char53"/>
    <w:uiPriority w:val="99"/>
    <w:rsid w:val="0045493E"/>
    <w:rPr>
      <w:rFonts w:ascii="Times New Roman" w:hAnsi="Times New Roman"/>
      <w:sz w:val="20"/>
      <w:lang w:val="en-GB"/>
    </w:rPr>
  </w:style>
  <w:style w:type="character" w:customStyle="1" w:styleId="EndnoteTextChar1">
    <w:name w:val="Endnote Text Char1"/>
    <w:uiPriority w:val="99"/>
    <w:semiHidden/>
    <w:locked/>
    <w:rsid w:val="0045493E"/>
    <w:rPr>
      <w:rFonts w:ascii="Times New Roman" w:hAnsi="Times New Roman"/>
      <w:sz w:val="20"/>
      <w:lang w:val="en-GB"/>
    </w:rPr>
  </w:style>
  <w:style w:type="character" w:customStyle="1" w:styleId="estilo2">
    <w:name w:val="estilo2"/>
    <w:uiPriority w:val="99"/>
    <w:rsid w:val="0045493E"/>
  </w:style>
  <w:style w:type="character" w:customStyle="1" w:styleId="CharChar3">
    <w:name w:val="Char Char3"/>
    <w:uiPriority w:val="99"/>
    <w:locked/>
    <w:rsid w:val="0045493E"/>
    <w:rPr>
      <w:rFonts w:cs="Times New Roman"/>
      <w:sz w:val="22"/>
      <w:lang w:val="en-GB" w:eastAsia="en-US" w:bidi="ar-SA"/>
    </w:rPr>
  </w:style>
  <w:style w:type="character" w:customStyle="1" w:styleId="CharChar11">
    <w:name w:val="Char Char11"/>
    <w:uiPriority w:val="99"/>
    <w:locked/>
    <w:rsid w:val="0045493E"/>
    <w:rPr>
      <w:rFonts w:ascii="Times Armenian" w:hAnsi="Times Armenian" w:cs="Times New Roman"/>
      <w:b/>
      <w:bCs/>
      <w:sz w:val="24"/>
      <w:szCs w:val="24"/>
      <w:lang w:val="en-US" w:eastAsia="en-US" w:bidi="ar-SA"/>
    </w:rPr>
  </w:style>
  <w:style w:type="character" w:customStyle="1" w:styleId="CharChar51">
    <w:name w:val="Char Char51"/>
    <w:uiPriority w:val="99"/>
    <w:locked/>
    <w:rsid w:val="0045493E"/>
    <w:rPr>
      <w:sz w:val="22"/>
      <w:lang w:val="en-GB" w:eastAsia="en-US"/>
    </w:rPr>
  </w:style>
  <w:style w:type="paragraph" w:customStyle="1" w:styleId="Numberedtext">
    <w:name w:val="Numbered text"/>
    <w:basedOn w:val="BodyText"/>
    <w:uiPriority w:val="99"/>
    <w:rsid w:val="0045493E"/>
    <w:pPr>
      <w:numPr>
        <w:numId w:val="11"/>
      </w:numPr>
      <w:tabs>
        <w:tab w:val="clear" w:pos="1004"/>
        <w:tab w:val="left" w:pos="360"/>
      </w:tabs>
      <w:ind w:left="0" w:firstLine="0"/>
    </w:pPr>
    <w:rPr>
      <w:rFonts w:cs="Calibri"/>
      <w:lang w:eastAsia="en-NZ"/>
    </w:rPr>
  </w:style>
  <w:style w:type="character" w:customStyle="1" w:styleId="DocumentMapChar">
    <w:name w:val="Document Map Char"/>
    <w:rsid w:val="0045493E"/>
    <w:rPr>
      <w:rFonts w:ascii="Times New Roman" w:eastAsia="Times New Roman" w:hAnsi="Times New Roman"/>
      <w:sz w:val="0"/>
      <w:szCs w:val="0"/>
    </w:rPr>
  </w:style>
  <w:style w:type="character" w:customStyle="1" w:styleId="DocumentMapChar1">
    <w:name w:val="Document Map Char1"/>
    <w:link w:val="DocumentMap"/>
    <w:uiPriority w:val="99"/>
    <w:locked/>
    <w:rsid w:val="0045493E"/>
    <w:rPr>
      <w:rFonts w:ascii="Tahoma" w:hAnsi="Tahoma"/>
      <w:sz w:val="24"/>
      <w:shd w:val="clear" w:color="auto" w:fill="000080"/>
      <w:lang w:val="en-GB" w:eastAsia="ru-RU"/>
    </w:rPr>
  </w:style>
  <w:style w:type="paragraph" w:customStyle="1" w:styleId="TOCHeading1">
    <w:name w:val="TOC Heading1"/>
    <w:basedOn w:val="Heading1"/>
    <w:next w:val="Normal"/>
    <w:uiPriority w:val="39"/>
    <w:unhideWhenUsed/>
    <w:qFormat/>
    <w:rsid w:val="0045493E"/>
    <w:pPr>
      <w:outlineLvl w:val="9"/>
    </w:pPr>
    <w:rPr>
      <w:lang w:bidi="en-US"/>
    </w:rPr>
  </w:style>
  <w:style w:type="character" w:customStyle="1" w:styleId="StyleGHEAGrapalatJustifiedBefore12ptChar">
    <w:name w:val="Style GHEA Grapalat Justified Before:  12 pt Char"/>
    <w:link w:val="StyleGHEAGrapalatJustifiedBefore12pt"/>
    <w:locked/>
    <w:rsid w:val="0045493E"/>
    <w:rPr>
      <w:rFonts w:ascii="GHEA Grapalat" w:hAnsi="GHEA Grapalat"/>
      <w:sz w:val="22"/>
      <w:lang w:val="ru-RU" w:eastAsia="ru-RU"/>
    </w:rPr>
  </w:style>
  <w:style w:type="paragraph" w:customStyle="1" w:styleId="StyleGHEAGrapalatJustifiedBefore12pt">
    <w:name w:val="Style GHEA Grapalat Justified Before:  12 pt"/>
    <w:basedOn w:val="Normal"/>
    <w:link w:val="StyleGHEAGrapalatJustifiedBefore12ptChar"/>
    <w:rsid w:val="0045493E"/>
    <w:pPr>
      <w:numPr>
        <w:numId w:val="12"/>
      </w:numPr>
      <w:spacing w:before="240" w:after="240"/>
    </w:pPr>
    <w:rPr>
      <w:szCs w:val="20"/>
      <w:lang w:val="ru-RU" w:eastAsia="ru-RU"/>
    </w:rPr>
  </w:style>
  <w:style w:type="character" w:customStyle="1" w:styleId="FontStyle32">
    <w:name w:val="Font Style32"/>
    <w:uiPriority w:val="99"/>
    <w:rsid w:val="0045493E"/>
    <w:rPr>
      <w:rFonts w:ascii="Tahoma" w:hAnsi="Tahoma" w:cs="Tahoma"/>
      <w:sz w:val="20"/>
      <w:szCs w:val="20"/>
    </w:rPr>
  </w:style>
  <w:style w:type="paragraph" w:customStyle="1" w:styleId="Text2">
    <w:name w:val="Text 2"/>
    <w:basedOn w:val="Normal"/>
    <w:rsid w:val="0045493E"/>
    <w:pPr>
      <w:spacing w:before="120" w:after="120"/>
      <w:ind w:left="850"/>
    </w:pPr>
    <w:rPr>
      <w:lang w:val="en-GB" w:eastAsia="zh-CN"/>
    </w:rPr>
  </w:style>
  <w:style w:type="character" w:customStyle="1" w:styleId="fnChar2">
    <w:name w:val="fn Char2"/>
    <w:aliases w:val="Footnote Text Char2,ADB Char3,f Cha"/>
    <w:locked/>
    <w:rsid w:val="0045493E"/>
    <w:rPr>
      <w:lang w:val="ru-RU" w:eastAsia="ru-RU"/>
    </w:rPr>
  </w:style>
  <w:style w:type="paragraph" w:customStyle="1" w:styleId="article-type">
    <w:name w:val="article-type"/>
    <w:basedOn w:val="Normal"/>
    <w:rsid w:val="0045493E"/>
    <w:pPr>
      <w:spacing w:before="100" w:beforeAutospacing="1" w:after="100" w:afterAutospacing="1"/>
    </w:pPr>
    <w:rPr>
      <w:lang w:val="ru-RU" w:eastAsia="ru-RU"/>
    </w:rPr>
  </w:style>
  <w:style w:type="paragraph" w:customStyle="1" w:styleId="wpn-byline">
    <w:name w:val="wpn-byline"/>
    <w:basedOn w:val="Normal"/>
    <w:rsid w:val="0045493E"/>
    <w:pPr>
      <w:spacing w:before="100" w:beforeAutospacing="1" w:after="100" w:afterAutospacing="1"/>
    </w:pPr>
    <w:rPr>
      <w:lang w:val="ru-RU" w:eastAsia="ru-RU"/>
    </w:rPr>
  </w:style>
  <w:style w:type="paragraph" w:customStyle="1" w:styleId="headline10margin-bottom-20">
    <w:name w:val="headline10 margin-bottom-20"/>
    <w:basedOn w:val="Normal"/>
    <w:rsid w:val="0045493E"/>
    <w:pPr>
      <w:spacing w:before="100" w:beforeAutospacing="1" w:after="100" w:afterAutospacing="1"/>
    </w:pPr>
    <w:rPr>
      <w:lang w:val="ru-RU" w:eastAsia="ru-RU"/>
    </w:rPr>
  </w:style>
  <w:style w:type="character" w:customStyle="1" w:styleId="published">
    <w:name w:val="published"/>
    <w:rsid w:val="0045493E"/>
  </w:style>
  <w:style w:type="character" w:customStyle="1" w:styleId="divider">
    <w:name w:val="divider"/>
    <w:rsid w:val="0045493E"/>
  </w:style>
  <w:style w:type="character" w:customStyle="1" w:styleId="authorvcard">
    <w:name w:val="author vcard"/>
    <w:rsid w:val="0045493E"/>
  </w:style>
  <w:style w:type="character" w:customStyle="1" w:styleId="category">
    <w:name w:val="category"/>
    <w:rsid w:val="0045493E"/>
  </w:style>
  <w:style w:type="character" w:customStyle="1" w:styleId="before">
    <w:name w:val="before"/>
    <w:rsid w:val="0045493E"/>
  </w:style>
  <w:style w:type="character" w:customStyle="1" w:styleId="aqj">
    <w:name w:val="aqj"/>
    <w:rsid w:val="0045493E"/>
  </w:style>
  <w:style w:type="character" w:customStyle="1" w:styleId="gd">
    <w:name w:val="gd"/>
    <w:rsid w:val="0045493E"/>
  </w:style>
  <w:style w:type="character" w:customStyle="1" w:styleId="g3">
    <w:name w:val="g3"/>
    <w:rsid w:val="0045493E"/>
  </w:style>
  <w:style w:type="character" w:customStyle="1" w:styleId="goa1h">
    <w:name w:val="go a1h"/>
    <w:rsid w:val="0045493E"/>
  </w:style>
  <w:style w:type="character" w:customStyle="1" w:styleId="hb">
    <w:name w:val="hb"/>
    <w:rsid w:val="0045493E"/>
  </w:style>
  <w:style w:type="character" w:customStyle="1" w:styleId="g2">
    <w:name w:val="g2"/>
    <w:rsid w:val="0045493E"/>
  </w:style>
  <w:style w:type="character" w:customStyle="1" w:styleId="sizzle">
    <w:name w:val="sizzle"/>
    <w:basedOn w:val="DefaultParagraphFont"/>
    <w:rsid w:val="0045493E"/>
  </w:style>
  <w:style w:type="paragraph" w:customStyle="1" w:styleId="110">
    <w:name w:val="Абзац списка11"/>
    <w:basedOn w:val="Normal"/>
    <w:qFormat/>
    <w:rsid w:val="0045493E"/>
    <w:pPr>
      <w:ind w:left="720"/>
    </w:pPr>
  </w:style>
  <w:style w:type="character" w:customStyle="1" w:styleId="CharChar112">
    <w:name w:val="Char Char112"/>
    <w:uiPriority w:val="99"/>
    <w:rsid w:val="0045493E"/>
    <w:rPr>
      <w:rFonts w:ascii="Arial Armenian" w:hAnsi="Arial Armenian"/>
      <w:lang w:val="ru-RU" w:eastAsia="ru-RU" w:bidi="ar-SA"/>
    </w:rPr>
  </w:style>
  <w:style w:type="paragraph" w:customStyle="1" w:styleId="ad">
    <w:name w:val="Знак"/>
    <w:basedOn w:val="Normal"/>
    <w:rsid w:val="0045493E"/>
    <w:pPr>
      <w:spacing w:line="240" w:lineRule="exact"/>
    </w:pPr>
    <w:rPr>
      <w:rFonts w:ascii="Arial" w:hAnsi="Arial" w:cs="Arial"/>
      <w:sz w:val="20"/>
      <w:szCs w:val="20"/>
      <w:lang w:val="en-GB"/>
    </w:rPr>
  </w:style>
  <w:style w:type="paragraph" w:customStyle="1" w:styleId="StyleGHEAGrapalatJustifiedAfter6ptLinespacingMultip">
    <w:name w:val="Style GHEA Grapalat Justified After:  6 pt Line spacing:  Multip..."/>
    <w:basedOn w:val="Normal"/>
    <w:rsid w:val="0045493E"/>
    <w:pPr>
      <w:numPr>
        <w:numId w:val="13"/>
      </w:numPr>
      <w:spacing w:before="240" w:after="240"/>
    </w:pPr>
    <w:rPr>
      <w:szCs w:val="20"/>
      <w:lang w:val="hy-AM" w:eastAsia="ru-RU"/>
    </w:rPr>
  </w:style>
  <w:style w:type="paragraph" w:customStyle="1" w:styleId="StyleStyleHeading2ChapterParanumTextSylfaenGHEAGrapa">
    <w:name w:val="Style Style Heading 2.(Chapter).Paranum.Text + Sylfaen + GHEA Grapa..."/>
    <w:basedOn w:val="StyleHeading2ChapterParanumTextSylfaen"/>
    <w:qFormat/>
    <w:rsid w:val="0045493E"/>
    <w:rPr>
      <w:rFonts w:ascii="GHEA Grapalat" w:hAnsi="GHEA Grapalat"/>
    </w:rPr>
  </w:style>
  <w:style w:type="paragraph" w:customStyle="1" w:styleId="18">
    <w:name w:val="Без интервала1"/>
    <w:link w:val="ae"/>
    <w:qFormat/>
    <w:rsid w:val="0045493E"/>
    <w:pPr>
      <w:spacing w:after="160" w:line="259" w:lineRule="auto"/>
    </w:pPr>
    <w:rPr>
      <w:sz w:val="22"/>
      <w:szCs w:val="22"/>
      <w:lang w:val="ru-RU" w:eastAsia="ru-RU"/>
    </w:rPr>
  </w:style>
  <w:style w:type="character" w:customStyle="1" w:styleId="ae">
    <w:name w:val="Без интервала Знак"/>
    <w:link w:val="18"/>
    <w:uiPriority w:val="1"/>
    <w:rsid w:val="0045493E"/>
    <w:rPr>
      <w:rFonts w:ascii="Calibri" w:hAnsi="Calibri"/>
      <w:sz w:val="22"/>
      <w:szCs w:val="22"/>
      <w:lang w:bidi="ar-SA"/>
    </w:rPr>
  </w:style>
  <w:style w:type="paragraph" w:customStyle="1" w:styleId="111">
    <w:name w:val="Обычный11"/>
    <w:rsid w:val="0045493E"/>
    <w:pPr>
      <w:autoSpaceDE w:val="0"/>
      <w:autoSpaceDN w:val="0"/>
      <w:spacing w:after="160" w:line="259" w:lineRule="auto"/>
    </w:pPr>
    <w:rPr>
      <w:sz w:val="22"/>
      <w:szCs w:val="22"/>
      <w:lang w:val="ru-RU" w:eastAsia="ru-RU"/>
    </w:rPr>
  </w:style>
  <w:style w:type="paragraph" w:customStyle="1" w:styleId="19">
    <w:name w:val="Рецензия1"/>
    <w:hidden/>
    <w:uiPriority w:val="99"/>
    <w:semiHidden/>
    <w:rsid w:val="0045493E"/>
    <w:pPr>
      <w:spacing w:after="160" w:line="259" w:lineRule="auto"/>
    </w:pPr>
    <w:rPr>
      <w:rFonts w:ascii="Arial Armenian" w:hAnsi="Arial Armenian" w:cs="Sylfaen"/>
      <w:sz w:val="24"/>
      <w:szCs w:val="24"/>
      <w:lang w:val="ru-RU" w:eastAsia="ru-RU"/>
    </w:rPr>
  </w:style>
  <w:style w:type="paragraph" w:customStyle="1" w:styleId="32">
    <w:name w:val="???????? ????? ? ???????? 3"/>
    <w:basedOn w:val="a5"/>
    <w:uiPriority w:val="99"/>
    <w:rsid w:val="0045493E"/>
    <w:pPr>
      <w:ind w:firstLine="360"/>
      <w:jc w:val="both"/>
    </w:pPr>
    <w:rPr>
      <w:rFonts w:ascii="Times Armenian" w:hAnsi="Times Armenian"/>
      <w:sz w:val="24"/>
      <w:lang w:val="af-ZA"/>
    </w:rPr>
  </w:style>
  <w:style w:type="paragraph" w:customStyle="1" w:styleId="60">
    <w:name w:val="????????? 6"/>
    <w:basedOn w:val="a5"/>
    <w:next w:val="a5"/>
    <w:uiPriority w:val="99"/>
    <w:rsid w:val="0045493E"/>
    <w:pPr>
      <w:keepNext/>
      <w:jc w:val="center"/>
      <w:outlineLvl w:val="5"/>
    </w:pPr>
    <w:rPr>
      <w:rFonts w:ascii="Times Armenian" w:hAnsi="Times Armenian"/>
      <w:i/>
      <w:lang w:val="en-US"/>
    </w:rPr>
  </w:style>
  <w:style w:type="paragraph" w:customStyle="1" w:styleId="310">
    <w:name w:val="???????? ????? 31"/>
    <w:basedOn w:val="a5"/>
    <w:uiPriority w:val="99"/>
    <w:rsid w:val="0045493E"/>
    <w:pPr>
      <w:jc w:val="center"/>
    </w:pPr>
    <w:rPr>
      <w:rFonts w:ascii="Arial Armenian" w:hAnsi="Arial Armenian"/>
      <w:sz w:val="24"/>
      <w:lang w:val="en-AU"/>
    </w:rPr>
  </w:style>
  <w:style w:type="paragraph" w:customStyle="1" w:styleId="25">
    <w:name w:val="????????? 2"/>
    <w:basedOn w:val="a5"/>
    <w:next w:val="a5"/>
    <w:uiPriority w:val="99"/>
    <w:rsid w:val="0045493E"/>
    <w:pPr>
      <w:keepNext/>
      <w:ind w:firstLine="720"/>
      <w:outlineLvl w:val="1"/>
    </w:pPr>
    <w:rPr>
      <w:rFonts w:ascii="Times LatArm" w:hAnsi="Times LatArm"/>
      <w:b/>
      <w:i/>
      <w:sz w:val="28"/>
      <w:lang w:val="en-US"/>
    </w:rPr>
  </w:style>
  <w:style w:type="paragraph" w:customStyle="1" w:styleId="40">
    <w:name w:val="????????? 4"/>
    <w:basedOn w:val="a5"/>
    <w:next w:val="a5"/>
    <w:uiPriority w:val="99"/>
    <w:rsid w:val="0045493E"/>
    <w:pPr>
      <w:keepNext/>
      <w:spacing w:line="360" w:lineRule="auto"/>
      <w:ind w:firstLine="360"/>
      <w:jc w:val="both"/>
      <w:outlineLvl w:val="3"/>
    </w:pPr>
    <w:rPr>
      <w:rFonts w:ascii="Times LatArm" w:hAnsi="Times LatArm"/>
      <w:i/>
      <w:sz w:val="24"/>
    </w:rPr>
  </w:style>
  <w:style w:type="paragraph" w:customStyle="1" w:styleId="1a">
    <w:name w:val="????????? 1"/>
    <w:basedOn w:val="Normal"/>
    <w:next w:val="Normal"/>
    <w:rsid w:val="0045493E"/>
    <w:pPr>
      <w:keepNext/>
      <w:outlineLvl w:val="0"/>
    </w:pPr>
    <w:rPr>
      <w:rFonts w:ascii="Times Armenian" w:hAnsi="Times Armenian"/>
      <w:i/>
      <w:szCs w:val="20"/>
      <w:lang w:eastAsia="ru-RU"/>
    </w:rPr>
  </w:style>
  <w:style w:type="paragraph" w:customStyle="1" w:styleId="CharChar0">
    <w:name w:val="Знак Знак Char Char"/>
    <w:basedOn w:val="Normal"/>
    <w:rsid w:val="0045493E"/>
    <w:pPr>
      <w:spacing w:line="240" w:lineRule="exact"/>
    </w:pPr>
    <w:rPr>
      <w:rFonts w:ascii="Arial" w:hAnsi="Arial" w:cs="Arial"/>
      <w:sz w:val="20"/>
      <w:szCs w:val="20"/>
    </w:rPr>
  </w:style>
  <w:style w:type="paragraph" w:customStyle="1" w:styleId="CharChar6">
    <w:name w:val="Знак Знак Char Char Знак Знак"/>
    <w:basedOn w:val="Normal"/>
    <w:rsid w:val="0045493E"/>
    <w:pPr>
      <w:spacing w:line="240" w:lineRule="exact"/>
    </w:pPr>
    <w:rPr>
      <w:rFonts w:ascii="Arial" w:hAnsi="Arial" w:cs="Arial"/>
      <w:sz w:val="20"/>
      <w:szCs w:val="20"/>
    </w:rPr>
  </w:style>
  <w:style w:type="paragraph" w:customStyle="1" w:styleId="Para">
    <w:name w:val="Para"/>
    <w:basedOn w:val="Normal"/>
    <w:rsid w:val="0045493E"/>
    <w:pPr>
      <w:suppressAutoHyphens/>
    </w:pPr>
    <w:rPr>
      <w:rFonts w:eastAsia="Calibri" w:cs="Sylfaen"/>
      <w:bCs/>
      <w:kern w:val="1"/>
      <w:lang w:val="hy-AM"/>
    </w:rPr>
  </w:style>
  <w:style w:type="paragraph" w:customStyle="1" w:styleId="ModelNrmlSingle">
    <w:name w:val="ModelNrmlSingle"/>
    <w:basedOn w:val="Normal"/>
    <w:rsid w:val="0045493E"/>
    <w:pPr>
      <w:spacing w:after="240"/>
      <w:ind w:firstLine="720"/>
    </w:pPr>
    <w:rPr>
      <w:szCs w:val="20"/>
    </w:rPr>
  </w:style>
  <w:style w:type="paragraph" w:customStyle="1" w:styleId="Char5">
    <w:name w:val="Char5"/>
    <w:basedOn w:val="Normal"/>
    <w:rsid w:val="0045493E"/>
    <w:pPr>
      <w:spacing w:line="240" w:lineRule="exact"/>
    </w:pPr>
    <w:rPr>
      <w:rFonts w:ascii="Arial" w:eastAsia="Calibri" w:hAnsi="Arial" w:cs="Arial"/>
      <w:sz w:val="20"/>
      <w:szCs w:val="20"/>
    </w:rPr>
  </w:style>
  <w:style w:type="paragraph" w:customStyle="1" w:styleId="33">
    <w:name w:val="Знак Знак3"/>
    <w:basedOn w:val="Normal"/>
    <w:link w:val="Char11"/>
    <w:rsid w:val="0045493E"/>
    <w:pPr>
      <w:spacing w:line="240" w:lineRule="exact"/>
    </w:pPr>
    <w:rPr>
      <w:rFonts w:ascii="Arial" w:eastAsia="Calibri" w:hAnsi="Arial"/>
      <w:sz w:val="20"/>
      <w:szCs w:val="20"/>
      <w:lang w:val="en-GB"/>
    </w:rPr>
  </w:style>
  <w:style w:type="character" w:customStyle="1" w:styleId="Char11">
    <w:name w:val="Знак Знак Char1"/>
    <w:link w:val="33"/>
    <w:locked/>
    <w:rsid w:val="0045493E"/>
    <w:rPr>
      <w:rFonts w:ascii="Arial" w:eastAsia="Calibri" w:hAnsi="Arial"/>
      <w:lang w:val="en-GB"/>
    </w:rPr>
  </w:style>
  <w:style w:type="paragraph" w:customStyle="1" w:styleId="CharChar60">
    <w:name w:val="Char Char6"/>
    <w:basedOn w:val="Normal"/>
    <w:rsid w:val="0045493E"/>
    <w:pPr>
      <w:spacing w:line="240" w:lineRule="exact"/>
    </w:pPr>
    <w:rPr>
      <w:rFonts w:ascii="Arial" w:eastAsia="Calibri" w:hAnsi="Arial" w:cs="Arial"/>
      <w:sz w:val="20"/>
      <w:szCs w:val="20"/>
    </w:rPr>
  </w:style>
  <w:style w:type="paragraph" w:customStyle="1" w:styleId="CharCharChar10">
    <w:name w:val="Char Char Char1"/>
    <w:basedOn w:val="Normal"/>
    <w:rsid w:val="0045493E"/>
    <w:pPr>
      <w:spacing w:line="240" w:lineRule="exact"/>
    </w:pPr>
    <w:rPr>
      <w:rFonts w:ascii="Arial" w:eastAsia="Calibri" w:hAnsi="Arial" w:cs="Arial"/>
      <w:sz w:val="20"/>
      <w:szCs w:val="20"/>
    </w:rPr>
  </w:style>
  <w:style w:type="paragraph" w:customStyle="1" w:styleId="Znak1">
    <w:name w:val="Znak1"/>
    <w:basedOn w:val="Normal"/>
    <w:rsid w:val="0045493E"/>
    <w:pPr>
      <w:tabs>
        <w:tab w:val="left" w:pos="709"/>
      </w:tabs>
    </w:pPr>
    <w:rPr>
      <w:rFonts w:ascii="Tahoma" w:eastAsia="Calibri" w:hAnsi="Tahoma"/>
      <w:lang w:val="pl-PL" w:eastAsia="pl-PL"/>
    </w:rPr>
  </w:style>
  <w:style w:type="paragraph" w:customStyle="1" w:styleId="CharCharCharCharCharCharCharCharCharCharCharCharChar1">
    <w:name w:val="Char Char Char Char Char Char Char Char Char Char Char Char Char1"/>
    <w:basedOn w:val="Normal"/>
    <w:rsid w:val="0045493E"/>
    <w:pPr>
      <w:spacing w:line="240" w:lineRule="exact"/>
    </w:pPr>
    <w:rPr>
      <w:rFonts w:ascii="Arial" w:eastAsia="Calibri" w:hAnsi="Arial" w:cs="Arial"/>
      <w:sz w:val="20"/>
      <w:szCs w:val="20"/>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rsid w:val="0045493E"/>
    <w:pPr>
      <w:spacing w:line="240" w:lineRule="exact"/>
    </w:pPr>
    <w:rPr>
      <w:rFonts w:eastAsia="Calibri"/>
      <w:sz w:val="28"/>
      <w:szCs w:val="20"/>
    </w:rPr>
  </w:style>
  <w:style w:type="paragraph" w:customStyle="1" w:styleId="CharCharChar11">
    <w:name w:val="Char Char Char Знак1"/>
    <w:basedOn w:val="Normal"/>
    <w:next w:val="Normal"/>
    <w:rsid w:val="0045493E"/>
    <w:pPr>
      <w:spacing w:line="240" w:lineRule="exact"/>
    </w:pPr>
    <w:rPr>
      <w:rFonts w:ascii="Tahoma" w:eastAsia="Calibri" w:hAnsi="Tahoma"/>
      <w:szCs w:val="20"/>
    </w:rPr>
  </w:style>
  <w:style w:type="paragraph" w:customStyle="1" w:styleId="CharCharCharCharCharCharCharChar1">
    <w:name w:val="Char Char Char Char Char Char Char Char1"/>
    <w:basedOn w:val="Normal"/>
    <w:rsid w:val="0045493E"/>
    <w:pPr>
      <w:spacing w:line="240" w:lineRule="exact"/>
    </w:pPr>
    <w:rPr>
      <w:rFonts w:ascii="Arial" w:eastAsia="Calibri" w:hAnsi="Arial" w:cs="Arial"/>
      <w:sz w:val="20"/>
      <w:szCs w:val="20"/>
    </w:rPr>
  </w:style>
  <w:style w:type="paragraph" w:customStyle="1" w:styleId="CharCharCharCharCharCharCharCharCharCharCharCharCharCharChar2">
    <w:name w:val="Char Char Char Char Знак Char Знак Char Char Char Char Char Char Char Char Char Char2"/>
    <w:basedOn w:val="Normal"/>
    <w:rsid w:val="0045493E"/>
    <w:pPr>
      <w:tabs>
        <w:tab w:val="left" w:pos="709"/>
      </w:tabs>
    </w:pPr>
    <w:rPr>
      <w:rFonts w:ascii="Tahoma" w:eastAsia="Calibri" w:hAnsi="Tahoma"/>
      <w:lang w:val="pl-PL" w:eastAsia="pl-PL"/>
    </w:rPr>
  </w:style>
  <w:style w:type="paragraph" w:customStyle="1" w:styleId="CharCharCharCharCharCharChar1">
    <w:name w:val="Char Char Char Char Char Char Char1"/>
    <w:basedOn w:val="Normal"/>
    <w:rsid w:val="0045493E"/>
    <w:pPr>
      <w:spacing w:line="240" w:lineRule="exact"/>
    </w:pPr>
    <w:rPr>
      <w:rFonts w:ascii="Arial" w:eastAsia="Calibri" w:hAnsi="Arial" w:cs="Arial"/>
      <w:sz w:val="20"/>
      <w:szCs w:val="20"/>
    </w:rPr>
  </w:style>
  <w:style w:type="paragraph" w:customStyle="1" w:styleId="CharCharChar12">
    <w:name w:val="Char Char Char Знак Знак1"/>
    <w:basedOn w:val="Normal"/>
    <w:rsid w:val="0045493E"/>
    <w:pPr>
      <w:spacing w:line="240" w:lineRule="exact"/>
    </w:pPr>
    <w:rPr>
      <w:rFonts w:ascii="Arial" w:eastAsia="Calibri" w:hAnsi="Arial" w:cs="Arial"/>
      <w:sz w:val="20"/>
      <w:szCs w:val="20"/>
    </w:rPr>
  </w:style>
  <w:style w:type="paragraph" w:customStyle="1" w:styleId="CharCharCharCharCharCharCharCharCharChar1">
    <w:name w:val="Char Char Char Char Char Char Char Char Char Char1"/>
    <w:basedOn w:val="Normal"/>
    <w:rsid w:val="0045493E"/>
    <w:pPr>
      <w:spacing w:line="240" w:lineRule="exact"/>
    </w:pPr>
    <w:rPr>
      <w:rFonts w:ascii="Arial" w:eastAsia="Calibri" w:hAnsi="Arial" w:cs="Arial"/>
      <w:sz w:val="20"/>
      <w:szCs w:val="20"/>
    </w:rPr>
  </w:style>
  <w:style w:type="paragraph" w:customStyle="1" w:styleId="1CharChar1">
    <w:name w:val="Знак Знак1 Char Char Знак Знак1"/>
    <w:basedOn w:val="Normal"/>
    <w:rsid w:val="0045493E"/>
    <w:pPr>
      <w:tabs>
        <w:tab w:val="left" w:pos="840"/>
      </w:tabs>
      <w:spacing w:line="240" w:lineRule="exact"/>
      <w:ind w:left="840" w:hanging="360"/>
    </w:pPr>
    <w:rPr>
      <w:rFonts w:ascii="Verdana" w:eastAsia="Calibri" w:hAnsi="Verdana"/>
      <w:sz w:val="20"/>
      <w:szCs w:val="20"/>
      <w:lang w:val="ru-RU"/>
    </w:rPr>
  </w:style>
  <w:style w:type="paragraph" w:customStyle="1" w:styleId="CharCharCharChar1">
    <w:name w:val="Знак Знак Char Char Знак Знак Char Char Знак Знак1"/>
    <w:basedOn w:val="Normal"/>
    <w:rsid w:val="0045493E"/>
    <w:pPr>
      <w:spacing w:line="240" w:lineRule="exact"/>
    </w:pPr>
    <w:rPr>
      <w:rFonts w:eastAsia="Calibri"/>
      <w:sz w:val="28"/>
      <w:szCs w:val="20"/>
    </w:rPr>
  </w:style>
  <w:style w:type="paragraph" w:customStyle="1" w:styleId="CharCharChar1Char1">
    <w:name w:val="Char Char Char1 Char1"/>
    <w:basedOn w:val="Normal"/>
    <w:rsid w:val="0045493E"/>
    <w:pPr>
      <w:spacing w:line="240" w:lineRule="exact"/>
    </w:pPr>
    <w:rPr>
      <w:rFonts w:ascii="Arial" w:eastAsia="Calibri" w:hAnsi="Arial" w:cs="Arial"/>
      <w:sz w:val="20"/>
      <w:szCs w:val="20"/>
    </w:rPr>
  </w:style>
  <w:style w:type="paragraph" w:customStyle="1" w:styleId="112">
    <w:name w:val="Знак Знак11"/>
    <w:basedOn w:val="Normal"/>
    <w:rsid w:val="0045493E"/>
    <w:pPr>
      <w:spacing w:line="240" w:lineRule="exact"/>
    </w:pPr>
    <w:rPr>
      <w:rFonts w:ascii="Arial" w:eastAsia="MS Mincho" w:hAnsi="Arial" w:cs="Arial"/>
      <w:sz w:val="20"/>
      <w:szCs w:val="20"/>
    </w:rPr>
  </w:style>
  <w:style w:type="paragraph" w:customStyle="1" w:styleId="CharCharCharCharChar10">
    <w:name w:val="Char Char Char Char Char Знак Знак1"/>
    <w:basedOn w:val="Normal"/>
    <w:rsid w:val="0045493E"/>
    <w:pPr>
      <w:spacing w:line="240" w:lineRule="exact"/>
    </w:pPr>
    <w:rPr>
      <w:rFonts w:ascii="Arial" w:eastAsia="Calibri" w:hAnsi="Arial" w:cs="Arial"/>
      <w:sz w:val="20"/>
      <w:szCs w:val="20"/>
    </w:rPr>
  </w:style>
  <w:style w:type="paragraph" w:customStyle="1" w:styleId="CharChar1CharCharChar1Char1">
    <w:name w:val="Char Char1 Char Char Char1 Char1"/>
    <w:basedOn w:val="Normal"/>
    <w:rsid w:val="0045493E"/>
    <w:rPr>
      <w:rFonts w:eastAsia="SimSun"/>
      <w:sz w:val="20"/>
      <w:szCs w:val="20"/>
      <w:lang w:eastAsia="ru-RU"/>
    </w:rPr>
  </w:style>
  <w:style w:type="paragraph" w:customStyle="1" w:styleId="41">
    <w:name w:val="Знак Знак41"/>
    <w:basedOn w:val="Normal"/>
    <w:rsid w:val="0045493E"/>
    <w:pPr>
      <w:tabs>
        <w:tab w:val="left" w:pos="709"/>
      </w:tabs>
    </w:pPr>
    <w:rPr>
      <w:rFonts w:ascii="Tahoma" w:eastAsia="Calibri" w:hAnsi="Tahoma"/>
      <w:lang w:val="pl-PL" w:eastAsia="pl-PL"/>
    </w:rPr>
  </w:style>
  <w:style w:type="paragraph" w:customStyle="1" w:styleId="Char13">
    <w:name w:val="Знак Char Знак1"/>
    <w:basedOn w:val="Normal"/>
    <w:rsid w:val="0045493E"/>
    <w:pPr>
      <w:spacing w:line="240" w:lineRule="exact"/>
    </w:pPr>
    <w:rPr>
      <w:rFonts w:ascii="Arial" w:eastAsia="Batang" w:hAnsi="Arial" w:cs="Arial"/>
      <w:sz w:val="20"/>
      <w:szCs w:val="20"/>
    </w:rPr>
  </w:style>
  <w:style w:type="paragraph" w:customStyle="1" w:styleId="CharCharCharCharCharChar1">
    <w:name w:val="Знак Знак Char Char Знак Знак Char Char Знак Знак Char Char1"/>
    <w:basedOn w:val="Normal"/>
    <w:rsid w:val="0045493E"/>
    <w:pPr>
      <w:spacing w:line="240" w:lineRule="exact"/>
    </w:pPr>
    <w:rPr>
      <w:rFonts w:eastAsia="Calibri"/>
      <w:sz w:val="28"/>
      <w:szCs w:val="20"/>
    </w:rPr>
  </w:style>
  <w:style w:type="paragraph" w:customStyle="1" w:styleId="212">
    <w:name w:val="Знак Знак21"/>
    <w:basedOn w:val="Normal"/>
    <w:rsid w:val="0045493E"/>
    <w:pPr>
      <w:spacing w:line="240" w:lineRule="exact"/>
    </w:pPr>
    <w:rPr>
      <w:rFonts w:ascii="Arial" w:eastAsia="Calibri" w:hAnsi="Arial" w:cs="Arial"/>
      <w:sz w:val="20"/>
      <w:szCs w:val="20"/>
    </w:rPr>
  </w:style>
  <w:style w:type="paragraph" w:customStyle="1" w:styleId="CharCharCharCharChar11">
    <w:name w:val="Char Char Char Char Char1"/>
    <w:basedOn w:val="Normal"/>
    <w:rsid w:val="0045493E"/>
    <w:pPr>
      <w:spacing w:line="240" w:lineRule="exact"/>
    </w:pPr>
    <w:rPr>
      <w:rFonts w:ascii="Arial" w:eastAsia="Calibri" w:hAnsi="Arial" w:cs="Arial"/>
      <w:sz w:val="20"/>
      <w:szCs w:val="20"/>
    </w:rPr>
  </w:style>
  <w:style w:type="paragraph" w:customStyle="1" w:styleId="CharCharCharCharChar12">
    <w:name w:val="Знак Char Char Знак Char Char Char1"/>
    <w:aliases w:val="Знак Char Char Знак Char Char1 Знак"/>
    <w:basedOn w:val="Normal"/>
    <w:next w:val="Normal"/>
    <w:semiHidden/>
    <w:rsid w:val="0045493E"/>
    <w:pPr>
      <w:spacing w:line="240" w:lineRule="exact"/>
    </w:pPr>
    <w:rPr>
      <w:rFonts w:ascii="Arial" w:eastAsia="Calibri" w:hAnsi="Arial" w:cs="Arial"/>
      <w:b/>
      <w:sz w:val="20"/>
      <w:szCs w:val="20"/>
      <w:lang w:val="en-GB"/>
    </w:rPr>
  </w:style>
  <w:style w:type="paragraph" w:customStyle="1" w:styleId="ListParagraph11">
    <w:name w:val="List Paragraph11"/>
    <w:basedOn w:val="Normal"/>
    <w:rsid w:val="0045493E"/>
    <w:pPr>
      <w:ind w:left="720" w:right="201" w:firstLine="900"/>
      <w:contextualSpacing/>
    </w:pPr>
    <w:rPr>
      <w:rFonts w:ascii="Times Armenian" w:eastAsia="Calibri" w:hAnsi="Times Armenian"/>
      <w:sz w:val="28"/>
      <w:szCs w:val="28"/>
      <w:lang w:val="hy-AM" w:eastAsia="ru-RU"/>
    </w:rPr>
  </w:style>
  <w:style w:type="paragraph" w:customStyle="1" w:styleId="CharCharCharCharCharChar2">
    <w:name w:val="Char Char Char Char Char Char2"/>
    <w:basedOn w:val="Normal"/>
    <w:rsid w:val="0045493E"/>
    <w:pPr>
      <w:spacing w:line="240" w:lineRule="exact"/>
    </w:pPr>
    <w:rPr>
      <w:rFonts w:ascii="Arial" w:eastAsia="Calibri" w:hAnsi="Arial" w:cs="Arial"/>
      <w:sz w:val="20"/>
      <w:szCs w:val="20"/>
    </w:rPr>
  </w:style>
  <w:style w:type="paragraph" w:customStyle="1" w:styleId="CharChar12">
    <w:name w:val="Char Char12"/>
    <w:basedOn w:val="Normal"/>
    <w:rsid w:val="0045493E"/>
    <w:pPr>
      <w:spacing w:line="240" w:lineRule="exact"/>
    </w:pPr>
    <w:rPr>
      <w:rFonts w:ascii="Arial" w:eastAsia="Calibri" w:hAnsi="Arial" w:cs="Arial"/>
      <w:sz w:val="20"/>
      <w:szCs w:val="20"/>
    </w:rPr>
  </w:style>
  <w:style w:type="paragraph" w:customStyle="1" w:styleId="34">
    <w:name w:val="Знак3"/>
    <w:basedOn w:val="Normal"/>
    <w:rsid w:val="0045493E"/>
    <w:pPr>
      <w:spacing w:line="240" w:lineRule="exact"/>
    </w:pPr>
    <w:rPr>
      <w:rFonts w:ascii="Arial" w:eastAsia="Calibri" w:hAnsi="Arial" w:cs="Arial"/>
      <w:sz w:val="20"/>
      <w:szCs w:val="20"/>
      <w:lang w:val="en-GB"/>
    </w:rPr>
  </w:style>
  <w:style w:type="paragraph" w:customStyle="1" w:styleId="BodyText11">
    <w:name w:val="Body Text11"/>
    <w:basedOn w:val="Normal"/>
    <w:rsid w:val="0045493E"/>
    <w:pPr>
      <w:tabs>
        <w:tab w:val="left" w:pos="0"/>
      </w:tabs>
      <w:spacing w:after="240"/>
    </w:pPr>
    <w:rPr>
      <w:rFonts w:ascii="Times Armenian" w:hAnsi="Times Armenian"/>
      <w:lang w:eastAsia="ru-RU"/>
    </w:rPr>
  </w:style>
  <w:style w:type="paragraph" w:styleId="Quote">
    <w:name w:val="Quote"/>
    <w:basedOn w:val="Normal"/>
    <w:next w:val="Normal"/>
    <w:link w:val="QuoteChar"/>
    <w:uiPriority w:val="29"/>
    <w:qFormat/>
    <w:rsid w:val="0045493E"/>
    <w:pPr>
      <w:spacing w:before="200" w:after="0"/>
      <w:ind w:left="360" w:right="360"/>
    </w:pPr>
    <w:rPr>
      <w:i/>
      <w:iCs/>
    </w:rPr>
  </w:style>
  <w:style w:type="character" w:customStyle="1" w:styleId="QuoteChar">
    <w:name w:val="Quote Char"/>
    <w:basedOn w:val="DefaultParagraphFont"/>
    <w:link w:val="Quote"/>
    <w:uiPriority w:val="29"/>
    <w:rsid w:val="0045493E"/>
    <w:rPr>
      <w:i/>
      <w:iCs/>
    </w:rPr>
  </w:style>
  <w:style w:type="character" w:customStyle="1" w:styleId="IntenseEmphasis1">
    <w:name w:val="Intense Emphasis1"/>
    <w:uiPriority w:val="21"/>
    <w:qFormat/>
    <w:rsid w:val="0045493E"/>
    <w:rPr>
      <w:b/>
      <w:bCs/>
    </w:rPr>
  </w:style>
  <w:style w:type="paragraph" w:customStyle="1" w:styleId="ListParagraph2">
    <w:name w:val="List Paragraph2"/>
    <w:basedOn w:val="Normal"/>
    <w:qFormat/>
    <w:rsid w:val="0045493E"/>
    <w:pPr>
      <w:ind w:left="720"/>
      <w:contextualSpacing/>
    </w:pPr>
    <w:rPr>
      <w:lang w:val="ru-RU" w:eastAsia="ru-RU"/>
    </w:rPr>
  </w:style>
  <w:style w:type="character" w:customStyle="1" w:styleId="A00">
    <w:name w:val="A0"/>
    <w:rsid w:val="0045493E"/>
    <w:rPr>
      <w:color w:val="000000"/>
      <w:sz w:val="56"/>
      <w:szCs w:val="56"/>
    </w:rPr>
  </w:style>
  <w:style w:type="paragraph" w:customStyle="1" w:styleId="1b">
    <w:name w:val="Знак1"/>
    <w:basedOn w:val="Normal"/>
    <w:rsid w:val="0045493E"/>
    <w:pPr>
      <w:spacing w:line="240" w:lineRule="exact"/>
    </w:pPr>
    <w:rPr>
      <w:rFonts w:ascii="Arial" w:hAnsi="Arial" w:cs="Arial"/>
      <w:sz w:val="20"/>
      <w:szCs w:val="20"/>
      <w:lang w:val="en-GB"/>
    </w:rPr>
  </w:style>
  <w:style w:type="character" w:customStyle="1" w:styleId="1c">
    <w:name w:val="Текст сноски Знак1"/>
    <w:semiHidden/>
    <w:rsid w:val="0045493E"/>
    <w:rPr>
      <w:sz w:val="20"/>
      <w:szCs w:val="20"/>
    </w:rPr>
  </w:style>
  <w:style w:type="character" w:customStyle="1" w:styleId="CharChar28">
    <w:name w:val="Char Char28"/>
    <w:rsid w:val="0045493E"/>
    <w:rPr>
      <w:rFonts w:ascii="Arial Armenian" w:hAnsi="Arial Armenian"/>
      <w:i/>
      <w:sz w:val="22"/>
      <w:u w:val="single"/>
      <w:lang w:val="en-GB"/>
    </w:rPr>
  </w:style>
  <w:style w:type="character" w:customStyle="1" w:styleId="CharChar27">
    <w:name w:val="Char Char27"/>
    <w:rsid w:val="0045493E"/>
    <w:rPr>
      <w:rFonts w:ascii="Garamond" w:hAnsi="Garamond"/>
      <w:i/>
      <w:spacing w:val="-5"/>
      <w:sz w:val="28"/>
      <w:shd w:val="pct5" w:color="auto" w:fill="auto"/>
      <w:lang w:val="en-GB"/>
    </w:rPr>
  </w:style>
  <w:style w:type="character" w:customStyle="1" w:styleId="CharChar26">
    <w:name w:val="Char Char26"/>
    <w:rsid w:val="0045493E"/>
    <w:rPr>
      <w:rFonts w:ascii="Arial Black" w:hAnsi="Arial Black"/>
      <w:caps/>
      <w:spacing w:val="60"/>
      <w:position w:val="4"/>
      <w:sz w:val="14"/>
      <w:lang w:val="en-GB"/>
    </w:rPr>
  </w:style>
  <w:style w:type="character" w:customStyle="1" w:styleId="CharChar25">
    <w:name w:val="Char Char25"/>
    <w:rsid w:val="0045493E"/>
    <w:rPr>
      <w:rFonts w:ascii="Garamond" w:hAnsi="Garamond"/>
      <w:b/>
      <w:i/>
      <w:kern w:val="28"/>
      <w:lang w:val="en-GB"/>
    </w:rPr>
  </w:style>
  <w:style w:type="character" w:customStyle="1" w:styleId="CharChar24">
    <w:name w:val="Char Char24"/>
    <w:rsid w:val="0045493E"/>
    <w:rPr>
      <w:rFonts w:ascii="Arial Armenian" w:hAnsi="Arial Armenian"/>
      <w:lang w:val="en-US" w:eastAsia="en-US" w:bidi="ar-SA"/>
    </w:rPr>
  </w:style>
  <w:style w:type="character" w:customStyle="1" w:styleId="CharChar23">
    <w:name w:val="Char Char23"/>
    <w:rsid w:val="0045493E"/>
    <w:rPr>
      <w:rFonts w:ascii="Arial Armenian" w:hAnsi="Arial Armenian"/>
      <w:lang w:val="en-GB" w:eastAsia="en-US" w:bidi="ar-SA"/>
    </w:rPr>
  </w:style>
  <w:style w:type="character" w:customStyle="1" w:styleId="CharChar22">
    <w:name w:val="Char Char22"/>
    <w:qFormat/>
    <w:rsid w:val="0045493E"/>
    <w:rPr>
      <w:rFonts w:ascii="Arial Armenian" w:hAnsi="Arial Armenian"/>
      <w:lang w:val="ru-RU" w:eastAsia="ru-RU" w:bidi="ar-SA"/>
    </w:rPr>
  </w:style>
  <w:style w:type="paragraph" w:customStyle="1" w:styleId="Outline">
    <w:name w:val="Outline"/>
    <w:basedOn w:val="Normal"/>
    <w:rsid w:val="0045493E"/>
    <w:pPr>
      <w:spacing w:before="240"/>
    </w:pPr>
    <w:rPr>
      <w:kern w:val="28"/>
      <w:szCs w:val="20"/>
    </w:rPr>
  </w:style>
  <w:style w:type="paragraph" w:customStyle="1" w:styleId="af">
    <w:name w:val="Îáû÷íûé"/>
    <w:rsid w:val="0045493E"/>
    <w:pPr>
      <w:spacing w:after="160" w:line="259" w:lineRule="auto"/>
    </w:pPr>
    <w:rPr>
      <w:rFonts w:ascii="Times Armenian" w:hAnsi="Times Armenian"/>
      <w:sz w:val="24"/>
      <w:szCs w:val="22"/>
    </w:rPr>
  </w:style>
  <w:style w:type="paragraph" w:customStyle="1" w:styleId="Style13">
    <w:name w:val="Style13"/>
    <w:basedOn w:val="Normal"/>
    <w:rsid w:val="0045493E"/>
    <w:pPr>
      <w:widowControl w:val="0"/>
      <w:autoSpaceDE w:val="0"/>
      <w:autoSpaceDN w:val="0"/>
      <w:adjustRightInd w:val="0"/>
    </w:pPr>
    <w:rPr>
      <w:rFonts w:ascii="Tahoma" w:eastAsia="SimSun" w:hAnsi="Tahoma" w:cs="Tahoma"/>
    </w:rPr>
  </w:style>
  <w:style w:type="character" w:customStyle="1" w:styleId="FontStyle27">
    <w:name w:val="Font Style27"/>
    <w:rsid w:val="0045493E"/>
    <w:rPr>
      <w:rFonts w:ascii="Tahoma" w:hAnsi="Tahoma" w:cs="Tahoma" w:hint="default"/>
      <w:sz w:val="14"/>
      <w:szCs w:val="14"/>
    </w:rPr>
  </w:style>
  <w:style w:type="paragraph" w:customStyle="1" w:styleId="Style14">
    <w:name w:val="Style14"/>
    <w:basedOn w:val="Normal"/>
    <w:rsid w:val="0045493E"/>
    <w:pPr>
      <w:widowControl w:val="0"/>
      <w:autoSpaceDE w:val="0"/>
      <w:autoSpaceDN w:val="0"/>
      <w:adjustRightInd w:val="0"/>
      <w:spacing w:line="211" w:lineRule="exact"/>
    </w:pPr>
    <w:rPr>
      <w:rFonts w:ascii="Tahoma" w:eastAsia="SimSun" w:hAnsi="Tahoma" w:cs="Tahoma"/>
    </w:rPr>
  </w:style>
  <w:style w:type="character" w:customStyle="1" w:styleId="FontStyle26">
    <w:name w:val="Font Style26"/>
    <w:rsid w:val="0045493E"/>
    <w:rPr>
      <w:rFonts w:ascii="Tahoma" w:hAnsi="Tahoma" w:cs="Tahoma" w:hint="default"/>
      <w:i/>
      <w:iCs/>
      <w:spacing w:val="10"/>
      <w:sz w:val="16"/>
      <w:szCs w:val="16"/>
    </w:rPr>
  </w:style>
  <w:style w:type="character" w:customStyle="1" w:styleId="FontStyle53">
    <w:name w:val="Font Style53"/>
    <w:rsid w:val="0045493E"/>
    <w:rPr>
      <w:rFonts w:ascii="Sylfaen" w:hAnsi="Sylfaen"/>
      <w:sz w:val="18"/>
    </w:rPr>
  </w:style>
  <w:style w:type="character" w:customStyle="1" w:styleId="shorttext">
    <w:name w:val="short_text"/>
    <w:rsid w:val="0045493E"/>
    <w:rPr>
      <w:rFonts w:cs="Times New Roman"/>
    </w:rPr>
  </w:style>
  <w:style w:type="table" w:customStyle="1" w:styleId="LightList-Accent11">
    <w:name w:val="Light List - Accent 11"/>
    <w:basedOn w:val="TableNormal"/>
    <w:uiPriority w:val="61"/>
    <w:rsid w:val="0045493E"/>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Spacing1">
    <w:name w:val="No Spacing1"/>
    <w:qFormat/>
    <w:rsid w:val="0045493E"/>
    <w:pPr>
      <w:spacing w:after="160" w:line="259" w:lineRule="auto"/>
    </w:pPr>
    <w:rPr>
      <w:sz w:val="22"/>
      <w:szCs w:val="22"/>
    </w:rPr>
  </w:style>
  <w:style w:type="paragraph" w:customStyle="1" w:styleId="26">
    <w:name w:val="Обычный2"/>
    <w:rsid w:val="0045493E"/>
    <w:pPr>
      <w:autoSpaceDE w:val="0"/>
      <w:autoSpaceDN w:val="0"/>
      <w:spacing w:after="160" w:line="259" w:lineRule="auto"/>
    </w:pPr>
    <w:rPr>
      <w:sz w:val="22"/>
      <w:szCs w:val="22"/>
      <w:lang w:val="ru-RU" w:eastAsia="ru-RU"/>
    </w:rPr>
  </w:style>
  <w:style w:type="paragraph" w:customStyle="1" w:styleId="Revision10">
    <w:name w:val="Revision1"/>
    <w:hidden/>
    <w:semiHidden/>
    <w:rsid w:val="0045493E"/>
    <w:pPr>
      <w:spacing w:after="160" w:line="259" w:lineRule="auto"/>
    </w:pPr>
    <w:rPr>
      <w:rFonts w:ascii="Arial Armenian" w:hAnsi="Arial Armenian" w:cs="Sylfaen"/>
      <w:sz w:val="24"/>
      <w:szCs w:val="24"/>
      <w:lang w:val="ru-RU" w:eastAsia="ru-RU"/>
    </w:rPr>
  </w:style>
  <w:style w:type="paragraph" w:customStyle="1" w:styleId="TOCHeading10">
    <w:name w:val="TOC Heading1"/>
    <w:basedOn w:val="Heading1"/>
    <w:next w:val="Normal"/>
    <w:qFormat/>
    <w:rsid w:val="0045493E"/>
    <w:pPr>
      <w:spacing w:before="480" w:after="0" w:line="276" w:lineRule="auto"/>
      <w:outlineLvl w:val="9"/>
    </w:pPr>
    <w:rPr>
      <w:rFonts w:ascii="Cambria" w:hAnsi="Cambria"/>
      <w:color w:val="365F91"/>
      <w:sz w:val="28"/>
    </w:rPr>
  </w:style>
  <w:style w:type="character" w:customStyle="1" w:styleId="NoSpacingChar1">
    <w:name w:val="No Spacing Char1"/>
    <w:rsid w:val="0045493E"/>
    <w:rPr>
      <w:rFonts w:ascii="Calibri" w:eastAsia="Times New Roman" w:hAnsi="Calibri" w:cs="Times New Roman"/>
      <w:lang w:val="en-US"/>
    </w:rPr>
  </w:style>
  <w:style w:type="paragraph" w:customStyle="1" w:styleId="Quote1">
    <w:name w:val="Quote1"/>
    <w:basedOn w:val="Normal"/>
    <w:next w:val="Normal"/>
    <w:qFormat/>
    <w:rsid w:val="0045493E"/>
    <w:rPr>
      <w:i/>
      <w:iCs/>
      <w:color w:val="000000"/>
    </w:rPr>
  </w:style>
  <w:style w:type="character" w:customStyle="1" w:styleId="IntenseEmphasis10">
    <w:name w:val="Intense Emphasis1"/>
    <w:qFormat/>
    <w:rsid w:val="0045493E"/>
    <w:rPr>
      <w:b/>
      <w:bCs/>
      <w:i/>
      <w:iCs/>
      <w:color w:val="4F81BD"/>
    </w:rPr>
  </w:style>
  <w:style w:type="table" w:customStyle="1" w:styleId="ColorfulGrid-Accent11">
    <w:name w:val="Colorful Grid - Accent 11"/>
    <w:basedOn w:val="TableNormal"/>
    <w:rsid w:val="0045493E"/>
    <w:rPr>
      <w:color w:val="000000"/>
      <w:lang w:eastAsia="ru-RU"/>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45493E"/>
    <w:rPr>
      <w:lang w:eastAsia="ru-RU"/>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45493E"/>
    <w:pPr>
      <w:widowControl w:val="0"/>
      <w:suppressAutoHyphens/>
      <w:autoSpaceDN w:val="0"/>
      <w:spacing w:after="160" w:line="259" w:lineRule="auto"/>
      <w:textAlignment w:val="baseline"/>
    </w:pPr>
    <w:rPr>
      <w:kern w:val="3"/>
      <w:sz w:val="24"/>
      <w:szCs w:val="24"/>
    </w:rPr>
  </w:style>
  <w:style w:type="character" w:customStyle="1" w:styleId="PageNumber1">
    <w:name w:val="Page Number1"/>
    <w:rsid w:val="0045493E"/>
    <w:rPr>
      <w:rFonts w:cs="Times New Roman"/>
    </w:rPr>
  </w:style>
  <w:style w:type="character" w:customStyle="1" w:styleId="af0">
    <w:name w:val="Основной текст_"/>
    <w:rsid w:val="0045493E"/>
    <w:rPr>
      <w:rFonts w:ascii="Sylfaen" w:hAnsi="Sylfaen" w:cs="Sylfaen"/>
      <w:spacing w:val="20"/>
      <w:w w:val="80"/>
      <w:shd w:val="clear" w:color="auto" w:fill="FFFFFF"/>
    </w:rPr>
  </w:style>
  <w:style w:type="character" w:customStyle="1" w:styleId="27">
    <w:name w:val="Основной текст (2)_"/>
    <w:rsid w:val="0045493E"/>
    <w:rPr>
      <w:rFonts w:ascii="Sylfaen" w:hAnsi="Sylfaen" w:cs="Sylfaen"/>
      <w:i/>
      <w:iCs/>
      <w:shd w:val="clear" w:color="auto" w:fill="FFFFFF"/>
    </w:rPr>
  </w:style>
  <w:style w:type="character" w:customStyle="1" w:styleId="35">
    <w:name w:val="Основной текст (3)_"/>
    <w:rsid w:val="0045493E"/>
    <w:rPr>
      <w:rFonts w:ascii="Sylfaen" w:hAnsi="Sylfaen" w:cs="Sylfaen"/>
      <w:spacing w:val="20"/>
      <w:w w:val="80"/>
      <w:sz w:val="21"/>
      <w:szCs w:val="21"/>
      <w:shd w:val="clear" w:color="auto" w:fill="FFFFFF"/>
    </w:rPr>
  </w:style>
  <w:style w:type="character" w:customStyle="1" w:styleId="311pt">
    <w:name w:val="Основной текст (3) + 11 pt"/>
    <w:rsid w:val="0045493E"/>
    <w:rPr>
      <w:rFonts w:ascii="Sylfaen" w:hAnsi="Sylfaen" w:cs="Sylfaen"/>
      <w:i/>
      <w:iCs/>
      <w:spacing w:val="0"/>
      <w:w w:val="100"/>
      <w:sz w:val="22"/>
      <w:szCs w:val="22"/>
      <w:shd w:val="clear" w:color="auto" w:fill="FFFFFF"/>
    </w:rPr>
  </w:style>
  <w:style w:type="character" w:customStyle="1" w:styleId="311pt1">
    <w:name w:val="Основной текст (3) + 11 pt1"/>
    <w:rsid w:val="0045493E"/>
    <w:rPr>
      <w:rFonts w:ascii="Sylfaen" w:hAnsi="Sylfaen" w:cs="Sylfaen"/>
      <w:spacing w:val="0"/>
      <w:w w:val="100"/>
      <w:sz w:val="22"/>
      <w:szCs w:val="22"/>
      <w:shd w:val="clear" w:color="auto" w:fill="FFFFFF"/>
    </w:rPr>
  </w:style>
  <w:style w:type="character" w:customStyle="1" w:styleId="28">
    <w:name w:val="Основной текст2"/>
    <w:rsid w:val="0045493E"/>
  </w:style>
  <w:style w:type="character" w:customStyle="1" w:styleId="42">
    <w:name w:val="Основной текст (4)_"/>
    <w:rsid w:val="0045493E"/>
    <w:rPr>
      <w:rFonts w:ascii="Sylfaen" w:hAnsi="Sylfaen" w:cs="Sylfaen"/>
      <w:spacing w:val="20"/>
      <w:w w:val="80"/>
      <w:shd w:val="clear" w:color="auto" w:fill="FFFFFF"/>
    </w:rPr>
  </w:style>
  <w:style w:type="character" w:customStyle="1" w:styleId="4pt">
    <w:name w:val="Основной текст + 4 pt"/>
    <w:rsid w:val="0045493E"/>
    <w:rPr>
      <w:rFonts w:ascii="Sylfaen" w:hAnsi="Sylfaen" w:cs="Sylfaen"/>
      <w:i/>
      <w:iCs/>
      <w:spacing w:val="0"/>
      <w:w w:val="100"/>
      <w:sz w:val="8"/>
      <w:szCs w:val="8"/>
      <w:shd w:val="clear" w:color="auto" w:fill="FFFFFF"/>
    </w:rPr>
  </w:style>
  <w:style w:type="character" w:customStyle="1" w:styleId="1d">
    <w:name w:val="Заголовок №1_"/>
    <w:rsid w:val="0045493E"/>
    <w:rPr>
      <w:rFonts w:ascii="Sylfaen" w:hAnsi="Sylfaen" w:cs="Sylfaen"/>
      <w:i/>
      <w:iCs/>
      <w:spacing w:val="-30"/>
      <w:sz w:val="31"/>
      <w:szCs w:val="31"/>
      <w:shd w:val="clear" w:color="auto" w:fill="FFFFFF"/>
    </w:rPr>
  </w:style>
  <w:style w:type="character" w:customStyle="1" w:styleId="1110">
    <w:name w:val="Заголовок №1 + 11"/>
    <w:rsid w:val="0045493E"/>
    <w:rPr>
      <w:rFonts w:ascii="Sylfaen" w:hAnsi="Sylfaen" w:cs="Sylfaen"/>
      <w:i/>
      <w:iCs/>
      <w:spacing w:val="-20"/>
      <w:sz w:val="23"/>
      <w:szCs w:val="23"/>
      <w:shd w:val="clear" w:color="auto" w:fill="FFFFFF"/>
    </w:rPr>
  </w:style>
  <w:style w:type="character" w:customStyle="1" w:styleId="Sylfaen2">
    <w:name w:val="Основной текст + Sylfaen2"/>
    <w:rsid w:val="0045493E"/>
    <w:rPr>
      <w:rFonts w:ascii="Sylfaen" w:hAnsi="Sylfaen" w:cs="Sylfaen"/>
      <w:spacing w:val="20"/>
      <w:w w:val="80"/>
      <w:sz w:val="22"/>
      <w:szCs w:val="22"/>
      <w:u w:val="none"/>
      <w:shd w:val="clear" w:color="auto" w:fill="FFFFFF"/>
    </w:rPr>
  </w:style>
  <w:style w:type="character" w:customStyle="1" w:styleId="Sylfaen1">
    <w:name w:val="Основной текст + Sylfaen1"/>
    <w:rsid w:val="0045493E"/>
    <w:rPr>
      <w:rFonts w:ascii="Sylfaen" w:hAnsi="Sylfaen" w:cs="Sylfaen"/>
      <w:spacing w:val="20"/>
      <w:w w:val="80"/>
      <w:sz w:val="20"/>
      <w:szCs w:val="20"/>
      <w:u w:val="none"/>
      <w:shd w:val="clear" w:color="auto" w:fill="FFFFFF"/>
    </w:rPr>
  </w:style>
  <w:style w:type="character" w:customStyle="1" w:styleId="af1">
    <w:name w:val="Основной текст + Полужирный"/>
    <w:rsid w:val="0045493E"/>
    <w:rPr>
      <w:rFonts w:ascii="Sylfaen" w:hAnsi="Sylfaen" w:cs="Sylfaen"/>
      <w:b/>
      <w:bCs/>
      <w:spacing w:val="20"/>
      <w:w w:val="80"/>
      <w:sz w:val="21"/>
      <w:szCs w:val="21"/>
      <w:u w:val="none"/>
      <w:shd w:val="clear" w:color="auto" w:fill="FFFFFF"/>
    </w:rPr>
  </w:style>
  <w:style w:type="character" w:customStyle="1" w:styleId="ListLabel1">
    <w:name w:val="ListLabel 1"/>
    <w:rsid w:val="0045493E"/>
    <w:rPr>
      <w:rFonts w:eastAsia="Times New Roman"/>
      <w:color w:val="000000"/>
    </w:rPr>
  </w:style>
  <w:style w:type="character" w:customStyle="1" w:styleId="ListLabel2">
    <w:name w:val="ListLabel 2"/>
    <w:rsid w:val="0045493E"/>
  </w:style>
  <w:style w:type="character" w:customStyle="1" w:styleId="ListLabel3">
    <w:name w:val="ListLabel 3"/>
    <w:rsid w:val="0045493E"/>
  </w:style>
  <w:style w:type="character" w:customStyle="1" w:styleId="ListLabel4">
    <w:name w:val="ListLabel 4"/>
    <w:rsid w:val="0045493E"/>
  </w:style>
  <w:style w:type="character" w:customStyle="1" w:styleId="ListLabel5">
    <w:name w:val="ListLabel 5"/>
    <w:rsid w:val="0045493E"/>
    <w:rPr>
      <w:color w:val="auto"/>
    </w:rPr>
  </w:style>
  <w:style w:type="character" w:customStyle="1" w:styleId="ListLabel6">
    <w:name w:val="ListLabel 6"/>
    <w:rsid w:val="0045493E"/>
    <w:rPr>
      <w:b/>
      <w:i/>
    </w:rPr>
  </w:style>
  <w:style w:type="character" w:customStyle="1" w:styleId="ListLabel7">
    <w:name w:val="ListLabel 7"/>
    <w:rsid w:val="0045493E"/>
    <w:rPr>
      <w:sz w:val="24"/>
    </w:rPr>
  </w:style>
  <w:style w:type="character" w:customStyle="1" w:styleId="ListLabel8">
    <w:name w:val="ListLabel 8"/>
    <w:rsid w:val="0045493E"/>
    <w:rPr>
      <w:rFonts w:eastAsia="Times New Roman"/>
    </w:rPr>
  </w:style>
  <w:style w:type="paragraph" w:customStyle="1" w:styleId="Heading">
    <w:name w:val="Heading"/>
    <w:basedOn w:val="Normal"/>
    <w:next w:val="BodyText"/>
    <w:rsid w:val="0045493E"/>
    <w:pPr>
      <w:keepNext/>
      <w:suppressAutoHyphens/>
      <w:spacing w:before="240" w:after="120" w:line="276" w:lineRule="auto"/>
    </w:pPr>
    <w:rPr>
      <w:rFonts w:ascii="Liberation Sans" w:hAnsi="Liberation Sans" w:cs="Liberation Sans"/>
      <w:kern w:val="1"/>
      <w:sz w:val="28"/>
      <w:szCs w:val="28"/>
    </w:rPr>
  </w:style>
  <w:style w:type="paragraph" w:customStyle="1" w:styleId="Index">
    <w:name w:val="Index"/>
    <w:basedOn w:val="Normal"/>
    <w:rsid w:val="0045493E"/>
    <w:pPr>
      <w:suppressLineNumbers/>
      <w:suppressAutoHyphens/>
      <w:spacing w:after="200" w:line="276" w:lineRule="auto"/>
    </w:pPr>
    <w:rPr>
      <w:rFonts w:cs="Calibri"/>
      <w:kern w:val="1"/>
    </w:rPr>
  </w:style>
  <w:style w:type="paragraph" w:customStyle="1" w:styleId="af2">
    <w:name w:val="Стиль Знак"/>
    <w:basedOn w:val="Normal"/>
    <w:rsid w:val="0045493E"/>
    <w:pPr>
      <w:suppressAutoHyphens/>
      <w:spacing w:line="240" w:lineRule="exact"/>
    </w:pPr>
    <w:rPr>
      <w:rFonts w:ascii="Arial" w:hAnsi="Arial" w:cs="Arial"/>
      <w:kern w:val="1"/>
      <w:sz w:val="20"/>
      <w:szCs w:val="20"/>
    </w:rPr>
  </w:style>
  <w:style w:type="paragraph" w:customStyle="1" w:styleId="113">
    <w:name w:val="Без интервала11"/>
    <w:qFormat/>
    <w:rsid w:val="0045493E"/>
    <w:pPr>
      <w:suppressAutoHyphens/>
      <w:spacing w:after="160" w:line="259" w:lineRule="auto"/>
    </w:pPr>
    <w:rPr>
      <w:rFonts w:ascii="GHEA Grapalat" w:hAnsi="GHEA Grapalat" w:cs="GHEA Grapalat"/>
      <w:kern w:val="1"/>
      <w:sz w:val="22"/>
      <w:szCs w:val="22"/>
    </w:rPr>
  </w:style>
  <w:style w:type="paragraph" w:customStyle="1" w:styleId="Iacaaiea">
    <w:name w:val="Iacaaiea"/>
    <w:basedOn w:val="Normal"/>
    <w:rsid w:val="0045493E"/>
    <w:pPr>
      <w:widowControl w:val="0"/>
      <w:suppressAutoHyphens/>
      <w:jc w:val="center"/>
    </w:pPr>
    <w:rPr>
      <w:rFonts w:ascii="Times LatArm" w:hAnsi="Times LatArm" w:cs="Times LatArm"/>
      <w:kern w:val="1"/>
    </w:rPr>
  </w:style>
  <w:style w:type="paragraph" w:customStyle="1" w:styleId="1e">
    <w:name w:val="Основной текст1"/>
    <w:basedOn w:val="Normal"/>
    <w:rsid w:val="0045493E"/>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29">
    <w:name w:val="Основной текст (2)"/>
    <w:basedOn w:val="Normal"/>
    <w:rsid w:val="0045493E"/>
    <w:pPr>
      <w:suppressAutoHyphens/>
      <w:spacing w:after="200" w:line="276" w:lineRule="auto"/>
    </w:pPr>
    <w:rPr>
      <w:rFonts w:ascii="Sylfaen" w:hAnsi="Sylfaen" w:cs="Sylfaen"/>
      <w:i/>
      <w:iCs/>
      <w:kern w:val="1"/>
      <w:sz w:val="20"/>
      <w:szCs w:val="20"/>
      <w:shd w:val="clear" w:color="auto" w:fill="FFFFFF"/>
      <w:lang w:val="ru-RU" w:eastAsia="ru-RU"/>
    </w:rPr>
  </w:style>
  <w:style w:type="paragraph" w:customStyle="1" w:styleId="36">
    <w:name w:val="Основной текст (3)"/>
    <w:basedOn w:val="Normal"/>
    <w:rsid w:val="0045493E"/>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4">
    <w:name w:val="Основной текст (4)"/>
    <w:basedOn w:val="Normal"/>
    <w:rsid w:val="0045493E"/>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1f">
    <w:name w:val="Заголовок №1"/>
    <w:basedOn w:val="Normal"/>
    <w:rsid w:val="0045493E"/>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CharChar13">
    <w:name w:val="Char Char Char Знак Знак Char Char Знак Знак1"/>
    <w:basedOn w:val="Normal"/>
    <w:rsid w:val="0045493E"/>
    <w:pPr>
      <w:suppressAutoHyphens/>
      <w:spacing w:line="240" w:lineRule="exact"/>
    </w:pPr>
    <w:rPr>
      <w:rFonts w:ascii="Arial" w:hAnsi="Arial" w:cs="Arial"/>
      <w:kern w:val="1"/>
      <w:sz w:val="20"/>
      <w:szCs w:val="20"/>
    </w:rPr>
  </w:style>
  <w:style w:type="paragraph" w:customStyle="1" w:styleId="FrameContents">
    <w:name w:val="Frame Contents"/>
    <w:basedOn w:val="Normal"/>
    <w:rsid w:val="0045493E"/>
    <w:pPr>
      <w:suppressAutoHyphens/>
      <w:spacing w:after="200" w:line="276" w:lineRule="auto"/>
    </w:pPr>
    <w:rPr>
      <w:rFonts w:cs="Calibri"/>
      <w:kern w:val="1"/>
    </w:rPr>
  </w:style>
  <w:style w:type="paragraph" w:customStyle="1" w:styleId="NoSpacing2">
    <w:name w:val="No Spacing2"/>
    <w:rsid w:val="0045493E"/>
    <w:pPr>
      <w:spacing w:after="160" w:line="259" w:lineRule="auto"/>
    </w:pPr>
    <w:rPr>
      <w:rFonts w:ascii="Arial Armenian" w:hAnsi="Arial Armenian" w:cs="Arial Armenian"/>
      <w:sz w:val="24"/>
      <w:szCs w:val="24"/>
      <w:lang w:val="ru-RU"/>
    </w:rPr>
  </w:style>
  <w:style w:type="character" w:customStyle="1" w:styleId="user-name">
    <w:name w:val="user-name"/>
    <w:rsid w:val="0045493E"/>
    <w:rPr>
      <w:rFonts w:cs="Times New Roman"/>
    </w:rPr>
  </w:style>
  <w:style w:type="paragraph" w:customStyle="1" w:styleId="ModelSingleNoIndent">
    <w:name w:val="ModelSingleNoIndent"/>
    <w:basedOn w:val="Normal"/>
    <w:rsid w:val="0045493E"/>
    <w:pPr>
      <w:spacing w:after="240"/>
    </w:pPr>
    <w:rPr>
      <w:szCs w:val="20"/>
    </w:rPr>
  </w:style>
  <w:style w:type="paragraph" w:customStyle="1" w:styleId="Char1CharCharCharCharCharCharCharCharCharCharCharChar2">
    <w:name w:val="Char1 Char Char Char Char Char Char Char Char Char Char Char Char2"/>
    <w:basedOn w:val="Normal"/>
    <w:rsid w:val="0045493E"/>
    <w:pPr>
      <w:spacing w:line="240" w:lineRule="exact"/>
    </w:pPr>
    <w:rPr>
      <w:rFonts w:ascii="Arial" w:hAnsi="Arial" w:cs="Arial"/>
      <w:sz w:val="20"/>
      <w:szCs w:val="20"/>
    </w:rPr>
  </w:style>
  <w:style w:type="paragraph" w:customStyle="1" w:styleId="ModelNrmlDouble">
    <w:name w:val="ModelNrmlDouble"/>
    <w:basedOn w:val="Normal"/>
    <w:rsid w:val="0045493E"/>
    <w:pPr>
      <w:overflowPunct w:val="0"/>
      <w:autoSpaceDE w:val="0"/>
      <w:autoSpaceDN w:val="0"/>
      <w:adjustRightInd w:val="0"/>
      <w:spacing w:after="360" w:line="480" w:lineRule="auto"/>
      <w:ind w:firstLine="720"/>
      <w:textAlignment w:val="baseline"/>
    </w:pPr>
    <w:rPr>
      <w:szCs w:val="20"/>
    </w:rPr>
  </w:style>
  <w:style w:type="paragraph" w:customStyle="1" w:styleId="subhead3">
    <w:name w:val="sub_head3"/>
    <w:basedOn w:val="Normal"/>
    <w:rsid w:val="0045493E"/>
    <w:pPr>
      <w:spacing w:after="120" w:line="360" w:lineRule="auto"/>
    </w:pPr>
    <w:rPr>
      <w:rFonts w:ascii="Times Armenian" w:hAnsi="Times Armenian"/>
      <w:i/>
      <w:u w:val="single"/>
      <w:lang w:eastAsia="ru-RU"/>
    </w:rPr>
  </w:style>
  <w:style w:type="paragraph" w:customStyle="1" w:styleId="StyleHeading2ParanumTextLeft">
    <w:name w:val="Style Heading 2ParanumText + Left"/>
    <w:basedOn w:val="Heading2"/>
    <w:rsid w:val="0045493E"/>
    <w:pPr>
      <w:tabs>
        <w:tab w:val="left" w:pos="360"/>
        <w:tab w:val="left" w:pos="1440"/>
      </w:tabs>
      <w:spacing w:before="120" w:after="120"/>
      <w:ind w:left="1440"/>
    </w:pPr>
    <w:rPr>
      <w:rFonts w:ascii="Times Armenian" w:hAnsi="Times Armenian"/>
      <w:b w:val="0"/>
      <w:bCs w:val="0"/>
      <w:kern w:val="28"/>
      <w:sz w:val="28"/>
      <w:szCs w:val="20"/>
      <w:lang w:val="en-GB"/>
    </w:rPr>
  </w:style>
  <w:style w:type="paragraph" w:customStyle="1" w:styleId="annexedhead">
    <w:name w:val="annexed head"/>
    <w:basedOn w:val="Heading2"/>
    <w:rsid w:val="0045493E"/>
    <w:pPr>
      <w:numPr>
        <w:ilvl w:val="1"/>
        <w:numId w:val="9"/>
      </w:numPr>
      <w:spacing w:before="120" w:after="120"/>
    </w:pPr>
    <w:rPr>
      <w:rFonts w:ascii="Times Armenian" w:hAnsi="Times Armenian"/>
      <w:b w:val="0"/>
      <w:kern w:val="28"/>
      <w:sz w:val="28"/>
      <w:szCs w:val="20"/>
      <w:lang w:val="en-GB"/>
    </w:rPr>
  </w:style>
  <w:style w:type="paragraph" w:customStyle="1" w:styleId="Tabletitle">
    <w:name w:val="Table_title"/>
    <w:basedOn w:val="Normal"/>
    <w:rsid w:val="0045493E"/>
    <w:pPr>
      <w:tabs>
        <w:tab w:val="left" w:pos="9626"/>
        <w:tab w:val="left" w:pos="10916"/>
        <w:tab w:val="left" w:pos="12206"/>
        <w:tab w:val="left" w:pos="13496"/>
      </w:tabs>
      <w:ind w:left="108"/>
    </w:pPr>
    <w:rPr>
      <w:rFonts w:ascii="Times Armenian" w:hAnsi="Times Armenian" w:cs="Arial"/>
      <w:b/>
      <w:bCs/>
      <w:lang w:eastAsia="ru-RU"/>
    </w:rPr>
  </w:style>
  <w:style w:type="paragraph" w:customStyle="1" w:styleId="StyleHeading3CenteredtextLinespacingsingle">
    <w:name w:val="Style Heading 3Centered(text) + Line spacing:  single"/>
    <w:basedOn w:val="Heading3"/>
    <w:rsid w:val="0045493E"/>
    <w:pPr>
      <w:numPr>
        <w:ilvl w:val="2"/>
        <w:numId w:val="9"/>
      </w:numPr>
      <w:spacing w:before="0"/>
    </w:pPr>
    <w:rPr>
      <w:rFonts w:ascii="Times Armenian" w:hAnsi="Times Armenian"/>
      <w:bCs/>
      <w:i/>
      <w:iCs/>
      <w:spacing w:val="-5"/>
      <w:lang w:val="en-GB"/>
    </w:rPr>
  </w:style>
  <w:style w:type="paragraph" w:customStyle="1" w:styleId="Titlefigure">
    <w:name w:val="Title_figure"/>
    <w:basedOn w:val="Caption"/>
    <w:next w:val="Normal"/>
    <w:rsid w:val="0045493E"/>
    <w:rPr>
      <w:rFonts w:ascii="Times Armenian" w:hAnsi="Times Armenian"/>
      <w:b/>
      <w:bCs/>
      <w:lang w:eastAsia="ru-RU"/>
    </w:rPr>
  </w:style>
  <w:style w:type="character" w:customStyle="1" w:styleId="CharChar152">
    <w:name w:val="Char Char152"/>
    <w:rsid w:val="0045493E"/>
    <w:rPr>
      <w:sz w:val="36"/>
      <w:lang w:val="en-GB" w:eastAsia="en-US" w:bidi="ar-SA"/>
    </w:rPr>
  </w:style>
  <w:style w:type="character" w:customStyle="1" w:styleId="CharChar13">
    <w:name w:val="Char Char13"/>
    <w:rsid w:val="0045493E"/>
    <w:rPr>
      <w:sz w:val="22"/>
      <w:lang w:val="en-GB" w:eastAsia="en-US" w:bidi="ar-SA"/>
    </w:rPr>
  </w:style>
  <w:style w:type="character" w:customStyle="1" w:styleId="CharChar123">
    <w:name w:val="Char Char123"/>
    <w:rsid w:val="0045493E"/>
    <w:rPr>
      <w:sz w:val="22"/>
      <w:lang w:val="en-GB" w:eastAsia="en-US" w:bidi="ar-SA"/>
    </w:rPr>
  </w:style>
  <w:style w:type="character" w:customStyle="1" w:styleId="CharChar102">
    <w:name w:val="Char Char102"/>
    <w:rsid w:val="0045493E"/>
    <w:rPr>
      <w:rFonts w:ascii="Times Armenian" w:hAnsi="Times Armenian"/>
      <w:color w:val="993300"/>
      <w:sz w:val="22"/>
      <w:szCs w:val="24"/>
      <w:lang w:val="hy-AM" w:eastAsia="en-US" w:bidi="ar-SA"/>
    </w:rPr>
  </w:style>
  <w:style w:type="character" w:customStyle="1" w:styleId="CharChar9">
    <w:name w:val="Char Char9"/>
    <w:rsid w:val="0045493E"/>
    <w:rPr>
      <w:rFonts w:ascii="Times Armenian" w:hAnsi="Times Armenian"/>
      <w:b/>
      <w:i/>
      <w:sz w:val="24"/>
      <w:u w:val="single"/>
      <w:lang w:val="hy-AM" w:eastAsia="en-US" w:bidi="ar-SA"/>
    </w:rPr>
  </w:style>
  <w:style w:type="character" w:customStyle="1" w:styleId="BodyTextIndentChar2">
    <w:name w:val="Body Text Indent Char2"/>
    <w:aliases w:val="(Table Source)1 Char1"/>
    <w:locked/>
    <w:rsid w:val="0045493E"/>
    <w:rPr>
      <w:rFonts w:ascii="Times New Roman" w:hAnsi="Times New Roman" w:cs="Times New Roman"/>
      <w:sz w:val="20"/>
      <w:szCs w:val="20"/>
      <w:lang w:val="en-GB"/>
    </w:rPr>
  </w:style>
  <w:style w:type="character" w:customStyle="1" w:styleId="CharChar132">
    <w:name w:val="Char Char132"/>
    <w:rsid w:val="0045493E"/>
    <w:rPr>
      <w:sz w:val="22"/>
      <w:lang w:val="en-GB" w:eastAsia="en-US"/>
    </w:rPr>
  </w:style>
  <w:style w:type="character" w:customStyle="1" w:styleId="CharChar92">
    <w:name w:val="Char Char92"/>
    <w:rsid w:val="0045493E"/>
    <w:rPr>
      <w:rFonts w:ascii="Times Armenian" w:hAnsi="Times Armenian"/>
      <w:b/>
      <w:i/>
      <w:sz w:val="24"/>
      <w:u w:val="single"/>
      <w:lang w:val="hy-AM" w:eastAsia="en-US"/>
    </w:rPr>
  </w:style>
  <w:style w:type="paragraph" w:customStyle="1" w:styleId="font11">
    <w:name w:val="font11"/>
    <w:basedOn w:val="Normal"/>
    <w:rsid w:val="0045493E"/>
    <w:pPr>
      <w:spacing w:before="100" w:after="100"/>
    </w:pPr>
    <w:rPr>
      <w:rFonts w:eastAsia="SimSun"/>
      <w:color w:val="000000"/>
      <w:sz w:val="16"/>
      <w:szCs w:val="16"/>
    </w:rPr>
  </w:style>
  <w:style w:type="paragraph" w:customStyle="1" w:styleId="font12">
    <w:name w:val="font12"/>
    <w:basedOn w:val="Normal"/>
    <w:rsid w:val="0045493E"/>
    <w:pPr>
      <w:spacing w:before="100" w:after="100"/>
    </w:pPr>
    <w:rPr>
      <w:rFonts w:eastAsia="SimSun"/>
      <w:color w:val="000000"/>
      <w:sz w:val="16"/>
      <w:szCs w:val="16"/>
    </w:rPr>
  </w:style>
  <w:style w:type="paragraph" w:customStyle="1" w:styleId="font13">
    <w:name w:val="font13"/>
    <w:basedOn w:val="Normal"/>
    <w:rsid w:val="0045493E"/>
    <w:pPr>
      <w:spacing w:before="100" w:after="100"/>
    </w:pPr>
    <w:rPr>
      <w:rFonts w:eastAsia="SimSun"/>
      <w:b/>
      <w:bCs/>
      <w:color w:val="000000"/>
      <w:sz w:val="16"/>
      <w:szCs w:val="16"/>
    </w:rPr>
  </w:style>
  <w:style w:type="paragraph" w:customStyle="1" w:styleId="font14">
    <w:name w:val="font14"/>
    <w:basedOn w:val="Normal"/>
    <w:rsid w:val="0045493E"/>
    <w:pPr>
      <w:spacing w:before="100" w:after="100"/>
    </w:pPr>
    <w:rPr>
      <w:rFonts w:eastAsia="SimSun"/>
      <w:i/>
      <w:iCs/>
      <w:sz w:val="20"/>
      <w:szCs w:val="20"/>
    </w:rPr>
  </w:style>
  <w:style w:type="paragraph" w:customStyle="1" w:styleId="font15">
    <w:name w:val="font15"/>
    <w:basedOn w:val="Normal"/>
    <w:rsid w:val="0045493E"/>
    <w:pPr>
      <w:spacing w:before="100" w:after="100"/>
    </w:pPr>
    <w:rPr>
      <w:rFonts w:eastAsia="SimSun"/>
      <w:i/>
      <w:iCs/>
      <w:sz w:val="28"/>
      <w:szCs w:val="28"/>
    </w:rPr>
  </w:style>
  <w:style w:type="character" w:customStyle="1" w:styleId="Heading2Char2">
    <w:name w:val="Heading 2 Char2"/>
    <w:aliases w:val="Paranum Char2,(Chapter) Char2,(Chapter) Char Char"/>
    <w:locked/>
    <w:rsid w:val="0045493E"/>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45493E"/>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45493E"/>
    <w:rPr>
      <w:rFonts w:ascii="Times New Roman" w:hAnsi="Times New Roman" w:cs="Times New Roman"/>
      <w:sz w:val="24"/>
    </w:rPr>
  </w:style>
  <w:style w:type="character" w:customStyle="1" w:styleId="fsl">
    <w:name w:val="fsl"/>
    <w:rsid w:val="0045493E"/>
  </w:style>
  <w:style w:type="paragraph" w:styleId="IntenseQuote">
    <w:name w:val="Intense Quote"/>
    <w:basedOn w:val="Normal"/>
    <w:next w:val="Normal"/>
    <w:link w:val="IntenseQuoteChar"/>
    <w:qFormat/>
    <w:rsid w:val="0045493E"/>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rsid w:val="0045493E"/>
    <w:rPr>
      <w:b/>
      <w:bCs/>
      <w:i/>
      <w:iCs/>
    </w:rPr>
  </w:style>
  <w:style w:type="character" w:customStyle="1" w:styleId="SubtleEmphasis1">
    <w:name w:val="Subtle Emphasis1"/>
    <w:qFormat/>
    <w:rsid w:val="0045493E"/>
    <w:rPr>
      <w:i/>
      <w:iCs/>
    </w:rPr>
  </w:style>
  <w:style w:type="character" w:customStyle="1" w:styleId="SubtleReference1">
    <w:name w:val="Subtle Reference1"/>
    <w:qFormat/>
    <w:rsid w:val="0045493E"/>
    <w:rPr>
      <w:smallCaps/>
    </w:rPr>
  </w:style>
  <w:style w:type="character" w:customStyle="1" w:styleId="IntenseReference1">
    <w:name w:val="Intense Reference1"/>
    <w:qFormat/>
    <w:rsid w:val="0045493E"/>
    <w:rPr>
      <w:smallCaps/>
      <w:spacing w:val="5"/>
      <w:u w:val="single"/>
    </w:rPr>
  </w:style>
  <w:style w:type="character" w:customStyle="1" w:styleId="BookTitle1">
    <w:name w:val="Book Title1"/>
    <w:qFormat/>
    <w:rsid w:val="0045493E"/>
    <w:rPr>
      <w:i/>
      <w:iCs/>
      <w:smallCaps/>
      <w:spacing w:val="5"/>
    </w:rPr>
  </w:style>
  <w:style w:type="paragraph" w:customStyle="1" w:styleId="ColorfulList-Accent11">
    <w:name w:val="Colorful List - Accent 11"/>
    <w:basedOn w:val="Normal"/>
    <w:qFormat/>
    <w:rsid w:val="0045493E"/>
    <w:pPr>
      <w:spacing w:after="200" w:line="276" w:lineRule="auto"/>
      <w:ind w:left="720"/>
      <w:contextualSpacing/>
    </w:pPr>
    <w:rPr>
      <w:rFonts w:eastAsia="Calibri"/>
      <w:lang w:val="ru-RU"/>
    </w:rPr>
  </w:style>
  <w:style w:type="character" w:customStyle="1" w:styleId="spellingerror">
    <w:name w:val="spellingerror"/>
    <w:rsid w:val="0045493E"/>
  </w:style>
  <w:style w:type="character" w:customStyle="1" w:styleId="CharChar31">
    <w:name w:val="Char Char31"/>
    <w:locked/>
    <w:rsid w:val="0045493E"/>
    <w:rPr>
      <w:sz w:val="22"/>
      <w:lang w:val="en-GB" w:eastAsia="en-US"/>
    </w:rPr>
  </w:style>
  <w:style w:type="character" w:customStyle="1" w:styleId="CharChar213">
    <w:name w:val="Char Char213"/>
    <w:locked/>
    <w:rsid w:val="0045493E"/>
    <w:rPr>
      <w:sz w:val="22"/>
      <w:lang w:val="en-GB" w:eastAsia="en-US"/>
    </w:rPr>
  </w:style>
  <w:style w:type="character" w:customStyle="1" w:styleId="red-block">
    <w:name w:val="red-block"/>
    <w:rsid w:val="0045493E"/>
    <w:rPr>
      <w:rFonts w:cs="Times New Roman"/>
    </w:rPr>
  </w:style>
  <w:style w:type="character" w:customStyle="1" w:styleId="accent">
    <w:name w:val="accent"/>
    <w:rsid w:val="0045493E"/>
    <w:rPr>
      <w:rFonts w:cs="Times New Roman"/>
    </w:rPr>
  </w:style>
  <w:style w:type="character" w:customStyle="1" w:styleId="CharChar222">
    <w:name w:val="Char Char222"/>
    <w:rsid w:val="0045493E"/>
    <w:rPr>
      <w:rFonts w:cs="Times New Roman"/>
      <w:lang w:val="ru-RU" w:eastAsia="ru-RU" w:bidi="ar-SA"/>
    </w:rPr>
  </w:style>
  <w:style w:type="character" w:customStyle="1" w:styleId="FontStyle37">
    <w:name w:val="Font Style37"/>
    <w:rsid w:val="0045493E"/>
    <w:rPr>
      <w:rFonts w:ascii="Sylfaen" w:hAnsi="Sylfaen"/>
      <w:sz w:val="22"/>
    </w:rPr>
  </w:style>
  <w:style w:type="character" w:customStyle="1" w:styleId="CharChar161">
    <w:name w:val="Char Char161"/>
    <w:locked/>
    <w:rsid w:val="0045493E"/>
    <w:rPr>
      <w:rFonts w:ascii="Cambria" w:hAnsi="Cambria"/>
      <w:b/>
      <w:kern w:val="32"/>
      <w:sz w:val="32"/>
      <w:lang w:val="fr-FR" w:eastAsia="en-US"/>
    </w:rPr>
  </w:style>
  <w:style w:type="paragraph" w:customStyle="1" w:styleId="StyleHeading3Sub-ChapterCenteredtextHeading3CharCharC1">
    <w:name w:val="Style Heading 3(Sub-Chapter)Centered(text)Heading 3 Char Char C...1"/>
    <w:basedOn w:val="Heading3"/>
    <w:rsid w:val="0045493E"/>
    <w:rPr>
      <w:u w:val="single"/>
    </w:rPr>
  </w:style>
  <w:style w:type="paragraph" w:customStyle="1" w:styleId="1MTEF">
    <w:name w:val="1. MTEF"/>
    <w:basedOn w:val="StyleStyleHeading1SectionSectionHeadingText11Chapterhead31"/>
    <w:rsid w:val="0045493E"/>
    <w:rPr>
      <w:b w:val="0"/>
      <w:bCs/>
    </w:rPr>
  </w:style>
  <w:style w:type="character" w:customStyle="1" w:styleId="CharChar182">
    <w:name w:val="Char Char182"/>
    <w:rsid w:val="0045493E"/>
    <w:rPr>
      <w:rFonts w:ascii="Arial Armenian" w:eastAsia="Times New Roman" w:hAnsi="Arial Armenian"/>
      <w:i/>
      <w:sz w:val="22"/>
      <w:u w:val="single"/>
      <w:lang w:val="en-GB"/>
    </w:rPr>
  </w:style>
  <w:style w:type="character" w:customStyle="1" w:styleId="CharChar192">
    <w:name w:val="Char Char192"/>
    <w:rsid w:val="0045493E"/>
    <w:rPr>
      <w:b/>
      <w:sz w:val="32"/>
      <w:lang w:val="en-GB" w:eastAsia="en-US" w:bidi="ar-SA"/>
    </w:rPr>
  </w:style>
  <w:style w:type="character" w:customStyle="1" w:styleId="CharChar202">
    <w:name w:val="Char Char202"/>
    <w:rsid w:val="0045493E"/>
    <w:rPr>
      <w:rFonts w:ascii="Garamond" w:hAnsi="Garamond"/>
      <w:i/>
      <w:spacing w:val="-5"/>
      <w:sz w:val="28"/>
      <w:lang w:val="en-GB" w:eastAsia="en-US" w:bidi="ar-SA"/>
    </w:rPr>
  </w:style>
  <w:style w:type="character" w:customStyle="1" w:styleId="CharChar172">
    <w:name w:val="Char Char172"/>
    <w:rsid w:val="0045493E"/>
    <w:rPr>
      <w:rFonts w:ascii="Arial Armenian" w:hAnsi="Arial Armenian"/>
      <w:i/>
      <w:sz w:val="22"/>
      <w:u w:val="single"/>
      <w:lang w:val="en-GB" w:eastAsia="en-US" w:bidi="ar-SA"/>
    </w:rPr>
  </w:style>
  <w:style w:type="character" w:customStyle="1" w:styleId="CharChar282">
    <w:name w:val="Char Char282"/>
    <w:rsid w:val="0045493E"/>
    <w:rPr>
      <w:rFonts w:ascii="Arial Armenian" w:hAnsi="Arial Armenian"/>
      <w:i/>
      <w:sz w:val="22"/>
      <w:u w:val="single"/>
      <w:lang w:val="en-GB"/>
    </w:rPr>
  </w:style>
  <w:style w:type="character" w:customStyle="1" w:styleId="CharChar272">
    <w:name w:val="Char Char272"/>
    <w:rsid w:val="0045493E"/>
    <w:rPr>
      <w:rFonts w:ascii="Garamond" w:hAnsi="Garamond"/>
      <w:i/>
      <w:spacing w:val="-5"/>
      <w:sz w:val="28"/>
      <w:shd w:val="pct5" w:color="auto" w:fill="auto"/>
      <w:lang w:val="en-GB"/>
    </w:rPr>
  </w:style>
  <w:style w:type="character" w:customStyle="1" w:styleId="CharChar262">
    <w:name w:val="Char Char262"/>
    <w:rsid w:val="0045493E"/>
    <w:rPr>
      <w:rFonts w:ascii="Arial Black" w:hAnsi="Arial Black"/>
      <w:caps/>
      <w:spacing w:val="60"/>
      <w:position w:val="4"/>
      <w:sz w:val="14"/>
      <w:lang w:val="en-GB"/>
    </w:rPr>
  </w:style>
  <w:style w:type="character" w:customStyle="1" w:styleId="CharChar252">
    <w:name w:val="Char Char252"/>
    <w:rsid w:val="0045493E"/>
    <w:rPr>
      <w:rFonts w:ascii="Garamond" w:hAnsi="Garamond"/>
      <w:b/>
      <w:i/>
      <w:kern w:val="28"/>
      <w:lang w:val="en-GB"/>
    </w:rPr>
  </w:style>
  <w:style w:type="character" w:customStyle="1" w:styleId="CharChar242">
    <w:name w:val="Char Char242"/>
    <w:rsid w:val="0045493E"/>
    <w:rPr>
      <w:rFonts w:ascii="Arial Armenian" w:hAnsi="Arial Armenian"/>
      <w:lang w:val="en-US" w:eastAsia="en-US" w:bidi="ar-SA"/>
    </w:rPr>
  </w:style>
  <w:style w:type="character" w:customStyle="1" w:styleId="CharChar232">
    <w:name w:val="Char Char232"/>
    <w:rsid w:val="0045493E"/>
    <w:rPr>
      <w:rFonts w:ascii="Arial Armenian" w:hAnsi="Arial Armenian"/>
      <w:lang w:val="en-GB" w:eastAsia="en-US" w:bidi="ar-SA"/>
    </w:rPr>
  </w:style>
  <w:style w:type="character" w:customStyle="1" w:styleId="CharChar35">
    <w:name w:val="Char Char35"/>
    <w:rsid w:val="0045493E"/>
    <w:rPr>
      <w:rFonts w:ascii="Arial Armenian" w:hAnsi="Arial Armenian"/>
      <w:i/>
      <w:sz w:val="22"/>
      <w:u w:val="single"/>
      <w:lang w:val="en-GB"/>
    </w:rPr>
  </w:style>
  <w:style w:type="character" w:customStyle="1" w:styleId="CharChar34">
    <w:name w:val="Char Char34"/>
    <w:rsid w:val="0045493E"/>
    <w:rPr>
      <w:rFonts w:ascii="Garamond" w:hAnsi="Garamond"/>
      <w:i/>
      <w:spacing w:val="-5"/>
      <w:sz w:val="28"/>
      <w:shd w:val="pct5" w:color="auto" w:fill="auto"/>
      <w:lang w:val="en-GB"/>
    </w:rPr>
  </w:style>
  <w:style w:type="character" w:customStyle="1" w:styleId="CharChar33">
    <w:name w:val="Char Char33"/>
    <w:rsid w:val="0045493E"/>
    <w:rPr>
      <w:rFonts w:ascii="Arial Black" w:hAnsi="Arial Black"/>
      <w:caps/>
      <w:spacing w:val="60"/>
      <w:position w:val="4"/>
      <w:sz w:val="14"/>
      <w:lang w:val="en-GB"/>
    </w:rPr>
  </w:style>
  <w:style w:type="character" w:customStyle="1" w:styleId="CharChar32">
    <w:name w:val="Char Char32"/>
    <w:rsid w:val="0045493E"/>
    <w:rPr>
      <w:rFonts w:ascii="Garamond" w:hAnsi="Garamond"/>
      <w:b/>
      <w:i/>
      <w:kern w:val="28"/>
      <w:lang w:val="en-GB"/>
    </w:rPr>
  </w:style>
  <w:style w:type="character" w:customStyle="1" w:styleId="CharChar312">
    <w:name w:val="Char Char312"/>
    <w:rsid w:val="0045493E"/>
    <w:rPr>
      <w:rFonts w:ascii="Arial Armenian" w:hAnsi="Arial Armenian"/>
      <w:lang w:val="en-US" w:eastAsia="en-US" w:bidi="ar-SA"/>
    </w:rPr>
  </w:style>
  <w:style w:type="character" w:customStyle="1" w:styleId="CharChar30">
    <w:name w:val="Char Char30"/>
    <w:rsid w:val="0045493E"/>
    <w:rPr>
      <w:rFonts w:ascii="Arial Armenian" w:hAnsi="Arial Armenian"/>
      <w:lang w:val="en-GB" w:eastAsia="en-US" w:bidi="ar-SA"/>
    </w:rPr>
  </w:style>
  <w:style w:type="character" w:customStyle="1" w:styleId="CharChar29">
    <w:name w:val="Char Char29"/>
    <w:rsid w:val="0045493E"/>
    <w:rPr>
      <w:rFonts w:ascii="Arial Armenian" w:hAnsi="Arial Armenian"/>
      <w:lang w:val="ru-RU" w:eastAsia="ru-RU" w:bidi="ar-SA"/>
    </w:rPr>
  </w:style>
  <w:style w:type="paragraph" w:customStyle="1" w:styleId="CharChar5CharCharCharCharCharChar">
    <w:name w:val="Char Char5 Char Char Char Char Char Char"/>
    <w:basedOn w:val="Normal"/>
    <w:rsid w:val="0045493E"/>
    <w:pPr>
      <w:tabs>
        <w:tab w:val="left" w:pos="709"/>
      </w:tabs>
    </w:pPr>
    <w:rPr>
      <w:rFonts w:ascii="Tahoma" w:hAnsi="Tahoma"/>
      <w:lang w:val="pl-PL" w:eastAsia="pl-PL"/>
    </w:rPr>
  </w:style>
  <w:style w:type="paragraph" w:customStyle="1" w:styleId="CharChar5CharCharCharChar">
    <w:name w:val="Char Char5 Char Char Char Char"/>
    <w:basedOn w:val="Normal"/>
    <w:rsid w:val="0045493E"/>
    <w:pPr>
      <w:tabs>
        <w:tab w:val="left" w:pos="709"/>
      </w:tabs>
    </w:pPr>
    <w:rPr>
      <w:rFonts w:ascii="Tahoma" w:hAnsi="Tahoma"/>
      <w:lang w:val="pl-PL" w:eastAsia="pl-PL"/>
    </w:rPr>
  </w:style>
  <w:style w:type="paragraph" w:customStyle="1" w:styleId="CharChar5CharChar">
    <w:name w:val="Char Char5 Char Char"/>
    <w:basedOn w:val="Normal"/>
    <w:rsid w:val="0045493E"/>
    <w:pPr>
      <w:tabs>
        <w:tab w:val="left" w:pos="709"/>
      </w:tabs>
    </w:pPr>
    <w:rPr>
      <w:rFonts w:ascii="Tahoma" w:hAnsi="Tahoma"/>
      <w:lang w:val="pl-PL" w:eastAsia="pl-PL"/>
    </w:rPr>
  </w:style>
  <w:style w:type="character" w:customStyle="1" w:styleId="tocnumber">
    <w:name w:val="tocnumber"/>
    <w:rsid w:val="0045493E"/>
  </w:style>
  <w:style w:type="character" w:customStyle="1" w:styleId="toctext">
    <w:name w:val="toctext"/>
    <w:rsid w:val="0045493E"/>
  </w:style>
  <w:style w:type="character" w:customStyle="1" w:styleId="mw-editsection">
    <w:name w:val="mw-editsection"/>
    <w:rsid w:val="0045493E"/>
  </w:style>
  <w:style w:type="character" w:customStyle="1" w:styleId="mw-editsection-bracket">
    <w:name w:val="mw-editsection-bracket"/>
    <w:rsid w:val="0045493E"/>
  </w:style>
  <w:style w:type="character" w:customStyle="1" w:styleId="mw-editsection-divider">
    <w:name w:val="mw-editsection-divider"/>
    <w:rsid w:val="0045493E"/>
  </w:style>
  <w:style w:type="character" w:customStyle="1" w:styleId="reference-text">
    <w:name w:val="reference-text"/>
    <w:rsid w:val="0045493E"/>
  </w:style>
  <w:style w:type="paragraph" w:customStyle="1" w:styleId="z-TopofForm1">
    <w:name w:val="z-Top of Form1"/>
    <w:basedOn w:val="Normal"/>
    <w:next w:val="Normal"/>
    <w:link w:val="z-"/>
    <w:uiPriority w:val="99"/>
    <w:unhideWhenUsed/>
    <w:rsid w:val="0045493E"/>
    <w:pPr>
      <w:pBdr>
        <w:bottom w:val="single" w:sz="6" w:space="1" w:color="auto"/>
      </w:pBdr>
      <w:jc w:val="center"/>
    </w:pPr>
    <w:rPr>
      <w:rFonts w:ascii="Arial" w:hAnsi="Arial"/>
      <w:vanish/>
      <w:sz w:val="16"/>
      <w:szCs w:val="16"/>
    </w:rPr>
  </w:style>
  <w:style w:type="character" w:customStyle="1" w:styleId="z-">
    <w:name w:val="z-Начало формы Знак"/>
    <w:link w:val="z-TopofForm1"/>
    <w:uiPriority w:val="99"/>
    <w:rsid w:val="0045493E"/>
    <w:rPr>
      <w:rFonts w:ascii="Arial" w:hAnsi="Arial" w:cs="Arial"/>
      <w:vanish/>
      <w:sz w:val="16"/>
      <w:szCs w:val="16"/>
    </w:rPr>
  </w:style>
  <w:style w:type="paragraph" w:customStyle="1" w:styleId="z-BottomofForm1">
    <w:name w:val="z-Bottom of Form1"/>
    <w:basedOn w:val="Normal"/>
    <w:next w:val="Normal"/>
    <w:link w:val="z-0"/>
    <w:uiPriority w:val="99"/>
    <w:unhideWhenUsed/>
    <w:rsid w:val="0045493E"/>
    <w:pPr>
      <w:pBdr>
        <w:top w:val="single" w:sz="6" w:space="1" w:color="auto"/>
      </w:pBdr>
      <w:jc w:val="center"/>
    </w:pPr>
    <w:rPr>
      <w:rFonts w:ascii="Arial" w:hAnsi="Arial"/>
      <w:vanish/>
      <w:sz w:val="16"/>
      <w:szCs w:val="16"/>
    </w:rPr>
  </w:style>
  <w:style w:type="character" w:customStyle="1" w:styleId="z-0">
    <w:name w:val="z-Конец формы Знак"/>
    <w:link w:val="z-BottomofForm1"/>
    <w:uiPriority w:val="99"/>
    <w:rsid w:val="0045493E"/>
    <w:rPr>
      <w:rFonts w:ascii="Arial" w:hAnsi="Arial" w:cs="Arial"/>
      <w:vanish/>
      <w:sz w:val="16"/>
      <w:szCs w:val="16"/>
    </w:rPr>
  </w:style>
  <w:style w:type="character" w:customStyle="1" w:styleId="wb-langlinks-edit">
    <w:name w:val="wb-langlinks-edit"/>
    <w:rsid w:val="0045493E"/>
  </w:style>
  <w:style w:type="character" w:customStyle="1" w:styleId="noprint">
    <w:name w:val="noprint"/>
    <w:rsid w:val="0045493E"/>
  </w:style>
  <w:style w:type="character" w:customStyle="1" w:styleId="pg">
    <w:name w:val="pg"/>
    <w:rsid w:val="0045493E"/>
  </w:style>
  <w:style w:type="paragraph" w:customStyle="1" w:styleId="DecimalAligned">
    <w:name w:val="Decimal Aligned"/>
    <w:basedOn w:val="Normal"/>
    <w:uiPriority w:val="40"/>
    <w:qFormat/>
    <w:rsid w:val="0045493E"/>
    <w:pPr>
      <w:tabs>
        <w:tab w:val="decimal" w:pos="360"/>
      </w:tabs>
      <w:spacing w:after="200" w:line="276" w:lineRule="auto"/>
    </w:pPr>
    <w:rPr>
      <w:rFonts w:eastAsia="Calibri"/>
      <w:lang w:eastAsia="ja-JP"/>
    </w:rPr>
  </w:style>
  <w:style w:type="character" w:customStyle="1" w:styleId="HTMLPreformattedChar">
    <w:name w:val="HTML Preformatted Char"/>
    <w:link w:val="HTMLPreformatted"/>
    <w:uiPriority w:val="99"/>
    <w:rsid w:val="0045493E"/>
    <w:rPr>
      <w:rFonts w:ascii="Arial Unicode" w:hAnsi="Arial Unicode" w:cs="Courier New"/>
    </w:rPr>
  </w:style>
  <w:style w:type="paragraph" w:customStyle="1" w:styleId="paragraph">
    <w:name w:val="paragraph"/>
    <w:basedOn w:val="Normal"/>
    <w:rsid w:val="0045493E"/>
    <w:pPr>
      <w:spacing w:before="100" w:beforeAutospacing="1" w:after="100" w:afterAutospacing="1"/>
    </w:pPr>
  </w:style>
  <w:style w:type="character" w:customStyle="1" w:styleId="normaltextrun">
    <w:name w:val="normaltextrun"/>
    <w:rsid w:val="0045493E"/>
  </w:style>
  <w:style w:type="paragraph" w:customStyle="1" w:styleId="StyleCaption11pt">
    <w:name w:val="Style Caption + 11 pt"/>
    <w:basedOn w:val="Caption"/>
    <w:link w:val="StyleCaption11ptChar"/>
    <w:rsid w:val="0045493E"/>
    <w:pPr>
      <w:spacing w:before="360" w:after="120"/>
      <w:ind w:left="1350" w:hanging="1350"/>
    </w:pPr>
    <w:rPr>
      <w:bCs/>
      <w:lang w:eastAsia="ru-RU"/>
    </w:rPr>
  </w:style>
  <w:style w:type="character" w:customStyle="1" w:styleId="StyleCaption11ptChar">
    <w:name w:val="Style Caption + 11 pt Char"/>
    <w:link w:val="StyleCaption11pt"/>
    <w:rsid w:val="0045493E"/>
    <w:rPr>
      <w:rFonts w:ascii="GHEA Grapalat" w:hAnsi="GHEA Grapalat"/>
      <w:b/>
      <w:bCs/>
      <w:lang w:eastAsia="ru-RU"/>
    </w:rPr>
  </w:style>
  <w:style w:type="paragraph" w:customStyle="1" w:styleId="StyleHeading3GHEAGrapalatJustified">
    <w:name w:val="Style Heading 3 + GHEA Grapalat Justified"/>
    <w:basedOn w:val="Heading3"/>
    <w:rsid w:val="0045493E"/>
    <w:pPr>
      <w:tabs>
        <w:tab w:val="left" w:pos="384"/>
        <w:tab w:val="left" w:pos="737"/>
      </w:tabs>
      <w:spacing w:before="360" w:after="240"/>
      <w:ind w:left="1248" w:hanging="708"/>
    </w:pPr>
    <w:rPr>
      <w:lang w:val="en-GB" w:eastAsia="ru-RU"/>
    </w:rPr>
  </w:style>
  <w:style w:type="paragraph" w:customStyle="1" w:styleId="TitleNew">
    <w:name w:val="Title New"/>
    <w:basedOn w:val="Normal"/>
    <w:rsid w:val="0045493E"/>
    <w:pPr>
      <w:widowControl w:val="0"/>
      <w:spacing w:line="360" w:lineRule="atLeast"/>
    </w:pPr>
    <w:rPr>
      <w:rFonts w:eastAsia="ヒラギノ角ゴ Pro W3"/>
      <w:b/>
      <w:color w:val="000000"/>
      <w:sz w:val="44"/>
    </w:rPr>
  </w:style>
  <w:style w:type="character" w:customStyle="1" w:styleId="NormalWebChar">
    <w:name w:val="Normal (Web) Char"/>
    <w:aliases w:val="webb Char,Обычный (веб) Знак Знак Char,Знак Знак Знак Знак Char,Обычный (веб) Знак Знак Знак Char,Знак Знак Знак1 Знак Знак Знак Знак Знак Char, webb Char"/>
    <w:link w:val="NormalWeb"/>
    <w:locked/>
    <w:rsid w:val="0045493E"/>
    <w:rPr>
      <w:sz w:val="24"/>
    </w:rPr>
  </w:style>
  <w:style w:type="paragraph" w:customStyle="1" w:styleId="37">
    <w:name w:val="Абзац списка3"/>
    <w:basedOn w:val="Normal"/>
    <w:uiPriority w:val="99"/>
    <w:qFormat/>
    <w:rsid w:val="0045493E"/>
    <w:pPr>
      <w:ind w:left="720"/>
      <w:contextualSpacing/>
    </w:pPr>
    <w:rPr>
      <w:lang w:val="ru-RU" w:eastAsia="ru-RU"/>
    </w:rPr>
  </w:style>
  <w:style w:type="character" w:customStyle="1" w:styleId="38">
    <w:name w:val="Основной текст3"/>
    <w:rsid w:val="0045493E"/>
    <w:rPr>
      <w:rFonts w:ascii="Arial Unicode MS" w:eastAsia="Arial Unicode MS" w:hAnsi="Arial Unicode MS" w:cs="Arial Unicode MS"/>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45493E"/>
    <w:pPr>
      <w:autoSpaceDE w:val="0"/>
      <w:autoSpaceDN w:val="0"/>
      <w:adjustRightInd w:val="0"/>
      <w:ind w:firstLine="180"/>
    </w:pPr>
    <w:rPr>
      <w:b/>
      <w:i/>
      <w:lang w:val="hy-AM" w:eastAsia="ru-RU"/>
    </w:rPr>
  </w:style>
  <w:style w:type="character" w:customStyle="1" w:styleId="CommentTextChar2">
    <w:name w:val="Comment Text Char2"/>
    <w:rsid w:val="0045493E"/>
    <w:rPr>
      <w:rFonts w:ascii="Arial Armenian" w:hAnsi="Arial Armenian"/>
      <w:lang w:val="ru-RU" w:eastAsia="ru-RU" w:bidi="ar-SA"/>
    </w:rPr>
  </w:style>
  <w:style w:type="character" w:customStyle="1" w:styleId="BalloonTextChar2">
    <w:name w:val="Balloon Text Char2"/>
    <w:rsid w:val="0045493E"/>
    <w:rPr>
      <w:rFonts w:ascii="Tahoma" w:hAnsi="Tahoma"/>
      <w:sz w:val="16"/>
      <w:szCs w:val="16"/>
      <w:lang w:bidi="ar-SA"/>
    </w:rPr>
  </w:style>
  <w:style w:type="character" w:customStyle="1" w:styleId="Bodytext20">
    <w:name w:val="Body text (2)_"/>
    <w:link w:val="Bodytext23"/>
    <w:uiPriority w:val="99"/>
    <w:locked/>
    <w:rsid w:val="0045493E"/>
    <w:rPr>
      <w:rFonts w:ascii="Tahoma" w:hAnsi="Tahoma" w:cs="Tahoma"/>
      <w:sz w:val="21"/>
      <w:szCs w:val="21"/>
      <w:shd w:val="clear" w:color="auto" w:fill="FFFFFF"/>
    </w:rPr>
  </w:style>
  <w:style w:type="paragraph" w:customStyle="1" w:styleId="Bodytext23">
    <w:name w:val="Body text (2)"/>
    <w:basedOn w:val="Normal"/>
    <w:link w:val="Bodytext20"/>
    <w:uiPriority w:val="99"/>
    <w:rsid w:val="0045493E"/>
    <w:pPr>
      <w:widowControl w:val="0"/>
      <w:shd w:val="clear" w:color="auto" w:fill="FFFFFF"/>
      <w:spacing w:before="720" w:line="485" w:lineRule="exact"/>
    </w:pPr>
    <w:rPr>
      <w:rFonts w:ascii="Tahoma" w:hAnsi="Tahoma"/>
      <w:sz w:val="21"/>
      <w:szCs w:val="21"/>
    </w:rPr>
  </w:style>
  <w:style w:type="paragraph" w:customStyle="1" w:styleId="Appendix">
    <w:name w:val="Appendix"/>
    <w:basedOn w:val="Normal"/>
    <w:next w:val="Normal"/>
    <w:uiPriority w:val="6"/>
    <w:qFormat/>
    <w:rsid w:val="0045493E"/>
    <w:pPr>
      <w:spacing w:after="240" w:line="264" w:lineRule="auto"/>
      <w:jc w:val="center"/>
    </w:pPr>
    <w:rPr>
      <w:rFonts w:ascii="Segoe UI" w:eastAsia="SimSun" w:hAnsi="Segoe UI"/>
      <w:b/>
      <w:color w:val="C45911"/>
      <w:sz w:val="32"/>
      <w:szCs w:val="20"/>
    </w:rPr>
  </w:style>
  <w:style w:type="paragraph" w:customStyle="1" w:styleId="dec-date">
    <w:name w:val="dec-date"/>
    <w:basedOn w:val="Normal"/>
    <w:uiPriority w:val="99"/>
    <w:rsid w:val="0045493E"/>
    <w:pPr>
      <w:spacing w:before="100" w:beforeAutospacing="1" w:after="100" w:afterAutospacing="1"/>
    </w:pPr>
  </w:style>
  <w:style w:type="paragraph" w:customStyle="1" w:styleId="39">
    <w:name w:val="Обычный3"/>
    <w:rsid w:val="0045493E"/>
    <w:pPr>
      <w:autoSpaceDE w:val="0"/>
      <w:autoSpaceDN w:val="0"/>
      <w:spacing w:after="160" w:line="259" w:lineRule="auto"/>
    </w:pPr>
    <w:rPr>
      <w:sz w:val="22"/>
      <w:szCs w:val="22"/>
      <w:lang w:val="ru-RU" w:eastAsia="ru-RU"/>
    </w:rPr>
  </w:style>
  <w:style w:type="paragraph" w:customStyle="1" w:styleId="114">
    <w:name w:val="Рецензия11"/>
    <w:hidden/>
    <w:uiPriority w:val="99"/>
    <w:semiHidden/>
    <w:rsid w:val="0045493E"/>
    <w:pPr>
      <w:spacing w:after="160" w:line="259" w:lineRule="auto"/>
    </w:pPr>
    <w:rPr>
      <w:rFonts w:ascii="Arial Armenian" w:hAnsi="Arial Armenian" w:cs="Sylfaen"/>
      <w:sz w:val="24"/>
      <w:szCs w:val="24"/>
      <w:lang w:val="ru-RU" w:eastAsia="ru-RU"/>
    </w:rPr>
  </w:style>
  <w:style w:type="paragraph" w:customStyle="1" w:styleId="1f0">
    <w:name w:val="Заголовок оглавления1"/>
    <w:basedOn w:val="Heading1"/>
    <w:next w:val="Normal"/>
    <w:uiPriority w:val="39"/>
    <w:unhideWhenUsed/>
    <w:qFormat/>
    <w:rsid w:val="0045493E"/>
    <w:pPr>
      <w:spacing w:before="480" w:after="0" w:line="276" w:lineRule="auto"/>
      <w:outlineLvl w:val="9"/>
    </w:pPr>
    <w:rPr>
      <w:rFonts w:ascii="Cambria" w:hAnsi="Cambria"/>
      <w:color w:val="365F91"/>
      <w:sz w:val="28"/>
    </w:rPr>
  </w:style>
  <w:style w:type="paragraph" w:customStyle="1" w:styleId="213">
    <w:name w:val="Цитата 21"/>
    <w:basedOn w:val="Normal"/>
    <w:next w:val="Normal"/>
    <w:uiPriority w:val="29"/>
    <w:qFormat/>
    <w:rsid w:val="0045493E"/>
    <w:rPr>
      <w:i/>
      <w:iCs/>
      <w:color w:val="000000"/>
    </w:rPr>
  </w:style>
  <w:style w:type="character" w:customStyle="1" w:styleId="1f1">
    <w:name w:val="Сильное выделение1"/>
    <w:uiPriority w:val="21"/>
    <w:qFormat/>
    <w:rsid w:val="0045493E"/>
    <w:rPr>
      <w:b/>
      <w:bCs/>
      <w:i/>
      <w:iCs/>
      <w:color w:val="4F81BD"/>
    </w:rPr>
  </w:style>
  <w:style w:type="paragraph" w:customStyle="1" w:styleId="1f2">
    <w:name w:val="Выделенная цитата1"/>
    <w:basedOn w:val="Normal"/>
    <w:next w:val="Normal"/>
    <w:qFormat/>
    <w:rsid w:val="0045493E"/>
    <w:pPr>
      <w:pBdr>
        <w:bottom w:val="single" w:sz="4" w:space="4" w:color="4F81BD"/>
      </w:pBdr>
      <w:spacing w:before="200" w:after="280"/>
      <w:ind w:left="936" w:right="936"/>
    </w:pPr>
    <w:rPr>
      <w:b/>
      <w:bCs/>
      <w:i/>
      <w:iCs/>
      <w:color w:val="4F81BD"/>
    </w:rPr>
  </w:style>
  <w:style w:type="character" w:customStyle="1" w:styleId="1f3">
    <w:name w:val="Слабое выделение1"/>
    <w:qFormat/>
    <w:rsid w:val="0045493E"/>
    <w:rPr>
      <w:rFonts w:cs="Times New Roman"/>
      <w:i/>
      <w:iCs/>
      <w:color w:val="808080"/>
    </w:rPr>
  </w:style>
  <w:style w:type="character" w:customStyle="1" w:styleId="1f4">
    <w:name w:val="Слабая ссылка1"/>
    <w:qFormat/>
    <w:rsid w:val="0045493E"/>
    <w:rPr>
      <w:rFonts w:cs="Times New Roman"/>
      <w:smallCaps/>
      <w:color w:val="C0504D"/>
      <w:u w:val="single"/>
    </w:rPr>
  </w:style>
  <w:style w:type="character" w:customStyle="1" w:styleId="1f5">
    <w:name w:val="Сильная ссылка1"/>
    <w:qFormat/>
    <w:rsid w:val="0045493E"/>
    <w:rPr>
      <w:rFonts w:cs="Times New Roman"/>
      <w:b/>
      <w:bCs/>
      <w:smallCaps/>
      <w:color w:val="C0504D"/>
      <w:spacing w:val="5"/>
      <w:u w:val="single"/>
    </w:rPr>
  </w:style>
  <w:style w:type="character" w:customStyle="1" w:styleId="1f6">
    <w:name w:val="Название книги1"/>
    <w:qFormat/>
    <w:rsid w:val="0045493E"/>
    <w:rPr>
      <w:rFonts w:cs="Times New Roman"/>
      <w:b/>
      <w:bCs/>
      <w:smallCaps/>
      <w:spacing w:val="5"/>
    </w:rPr>
  </w:style>
  <w:style w:type="character" w:customStyle="1" w:styleId="CharChar352">
    <w:name w:val="Char Char352"/>
    <w:rsid w:val="0045493E"/>
    <w:rPr>
      <w:rFonts w:ascii="Arial Armenian" w:hAnsi="Arial Armenian"/>
      <w:i/>
      <w:sz w:val="22"/>
      <w:u w:val="single"/>
      <w:lang w:val="en-GB"/>
    </w:rPr>
  </w:style>
  <w:style w:type="character" w:customStyle="1" w:styleId="CharChar342">
    <w:name w:val="Char Char342"/>
    <w:rsid w:val="0045493E"/>
    <w:rPr>
      <w:rFonts w:ascii="Garamond" w:hAnsi="Garamond"/>
      <w:i/>
      <w:spacing w:val="-5"/>
      <w:sz w:val="28"/>
      <w:shd w:val="pct5" w:color="auto" w:fill="auto"/>
      <w:lang w:val="en-GB"/>
    </w:rPr>
  </w:style>
  <w:style w:type="character" w:customStyle="1" w:styleId="CharChar332">
    <w:name w:val="Char Char332"/>
    <w:rsid w:val="0045493E"/>
    <w:rPr>
      <w:rFonts w:ascii="Arial Black" w:hAnsi="Arial Black"/>
      <w:caps/>
      <w:spacing w:val="60"/>
      <w:position w:val="4"/>
      <w:sz w:val="14"/>
      <w:lang w:val="en-GB"/>
    </w:rPr>
  </w:style>
  <w:style w:type="character" w:customStyle="1" w:styleId="CharChar322">
    <w:name w:val="Char Char322"/>
    <w:rsid w:val="0045493E"/>
    <w:rPr>
      <w:rFonts w:ascii="Garamond" w:hAnsi="Garamond"/>
      <w:b/>
      <w:i/>
      <w:kern w:val="28"/>
      <w:lang w:val="en-GB"/>
    </w:rPr>
  </w:style>
  <w:style w:type="character" w:customStyle="1" w:styleId="CharChar302">
    <w:name w:val="Char Char302"/>
    <w:rsid w:val="0045493E"/>
    <w:rPr>
      <w:rFonts w:ascii="Arial Armenian" w:hAnsi="Arial Armenian"/>
      <w:lang w:val="en-GB" w:eastAsia="en-US" w:bidi="ar-SA"/>
    </w:rPr>
  </w:style>
  <w:style w:type="character" w:customStyle="1" w:styleId="CharChar292">
    <w:name w:val="Char Char292"/>
    <w:rsid w:val="0045493E"/>
    <w:rPr>
      <w:rFonts w:ascii="Arial Armenian" w:hAnsi="Arial Armenian"/>
      <w:lang w:val="ru-RU" w:eastAsia="ru-RU" w:bidi="ar-SA"/>
    </w:rPr>
  </w:style>
  <w:style w:type="character" w:customStyle="1" w:styleId="SubtitleChar2">
    <w:name w:val="Subtitle Char2"/>
    <w:rsid w:val="0045493E"/>
    <w:rPr>
      <w:rFonts w:ascii="Times Armenian" w:hAnsi="Times Armenian"/>
      <w:b/>
      <w:sz w:val="28"/>
      <w:szCs w:val="24"/>
      <w:lang w:eastAsia="ru-RU"/>
    </w:rPr>
  </w:style>
  <w:style w:type="paragraph" w:customStyle="1" w:styleId="msonormal0">
    <w:name w:val="msonormal"/>
    <w:basedOn w:val="Normal"/>
    <w:rsid w:val="0045493E"/>
    <w:pPr>
      <w:spacing w:before="100" w:beforeAutospacing="1" w:after="100" w:afterAutospacing="1"/>
    </w:pPr>
  </w:style>
  <w:style w:type="paragraph" w:customStyle="1" w:styleId="textbox">
    <w:name w:val="textbox"/>
    <w:basedOn w:val="Normal"/>
    <w:rsid w:val="0045493E"/>
    <w:pPr>
      <w:spacing w:line="160" w:lineRule="exact"/>
    </w:pPr>
    <w:rPr>
      <w:smallCaps/>
      <w:sz w:val="16"/>
      <w:szCs w:val="20"/>
      <w:lang w:val="hy-AM"/>
    </w:rPr>
  </w:style>
  <w:style w:type="character" w:customStyle="1" w:styleId="t121">
    <w:name w:val="t121"/>
    <w:rsid w:val="0045493E"/>
    <w:rPr>
      <w:b/>
      <w:bCs/>
      <w:color w:val="191970"/>
    </w:rPr>
  </w:style>
  <w:style w:type="character" w:customStyle="1" w:styleId="t61">
    <w:name w:val="t61"/>
    <w:rsid w:val="0045493E"/>
    <w:rPr>
      <w:b/>
      <w:bCs/>
      <w:color w:val="191970"/>
    </w:rPr>
  </w:style>
  <w:style w:type="table" w:customStyle="1" w:styleId="TableGrid10">
    <w:name w:val="Table Grid1"/>
    <w:basedOn w:val="TableNormal"/>
    <w:rsid w:val="004549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Char3">
    <w:name w:val="Char Char Char Char Знак Char Знак Char Char Char Char Char Char Char Char Char Char3"/>
    <w:basedOn w:val="Normal"/>
    <w:rsid w:val="0045493E"/>
    <w:pPr>
      <w:tabs>
        <w:tab w:val="left" w:pos="709"/>
      </w:tabs>
    </w:pPr>
    <w:rPr>
      <w:rFonts w:ascii="Tahoma" w:hAnsi="Tahoma" w:cs="Tahoma"/>
      <w:lang w:val="pl-PL" w:eastAsia="pl-PL"/>
    </w:rPr>
  </w:style>
  <w:style w:type="paragraph" w:customStyle="1" w:styleId="CharCharCharCharCharCharCharCharCharCharCharCharCharCharChar4">
    <w:name w:val="Char Char Char Char Знак Char Знак Char Char Char Char Char Char Char Char Char Char4"/>
    <w:basedOn w:val="Normal"/>
    <w:rsid w:val="0045493E"/>
    <w:pPr>
      <w:tabs>
        <w:tab w:val="left" w:pos="709"/>
      </w:tabs>
    </w:pPr>
    <w:rPr>
      <w:rFonts w:ascii="Tahoma" w:hAnsi="Tahoma" w:cs="Tahoma"/>
      <w:lang w:val="pl-PL" w:eastAsia="pl-PL"/>
    </w:rPr>
  </w:style>
  <w:style w:type="character" w:customStyle="1" w:styleId="CharChar62">
    <w:name w:val="Char Char62"/>
    <w:locked/>
    <w:rsid w:val="0045493E"/>
    <w:rPr>
      <w:rFonts w:ascii="Times LatArm" w:eastAsia="Calibri" w:hAnsi="Times LatArm" w:cs="Times LatArm"/>
      <w:sz w:val="22"/>
      <w:szCs w:val="22"/>
      <w:lang w:val="en-GB" w:eastAsia="en-US" w:bidi="ar-SA"/>
    </w:rPr>
  </w:style>
  <w:style w:type="character" w:customStyle="1" w:styleId="CentredCharChar">
    <w:name w:val="Centred Char Char"/>
    <w:locked/>
    <w:rsid w:val="0045493E"/>
    <w:rPr>
      <w:rFonts w:eastAsia="Calibri"/>
      <w:b/>
      <w:bCs/>
      <w:i/>
      <w:iCs/>
      <w:sz w:val="24"/>
      <w:szCs w:val="24"/>
      <w:lang w:val="en-GB" w:eastAsia="en-US" w:bidi="ar-SA"/>
    </w:rPr>
  </w:style>
  <w:style w:type="character" w:customStyle="1" w:styleId="SideCharChar">
    <w:name w:val="Side Char Char"/>
    <w:locked/>
    <w:rsid w:val="0045493E"/>
    <w:rPr>
      <w:rFonts w:eastAsia="Calibri"/>
      <w:sz w:val="22"/>
      <w:szCs w:val="22"/>
      <w:lang w:val="en-GB" w:eastAsia="en-US" w:bidi="ar-SA"/>
    </w:rPr>
  </w:style>
  <w:style w:type="character" w:customStyle="1" w:styleId="CharChar8">
    <w:name w:val="Char Char8"/>
    <w:locked/>
    <w:rsid w:val="0045493E"/>
    <w:rPr>
      <w:rFonts w:ascii="Times Armenian" w:eastAsia="Calibri" w:hAnsi="Times Armenian" w:cs="Times Armenian"/>
      <w:color w:val="993300"/>
      <w:sz w:val="22"/>
      <w:szCs w:val="22"/>
      <w:lang w:val="hy-AM" w:eastAsia="en-US" w:bidi="ar-SA"/>
    </w:rPr>
  </w:style>
  <w:style w:type="character" w:customStyle="1" w:styleId="CharChar7">
    <w:name w:val="Char Char7"/>
    <w:locked/>
    <w:rsid w:val="0045493E"/>
    <w:rPr>
      <w:rFonts w:ascii="Courier New" w:eastAsia="Calibri" w:hAnsi="Courier New" w:cs="Courier New"/>
      <w:lang w:val="en-US" w:eastAsia="en-US" w:bidi="ar-SA"/>
    </w:rPr>
  </w:style>
  <w:style w:type="character" w:customStyle="1" w:styleId="CharChar42">
    <w:name w:val="Char Char42"/>
    <w:locked/>
    <w:rsid w:val="0045493E"/>
    <w:rPr>
      <w:rFonts w:eastAsia="Calibri"/>
      <w:sz w:val="22"/>
      <w:szCs w:val="22"/>
      <w:lang w:val="en-GB" w:eastAsia="en-US" w:bidi="ar-SA"/>
    </w:rPr>
  </w:style>
  <w:style w:type="character" w:customStyle="1" w:styleId="CharChar38">
    <w:name w:val="Char Char38"/>
    <w:uiPriority w:val="99"/>
    <w:locked/>
    <w:rsid w:val="0045493E"/>
    <w:rPr>
      <w:rFonts w:eastAsia="Calibri"/>
      <w:sz w:val="22"/>
      <w:szCs w:val="22"/>
      <w:lang w:val="en-GB" w:eastAsia="en-US" w:bidi="ar-SA"/>
    </w:rPr>
  </w:style>
  <w:style w:type="character" w:customStyle="1" w:styleId="CharChar212">
    <w:name w:val="Char Char212"/>
    <w:locked/>
    <w:rsid w:val="0045493E"/>
    <w:rPr>
      <w:rFonts w:ascii="Times Armenian" w:eastAsia="Calibri" w:hAnsi="Times Armenian" w:cs="Times Armenian"/>
      <w:b/>
      <w:bCs/>
      <w:sz w:val="22"/>
      <w:szCs w:val="22"/>
      <w:lang w:val="en-US" w:eastAsia="en-US" w:bidi="ar-SA"/>
    </w:rPr>
  </w:style>
  <w:style w:type="table" w:customStyle="1" w:styleId="TableGrid2">
    <w:name w:val="Table Grid2"/>
    <w:basedOn w:val="TableNormal"/>
    <w:rsid w:val="004549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mak">
    <w:name w:val="namak Знак"/>
    <w:link w:val="namak0"/>
    <w:locked/>
    <w:rsid w:val="0045493E"/>
    <w:rPr>
      <w:rFonts w:ascii="GHEA Grapalat" w:hAnsi="GHEA Grapalat"/>
      <w:spacing w:val="-4"/>
      <w:sz w:val="24"/>
      <w:szCs w:val="24"/>
    </w:rPr>
  </w:style>
  <w:style w:type="paragraph" w:customStyle="1" w:styleId="namak0">
    <w:name w:val="namak"/>
    <w:basedOn w:val="Normal"/>
    <w:link w:val="namak"/>
    <w:rsid w:val="0045493E"/>
    <w:pPr>
      <w:spacing w:line="400" w:lineRule="exact"/>
      <w:ind w:firstLine="397"/>
    </w:pPr>
    <w:rPr>
      <w:spacing w:val="-4"/>
    </w:rPr>
  </w:style>
  <w:style w:type="table" w:customStyle="1" w:styleId="TableGrid30">
    <w:name w:val="Table Grid3"/>
    <w:basedOn w:val="TableNormal"/>
    <w:rsid w:val="00454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rsid w:val="0045493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11">
    <w:name w:val="Table Web 11"/>
    <w:basedOn w:val="TableNormal"/>
    <w:rsid w:val="0045493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Grid81">
    <w:name w:val="Table Grid 81"/>
    <w:basedOn w:val="TableNormal"/>
    <w:rsid w:val="0045493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TableContemporary1">
    <w:name w:val="Table Contemporary1"/>
    <w:basedOn w:val="TableNormal"/>
    <w:rsid w:val="0045493E"/>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ColorfulGrid-Accent12">
    <w:name w:val="Colorful Grid - Accent 12"/>
    <w:basedOn w:val="TableNormal"/>
    <w:rsid w:val="0045493E"/>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rsid w:val="0045493E"/>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Bullet2">
    <w:name w:val="Bullet 2"/>
    <w:basedOn w:val="Normal"/>
    <w:qFormat/>
    <w:rsid w:val="0045493E"/>
    <w:pPr>
      <w:widowControl w:val="0"/>
      <w:tabs>
        <w:tab w:val="left" w:pos="851"/>
        <w:tab w:val="left" w:pos="993"/>
      </w:tabs>
      <w:spacing w:line="360" w:lineRule="auto"/>
      <w:ind w:left="567"/>
      <w:contextualSpacing/>
    </w:pPr>
    <w:rPr>
      <w:rFonts w:cs="Sylfaen"/>
      <w:b/>
      <w:lang w:val="ro-RO" w:eastAsia="ru-RU"/>
    </w:rPr>
  </w:style>
  <w:style w:type="paragraph" w:customStyle="1" w:styleId="CharChar5CharCharCharCharCharChar2">
    <w:name w:val="Char Char5 Char Char Char Char Char Char2"/>
    <w:basedOn w:val="Normal"/>
    <w:rsid w:val="0045493E"/>
    <w:pPr>
      <w:tabs>
        <w:tab w:val="left" w:pos="709"/>
      </w:tabs>
    </w:pPr>
    <w:rPr>
      <w:rFonts w:ascii="Tahoma" w:hAnsi="Tahoma"/>
      <w:lang w:val="pl-PL" w:eastAsia="pl-PL"/>
    </w:rPr>
  </w:style>
  <w:style w:type="paragraph" w:customStyle="1" w:styleId="CharChar5CharCharCharChar2">
    <w:name w:val="Char Char5 Char Char Char Char2"/>
    <w:basedOn w:val="Normal"/>
    <w:rsid w:val="0045493E"/>
    <w:pPr>
      <w:tabs>
        <w:tab w:val="left" w:pos="709"/>
      </w:tabs>
    </w:pPr>
    <w:rPr>
      <w:rFonts w:ascii="Tahoma" w:hAnsi="Tahoma"/>
      <w:lang w:val="pl-PL" w:eastAsia="pl-PL"/>
    </w:rPr>
  </w:style>
  <w:style w:type="paragraph" w:customStyle="1" w:styleId="CharChar5CharChar2">
    <w:name w:val="Char Char5 Char Char2"/>
    <w:basedOn w:val="Normal"/>
    <w:rsid w:val="0045493E"/>
    <w:pPr>
      <w:tabs>
        <w:tab w:val="left" w:pos="709"/>
      </w:tabs>
    </w:pPr>
    <w:rPr>
      <w:rFonts w:ascii="Tahoma" w:hAnsi="Tahoma"/>
      <w:lang w:val="pl-PL" w:eastAsia="pl-PL"/>
    </w:rPr>
  </w:style>
  <w:style w:type="paragraph" w:customStyle="1" w:styleId="2a">
    <w:name w:val="Абзац списка2"/>
    <w:basedOn w:val="Normal"/>
    <w:uiPriority w:val="99"/>
    <w:qFormat/>
    <w:rsid w:val="0045493E"/>
    <w:pPr>
      <w:spacing w:after="200" w:line="276" w:lineRule="auto"/>
      <w:ind w:left="720"/>
      <w:contextualSpacing/>
    </w:pPr>
    <w:rPr>
      <w:lang w:val="ru-RU" w:eastAsia="ru-RU"/>
    </w:rPr>
  </w:style>
  <w:style w:type="paragraph" w:customStyle="1" w:styleId="45">
    <w:name w:val="Обычный4"/>
    <w:rsid w:val="0045493E"/>
    <w:pPr>
      <w:autoSpaceDE w:val="0"/>
      <w:autoSpaceDN w:val="0"/>
      <w:spacing w:after="160" w:line="259" w:lineRule="auto"/>
    </w:pPr>
    <w:rPr>
      <w:sz w:val="22"/>
      <w:szCs w:val="22"/>
      <w:lang w:val="ru-RU" w:eastAsia="ru-RU"/>
    </w:rPr>
  </w:style>
  <w:style w:type="paragraph" w:customStyle="1" w:styleId="2b">
    <w:name w:val="Без интервала2"/>
    <w:uiPriority w:val="1"/>
    <w:qFormat/>
    <w:rsid w:val="0045493E"/>
    <w:pPr>
      <w:spacing w:after="160" w:line="259" w:lineRule="auto"/>
    </w:pPr>
    <w:rPr>
      <w:sz w:val="22"/>
      <w:szCs w:val="22"/>
    </w:rPr>
  </w:style>
  <w:style w:type="paragraph" w:customStyle="1" w:styleId="2c">
    <w:name w:val="Рецензия2"/>
    <w:hidden/>
    <w:semiHidden/>
    <w:rsid w:val="0045493E"/>
    <w:pPr>
      <w:spacing w:after="160" w:line="259" w:lineRule="auto"/>
    </w:pPr>
    <w:rPr>
      <w:rFonts w:ascii="Arial Armenian" w:hAnsi="Arial Armenian" w:cs="Sylfaen"/>
      <w:sz w:val="24"/>
      <w:szCs w:val="24"/>
      <w:lang w:val="ru-RU" w:eastAsia="ru-RU"/>
    </w:rPr>
  </w:style>
  <w:style w:type="character" w:customStyle="1" w:styleId="311">
    <w:name w:val="Основной текст31"/>
    <w:rsid w:val="0045493E"/>
    <w:rPr>
      <w:rFonts w:ascii="Arial Unicode MS" w:eastAsia="Arial Unicode MS" w:hAnsi="Arial Unicode MS" w:cs="Arial Unicode MS"/>
      <w:color w:val="000000"/>
      <w:spacing w:val="0"/>
      <w:w w:val="100"/>
      <w:position w:val="0"/>
      <w:sz w:val="30"/>
      <w:szCs w:val="30"/>
      <w:u w:val="none"/>
      <w:lang w:val="hy-AM"/>
    </w:rPr>
  </w:style>
  <w:style w:type="character" w:customStyle="1" w:styleId="CharChar121">
    <w:name w:val="Char Char121"/>
    <w:rsid w:val="0045493E"/>
    <w:rPr>
      <w:sz w:val="22"/>
      <w:lang w:val="en-GB" w:eastAsia="en-US" w:bidi="ar-SA"/>
    </w:rPr>
  </w:style>
  <w:style w:type="character" w:styleId="PlaceholderText">
    <w:name w:val="Placeholder Text"/>
    <w:uiPriority w:val="99"/>
    <w:semiHidden/>
    <w:rsid w:val="0045493E"/>
    <w:rPr>
      <w:color w:val="808080"/>
    </w:rPr>
  </w:style>
  <w:style w:type="character" w:customStyle="1" w:styleId="newstext">
    <w:name w:val="news_text"/>
    <w:rsid w:val="0045493E"/>
  </w:style>
  <w:style w:type="table" w:customStyle="1" w:styleId="TableGrid4">
    <w:name w:val="Table Grid4"/>
    <w:basedOn w:val="TableNormal"/>
    <w:uiPriority w:val="39"/>
    <w:rsid w:val="0045493E"/>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45493E"/>
    <w:rPr>
      <w:rFonts w:ascii="Times Armenian" w:hAnsi="Times Armenian" w:cs="Times Armenian"/>
      <w:color w:val="000000"/>
      <w:sz w:val="24"/>
      <w:szCs w:val="24"/>
      <w:lang w:val="ru-RU" w:eastAsia="ru-RU"/>
    </w:rPr>
  </w:style>
  <w:style w:type="table" w:customStyle="1" w:styleId="GridTable1Light-Accent51">
    <w:name w:val="Grid Table 1 Light - Accent 51"/>
    <w:basedOn w:val="TableNormal"/>
    <w:uiPriority w:val="46"/>
    <w:rsid w:val="0045493E"/>
    <w:rPr>
      <w:rFonts w:eastAsia="Calibri" w:cs="Calibri"/>
      <w:lang w:val="hy-AM"/>
    </w:rPr>
    <w:tblP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45493E"/>
    <w:rPr>
      <w:rFonts w:eastAsia="Calibri"/>
      <w:sz w:val="24"/>
      <w:szCs w:val="24"/>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
    <w:name w:val="Grid Table 4 - Accent 11"/>
    <w:basedOn w:val="TableNormal"/>
    <w:uiPriority w:val="49"/>
    <w:rsid w:val="0045493E"/>
    <w:rPr>
      <w:rFonts w:eastAsia="Calibri"/>
      <w:sz w:val="24"/>
      <w:szCs w:val="24"/>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lid-translation">
    <w:name w:val="tlid-translation"/>
    <w:rsid w:val="0045493E"/>
  </w:style>
  <w:style w:type="table" w:customStyle="1" w:styleId="TableGrid50">
    <w:name w:val="Table Grid5"/>
    <w:basedOn w:val="TableNormal"/>
    <w:uiPriority w:val="39"/>
    <w:rsid w:val="0045493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
    <w:name w:val="Table List 71"/>
    <w:basedOn w:val="TableNormal"/>
    <w:rsid w:val="0045493E"/>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Web31">
    <w:name w:val="Table Web 31"/>
    <w:basedOn w:val="TableNormal"/>
    <w:rsid w:val="0045493E"/>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Elegant1">
    <w:name w:val="Table Elegant1"/>
    <w:basedOn w:val="TableNormal"/>
    <w:rsid w:val="0045493E"/>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Web22">
    <w:name w:val="Table Web 22"/>
    <w:basedOn w:val="TableNormal"/>
    <w:rsid w:val="0045493E"/>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12">
    <w:name w:val="Table Web 12"/>
    <w:basedOn w:val="TableNormal"/>
    <w:rsid w:val="0045493E"/>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Grid82">
    <w:name w:val="Table Grid 82"/>
    <w:basedOn w:val="TableNormal"/>
    <w:rsid w:val="0045493E"/>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TableContemporary2">
    <w:name w:val="Table Contemporary2"/>
    <w:basedOn w:val="TableNormal"/>
    <w:rsid w:val="0045493E"/>
    <w:rPr>
      <w:rFonts w:ascii="Times New Roman" w:hAnsi="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LightList-Accent12">
    <w:name w:val="Light List - Accent 12"/>
    <w:basedOn w:val="TableNormal"/>
    <w:uiPriority w:val="61"/>
    <w:rsid w:val="0045493E"/>
    <w:rPr>
      <w:rFonts w:ascii="Times New Roman" w:hAnsi="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rsid w:val="0045493E"/>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ColorfulGrid-Accent13">
    <w:name w:val="Colorful Grid - Accent 13"/>
    <w:basedOn w:val="TableNormal"/>
    <w:uiPriority w:val="73"/>
    <w:rsid w:val="0045493E"/>
    <w:rPr>
      <w:rFonts w:ascii="Times New Roman" w:hAnsi="Times New Roman"/>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uiPriority w:val="61"/>
    <w:rsid w:val="0045493E"/>
    <w:rPr>
      <w:rFonts w:ascii="Times New Roman" w:hAnsi="Times New Roman"/>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rsid w:val="0045493E"/>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TableGrid51">
    <w:name w:val="Table Grid 51"/>
    <w:basedOn w:val="TableNormal"/>
    <w:rsid w:val="0045493E"/>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31">
    <w:name w:val="Table Grid 31"/>
    <w:basedOn w:val="TableNormal"/>
    <w:rsid w:val="0045493E"/>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customStyle="1" w:styleId="TableGrid11">
    <w:name w:val="Table Grid 11"/>
    <w:basedOn w:val="TableNormal"/>
    <w:rsid w:val="0045493E"/>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TableColumns51">
    <w:name w:val="Table Columns 51"/>
    <w:basedOn w:val="TableNormal"/>
    <w:rsid w:val="0045493E"/>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45493E"/>
    <w:rPr>
      <w:rFonts w:ascii="Times New Roman" w:hAnsi="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111">
    <w:name w:val="Colorful Grid - Accent 111"/>
    <w:basedOn w:val="TableNormal"/>
    <w:rsid w:val="0045493E"/>
    <w:rPr>
      <w:rFonts w:ascii="Times New Roman" w:hAnsi="Times New Roman"/>
      <w:color w:val="000000"/>
      <w:lang w:eastAsia="ru-RU"/>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45493E"/>
    <w:rPr>
      <w:rFonts w:ascii="Times New Roman" w:hAnsi="Times New Roman"/>
      <w:lang w:eastAsia="ru-RU"/>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3Deffects31">
    <w:name w:val="Table 3D effects 31"/>
    <w:basedOn w:val="TableNormal"/>
    <w:rsid w:val="0045493E"/>
    <w:rPr>
      <w:rFonts w:ascii="Times New Roman" w:hAnsi="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Grid110">
    <w:name w:val="Table Grid11"/>
    <w:basedOn w:val="TableNormal"/>
    <w:rsid w:val="0045493E"/>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45493E"/>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
    <w:basedOn w:val="TableNormal"/>
    <w:rsid w:val="0045493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
    <w:name w:val="Table Web 211"/>
    <w:basedOn w:val="TableNormal"/>
    <w:rsid w:val="0045493E"/>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111">
    <w:name w:val="Table Web 111"/>
    <w:basedOn w:val="TableNormal"/>
    <w:rsid w:val="0045493E"/>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Grid811">
    <w:name w:val="Table Grid 811"/>
    <w:basedOn w:val="TableNormal"/>
    <w:rsid w:val="0045493E"/>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TableContemporary11">
    <w:name w:val="Table Contemporary11"/>
    <w:basedOn w:val="TableNormal"/>
    <w:rsid w:val="0045493E"/>
    <w:rPr>
      <w:rFonts w:ascii="Times New Roman" w:hAnsi="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ColorfulGrid-Accent121">
    <w:name w:val="Colorful Grid - Accent 121"/>
    <w:basedOn w:val="TableNormal"/>
    <w:rsid w:val="0045493E"/>
    <w:rPr>
      <w:rFonts w:ascii="Times New Roman" w:hAnsi="Times New Roman"/>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
    <w:name w:val="Light List - Accent 521"/>
    <w:basedOn w:val="TableNormal"/>
    <w:rsid w:val="0045493E"/>
    <w:rPr>
      <w:rFonts w:ascii="Times New Roman" w:hAnsi="Times New Roman"/>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harChar37">
    <w:name w:val="Char Char37"/>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CharCharChar20">
    <w:name w:val="Char Char Char2"/>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BodyText24">
    <w:name w:val="Body Text2"/>
    <w:basedOn w:val="Normal"/>
    <w:rsid w:val="0045493E"/>
    <w:pPr>
      <w:tabs>
        <w:tab w:val="left" w:pos="0"/>
      </w:tabs>
      <w:spacing w:before="0" w:after="240" w:line="240" w:lineRule="auto"/>
      <w:ind w:firstLine="0"/>
    </w:pPr>
    <w:rPr>
      <w:rFonts w:ascii="Times Armenian" w:eastAsia="Times New Roman" w:hAnsi="Times Armenian" w:cs="Times New Roman"/>
      <w:sz w:val="24"/>
      <w:szCs w:val="24"/>
      <w:lang w:eastAsia="ru-RU"/>
    </w:rPr>
  </w:style>
  <w:style w:type="paragraph" w:customStyle="1" w:styleId="Char6">
    <w:name w:val="Char6"/>
    <w:basedOn w:val="Normal"/>
    <w:next w:val="Normal"/>
    <w:rsid w:val="0045493E"/>
    <w:pPr>
      <w:spacing w:before="0" w:after="160" w:line="240" w:lineRule="exact"/>
      <w:ind w:firstLine="0"/>
      <w:jc w:val="left"/>
    </w:pPr>
    <w:rPr>
      <w:rFonts w:ascii="Tahoma" w:eastAsia="Times New Roman" w:hAnsi="Tahoma" w:cs="Times New Roman"/>
      <w:sz w:val="24"/>
      <w:szCs w:val="20"/>
    </w:rPr>
  </w:style>
  <w:style w:type="paragraph" w:customStyle="1" w:styleId="Znak2">
    <w:name w:val="Znak2"/>
    <w:basedOn w:val="Normal"/>
    <w:rsid w:val="0045493E"/>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CharCharCharCharCharChar2">
    <w:name w:val="Char Char Char Char Char Char Char Char2"/>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rsid w:val="0045493E"/>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CharCharCharCharChar2">
    <w:name w:val="Char Char Char Char Char Char Char2"/>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5">
    <w:name w:val="Знак Знак5"/>
    <w:basedOn w:val="Normal"/>
    <w:link w:val="Char21"/>
    <w:rsid w:val="0045493E"/>
    <w:pPr>
      <w:spacing w:before="0" w:after="160" w:line="240" w:lineRule="exact"/>
      <w:ind w:firstLine="0"/>
      <w:jc w:val="left"/>
    </w:pPr>
    <w:rPr>
      <w:rFonts w:ascii="Arial" w:eastAsia="Times New Roman" w:hAnsi="Arial" w:cs="Arial"/>
      <w:sz w:val="20"/>
      <w:szCs w:val="20"/>
      <w:lang w:val="en-GB"/>
    </w:rPr>
  </w:style>
  <w:style w:type="character" w:customStyle="1" w:styleId="Char21">
    <w:name w:val="Знак Знак Char2"/>
    <w:link w:val="5"/>
    <w:rsid w:val="0045493E"/>
    <w:rPr>
      <w:rFonts w:ascii="Arial" w:eastAsia="Times New Roman" w:hAnsi="Arial" w:cs="Arial"/>
      <w:sz w:val="20"/>
      <w:szCs w:val="20"/>
      <w:lang w:val="en-GB"/>
    </w:rPr>
  </w:style>
  <w:style w:type="paragraph" w:customStyle="1" w:styleId="CharCharChar21">
    <w:name w:val="Char Char Char Знак Знак2"/>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2">
    <w:name w:val="Char Char Char Char Char Char Char Char Char Char2"/>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2">
    <w:name w:val="Char Char Char Char Char Char Char Char Char Char Char Char Char2"/>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1CharChar2">
    <w:name w:val="Знак Знак1 Char Char Знак Знак2"/>
    <w:basedOn w:val="Normal"/>
    <w:rsid w:val="0045493E"/>
    <w:pPr>
      <w:tabs>
        <w:tab w:val="left" w:pos="840"/>
      </w:tabs>
      <w:spacing w:before="0" w:after="160" w:line="240" w:lineRule="exact"/>
      <w:ind w:left="840" w:hanging="360"/>
    </w:pPr>
    <w:rPr>
      <w:rFonts w:ascii="Verdana" w:eastAsia="Times New Roman" w:hAnsi="Verdana" w:cs="Times New Roman"/>
      <w:sz w:val="20"/>
      <w:szCs w:val="20"/>
      <w:lang w:val="ru-RU"/>
    </w:rPr>
  </w:style>
  <w:style w:type="paragraph" w:customStyle="1" w:styleId="CharCharCharChar2">
    <w:name w:val="Знак Знак Char Char Знак Знак Char Char Знак Знак2"/>
    <w:basedOn w:val="Normal"/>
    <w:rsid w:val="0045493E"/>
    <w:pPr>
      <w:spacing w:before="0" w:after="160" w:line="240" w:lineRule="exact"/>
      <w:ind w:firstLine="0"/>
      <w:jc w:val="left"/>
    </w:pPr>
    <w:rPr>
      <w:rFonts w:ascii="Times New Roman" w:eastAsia="Times New Roman" w:hAnsi="Times New Roman" w:cs="Times New Roman"/>
      <w:sz w:val="28"/>
      <w:szCs w:val="20"/>
    </w:rPr>
  </w:style>
  <w:style w:type="paragraph" w:customStyle="1" w:styleId="Char22">
    <w:name w:val="Знак Знак Знак Знак Знак Знак Знак Знак Знак Знак Знак Знак Знак Знак Знак Знак Знак Знак Char Знак Знак2"/>
    <w:basedOn w:val="Normal"/>
    <w:rsid w:val="0045493E"/>
    <w:pPr>
      <w:spacing w:before="0" w:after="160" w:line="240" w:lineRule="exact"/>
      <w:ind w:firstLine="0"/>
      <w:jc w:val="left"/>
    </w:pPr>
    <w:rPr>
      <w:rFonts w:ascii="Times New Roman" w:eastAsia="Times New Roman" w:hAnsi="Times New Roman" w:cs="Times New Roman"/>
      <w:sz w:val="28"/>
      <w:szCs w:val="20"/>
    </w:rPr>
  </w:style>
  <w:style w:type="paragraph" w:customStyle="1" w:styleId="CharCharChar22">
    <w:name w:val="Char Char Char Знак2"/>
    <w:basedOn w:val="Normal"/>
    <w:next w:val="Normal"/>
    <w:rsid w:val="0045493E"/>
    <w:pPr>
      <w:spacing w:before="0" w:after="160" w:line="240" w:lineRule="exact"/>
      <w:ind w:firstLine="0"/>
      <w:jc w:val="left"/>
    </w:pPr>
    <w:rPr>
      <w:rFonts w:ascii="Tahoma" w:eastAsia="Times New Roman" w:hAnsi="Tahoma" w:cs="Times New Roman"/>
      <w:sz w:val="24"/>
      <w:szCs w:val="20"/>
    </w:rPr>
  </w:style>
  <w:style w:type="paragraph" w:customStyle="1" w:styleId="CharCharChar1Char2">
    <w:name w:val="Char Char Char1 Char2"/>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120">
    <w:name w:val="Знак Знак12"/>
    <w:basedOn w:val="Normal"/>
    <w:rsid w:val="0045493E"/>
    <w:pPr>
      <w:spacing w:before="0" w:after="160" w:line="240" w:lineRule="exact"/>
      <w:ind w:firstLine="0"/>
      <w:jc w:val="left"/>
    </w:pPr>
    <w:rPr>
      <w:rFonts w:ascii="Arial" w:eastAsia="MS Mincho" w:hAnsi="Arial" w:cs="Arial"/>
      <w:sz w:val="20"/>
      <w:szCs w:val="20"/>
    </w:rPr>
  </w:style>
  <w:style w:type="paragraph" w:customStyle="1" w:styleId="CharCharCharCharChar20">
    <w:name w:val="Char Char Char Char Char Знак Знак2"/>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CharChar1CharCharChar1Char2">
    <w:name w:val="Char Char1 Char Char Char1 Char2"/>
    <w:basedOn w:val="Normal"/>
    <w:rsid w:val="0045493E"/>
    <w:pPr>
      <w:spacing w:before="0" w:after="0" w:line="240" w:lineRule="auto"/>
      <w:ind w:firstLine="0"/>
      <w:jc w:val="left"/>
    </w:pPr>
    <w:rPr>
      <w:rFonts w:ascii="Times New Roman" w:eastAsia="SimSun" w:hAnsi="Times New Roman" w:cs="Times New Roman"/>
      <w:sz w:val="20"/>
      <w:szCs w:val="20"/>
      <w:lang w:eastAsia="ru-RU"/>
    </w:rPr>
  </w:style>
  <w:style w:type="paragraph" w:customStyle="1" w:styleId="420">
    <w:name w:val="Знак Знак42"/>
    <w:basedOn w:val="Normal"/>
    <w:rsid w:val="0045493E"/>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23">
    <w:name w:val="Знак Char Знак2"/>
    <w:basedOn w:val="Normal"/>
    <w:rsid w:val="0045493E"/>
    <w:pPr>
      <w:spacing w:before="0" w:after="160" w:line="240" w:lineRule="exact"/>
      <w:ind w:firstLine="0"/>
      <w:jc w:val="left"/>
    </w:pPr>
    <w:rPr>
      <w:rFonts w:ascii="Arial" w:eastAsia="Batang" w:hAnsi="Arial" w:cs="Arial"/>
      <w:sz w:val="20"/>
      <w:szCs w:val="20"/>
    </w:rPr>
  </w:style>
  <w:style w:type="paragraph" w:customStyle="1" w:styleId="CharCharCharCharCharChar20">
    <w:name w:val="Знак Знак Char Char Знак Знак Char Char Знак Знак Char Char2"/>
    <w:basedOn w:val="Normal"/>
    <w:rsid w:val="0045493E"/>
    <w:pPr>
      <w:spacing w:before="0" w:after="160" w:line="240" w:lineRule="exact"/>
      <w:ind w:firstLine="0"/>
      <w:jc w:val="left"/>
    </w:pPr>
    <w:rPr>
      <w:rFonts w:ascii="Times New Roman" w:eastAsia="Times New Roman" w:hAnsi="Times New Roman" w:cs="Times New Roman"/>
      <w:sz w:val="28"/>
      <w:szCs w:val="20"/>
    </w:rPr>
  </w:style>
  <w:style w:type="paragraph" w:customStyle="1" w:styleId="220">
    <w:name w:val="Знак Знак22"/>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CharCharCharCharChar21">
    <w:name w:val="Char Char Char Char Char2"/>
    <w:basedOn w:val="Normal"/>
    <w:rsid w:val="0045493E"/>
    <w:pPr>
      <w:spacing w:before="0" w:after="160" w:line="240" w:lineRule="exact"/>
      <w:ind w:firstLine="0"/>
      <w:jc w:val="left"/>
    </w:pPr>
    <w:rPr>
      <w:rFonts w:ascii="Arial" w:eastAsia="Times New Roman" w:hAnsi="Arial" w:cs="Arial"/>
      <w:sz w:val="20"/>
      <w:szCs w:val="20"/>
    </w:rPr>
  </w:style>
  <w:style w:type="character" w:customStyle="1" w:styleId="CharChar181">
    <w:name w:val="Char Char181"/>
    <w:rsid w:val="0045493E"/>
    <w:rPr>
      <w:rFonts w:ascii="Arial Armenian" w:eastAsia="Times New Roman" w:hAnsi="Arial Armenian"/>
      <w:i/>
      <w:sz w:val="22"/>
      <w:u w:val="single"/>
      <w:lang w:val="en-GB"/>
    </w:rPr>
  </w:style>
  <w:style w:type="character" w:customStyle="1" w:styleId="CharChar191">
    <w:name w:val="Char Char191"/>
    <w:rsid w:val="0045493E"/>
    <w:rPr>
      <w:b/>
      <w:sz w:val="32"/>
      <w:lang w:val="en-GB" w:eastAsia="en-US" w:bidi="ar-SA"/>
    </w:rPr>
  </w:style>
  <w:style w:type="character" w:customStyle="1" w:styleId="CharChar211">
    <w:name w:val="Char Char211"/>
    <w:rsid w:val="0045493E"/>
    <w:rPr>
      <w:rFonts w:ascii="Arial Armenian" w:hAnsi="Arial Armenian"/>
      <w:i/>
      <w:sz w:val="22"/>
      <w:u w:val="single"/>
      <w:lang w:val="en-GB" w:eastAsia="en-US" w:bidi="ar-SA"/>
    </w:rPr>
  </w:style>
  <w:style w:type="character" w:customStyle="1" w:styleId="CharChar201">
    <w:name w:val="Char Char201"/>
    <w:rsid w:val="0045493E"/>
    <w:rPr>
      <w:rFonts w:ascii="Garamond" w:hAnsi="Garamond"/>
      <w:i/>
      <w:spacing w:val="-5"/>
      <w:sz w:val="28"/>
      <w:lang w:val="en-GB" w:eastAsia="en-US" w:bidi="ar-SA"/>
    </w:rPr>
  </w:style>
  <w:style w:type="character" w:customStyle="1" w:styleId="CharChar141">
    <w:name w:val="Char Char141"/>
    <w:rsid w:val="0045493E"/>
    <w:rPr>
      <w:sz w:val="36"/>
      <w:lang w:val="en-GB"/>
    </w:rPr>
  </w:style>
  <w:style w:type="character" w:customStyle="1" w:styleId="CharChar52">
    <w:name w:val="Char Char52"/>
    <w:rsid w:val="0045493E"/>
    <w:rPr>
      <w:rFonts w:ascii="Arial Armenian" w:hAnsi="Arial Armenian" w:cs="Sylfaen"/>
      <w:sz w:val="24"/>
      <w:szCs w:val="24"/>
      <w:lang w:val="ru-RU" w:eastAsia="ru-RU"/>
    </w:rPr>
  </w:style>
  <w:style w:type="character" w:customStyle="1" w:styleId="CharChar162">
    <w:name w:val="Char Char162"/>
    <w:rsid w:val="0045493E"/>
    <w:rPr>
      <w:rFonts w:ascii="Times New Roman" w:hAnsi="Times New Roman"/>
      <w:b/>
      <w:sz w:val="32"/>
      <w:lang w:val="en-GB"/>
    </w:rPr>
  </w:style>
  <w:style w:type="character" w:customStyle="1" w:styleId="CharChar171">
    <w:name w:val="Char Char171"/>
    <w:rsid w:val="0045493E"/>
    <w:rPr>
      <w:rFonts w:ascii="Arial Armenian" w:hAnsi="Arial Armenian"/>
      <w:i/>
      <w:sz w:val="22"/>
      <w:u w:val="single"/>
      <w:lang w:val="en-GB" w:eastAsia="en-US" w:bidi="ar-SA"/>
    </w:rPr>
  </w:style>
  <w:style w:type="paragraph" w:customStyle="1" w:styleId="CharCharCharCharCharChar10">
    <w:name w:val="Char Char Char Char Char Char1"/>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CharChar110">
    <w:name w:val="Char Char110"/>
    <w:basedOn w:val="Normal"/>
    <w:rsid w:val="0045493E"/>
    <w:pPr>
      <w:spacing w:before="0" w:after="160" w:line="240" w:lineRule="exact"/>
      <w:ind w:firstLine="0"/>
      <w:jc w:val="left"/>
    </w:pPr>
    <w:rPr>
      <w:rFonts w:ascii="Arial" w:eastAsia="Times New Roman" w:hAnsi="Arial" w:cs="Arial"/>
      <w:sz w:val="20"/>
      <w:szCs w:val="20"/>
    </w:rPr>
  </w:style>
  <w:style w:type="character" w:customStyle="1" w:styleId="CharChar111">
    <w:name w:val="Char Char111"/>
    <w:rsid w:val="0045493E"/>
    <w:rPr>
      <w:rFonts w:ascii="Arial Armenian" w:hAnsi="Arial Armenian"/>
      <w:lang w:val="ru-RU" w:eastAsia="ru-RU" w:bidi="ar-SA"/>
    </w:rPr>
  </w:style>
  <w:style w:type="paragraph" w:customStyle="1" w:styleId="2d">
    <w:name w:val="Знак2"/>
    <w:basedOn w:val="Normal"/>
    <w:rsid w:val="0045493E"/>
    <w:pPr>
      <w:spacing w:before="0" w:after="160" w:line="240" w:lineRule="exact"/>
      <w:ind w:firstLine="0"/>
      <w:jc w:val="left"/>
    </w:pPr>
    <w:rPr>
      <w:rFonts w:ascii="Arial" w:eastAsia="Times New Roman" w:hAnsi="Arial" w:cs="Arial"/>
      <w:sz w:val="20"/>
      <w:szCs w:val="20"/>
      <w:lang w:val="en-GB"/>
    </w:rPr>
  </w:style>
  <w:style w:type="character" w:customStyle="1" w:styleId="CharChar281">
    <w:name w:val="Char Char281"/>
    <w:rsid w:val="0045493E"/>
    <w:rPr>
      <w:rFonts w:ascii="Arial Armenian" w:hAnsi="Arial Armenian"/>
      <w:i/>
      <w:sz w:val="22"/>
      <w:u w:val="single"/>
      <w:lang w:val="en-GB"/>
    </w:rPr>
  </w:style>
  <w:style w:type="character" w:customStyle="1" w:styleId="CharChar271">
    <w:name w:val="Char Char271"/>
    <w:rsid w:val="0045493E"/>
    <w:rPr>
      <w:rFonts w:ascii="Garamond" w:hAnsi="Garamond"/>
      <w:i/>
      <w:spacing w:val="-5"/>
      <w:sz w:val="28"/>
      <w:shd w:val="pct5" w:color="auto" w:fill="auto"/>
      <w:lang w:val="en-GB"/>
    </w:rPr>
  </w:style>
  <w:style w:type="character" w:customStyle="1" w:styleId="CharChar261">
    <w:name w:val="Char Char261"/>
    <w:rsid w:val="0045493E"/>
    <w:rPr>
      <w:rFonts w:ascii="Arial Black" w:hAnsi="Arial Black"/>
      <w:caps/>
      <w:spacing w:val="60"/>
      <w:position w:val="4"/>
      <w:sz w:val="14"/>
      <w:lang w:val="en-GB"/>
    </w:rPr>
  </w:style>
  <w:style w:type="character" w:customStyle="1" w:styleId="CharChar251">
    <w:name w:val="Char Char251"/>
    <w:rsid w:val="0045493E"/>
    <w:rPr>
      <w:rFonts w:ascii="Garamond" w:hAnsi="Garamond"/>
      <w:b/>
      <w:i/>
      <w:kern w:val="28"/>
      <w:lang w:val="en-GB"/>
    </w:rPr>
  </w:style>
  <w:style w:type="character" w:customStyle="1" w:styleId="CharChar241">
    <w:name w:val="Char Char241"/>
    <w:rsid w:val="0045493E"/>
    <w:rPr>
      <w:rFonts w:ascii="Arial Armenian" w:hAnsi="Arial Armenian"/>
      <w:lang w:val="en-US" w:eastAsia="en-US" w:bidi="ar-SA"/>
    </w:rPr>
  </w:style>
  <w:style w:type="character" w:customStyle="1" w:styleId="CharChar231">
    <w:name w:val="Char Char231"/>
    <w:rsid w:val="0045493E"/>
    <w:rPr>
      <w:rFonts w:ascii="Arial Armenian" w:hAnsi="Arial Armenian"/>
      <w:lang w:val="en-GB" w:eastAsia="en-US" w:bidi="ar-SA"/>
    </w:rPr>
  </w:style>
  <w:style w:type="character" w:customStyle="1" w:styleId="CharChar221">
    <w:name w:val="Char Char221"/>
    <w:rsid w:val="0045493E"/>
    <w:rPr>
      <w:rFonts w:ascii="Arial Armenian" w:hAnsi="Arial Armenian"/>
      <w:lang w:val="ru-RU" w:eastAsia="ru-RU" w:bidi="ar-SA"/>
    </w:rPr>
  </w:style>
  <w:style w:type="paragraph" w:customStyle="1" w:styleId="Char1CharCharCharCharCharCharCharCharCharCharCharChar1">
    <w:name w:val="Char1 Char Char Char Char Char Char Char Char Char Char Char Char1"/>
    <w:basedOn w:val="Normal"/>
    <w:rsid w:val="0045493E"/>
    <w:pPr>
      <w:spacing w:before="0" w:after="160" w:line="240" w:lineRule="exact"/>
      <w:ind w:firstLine="0"/>
      <w:jc w:val="left"/>
    </w:pPr>
    <w:rPr>
      <w:rFonts w:ascii="Arial" w:eastAsia="Times New Roman" w:hAnsi="Arial" w:cs="Arial"/>
      <w:sz w:val="20"/>
      <w:szCs w:val="20"/>
    </w:rPr>
  </w:style>
  <w:style w:type="character" w:customStyle="1" w:styleId="CharChar151">
    <w:name w:val="Char Char151"/>
    <w:rsid w:val="0045493E"/>
    <w:rPr>
      <w:sz w:val="36"/>
      <w:lang w:val="en-GB" w:eastAsia="en-US" w:bidi="ar-SA"/>
    </w:rPr>
  </w:style>
  <w:style w:type="character" w:customStyle="1" w:styleId="CharChar131">
    <w:name w:val="Char Char131"/>
    <w:rsid w:val="0045493E"/>
    <w:rPr>
      <w:sz w:val="22"/>
      <w:lang w:val="en-GB" w:eastAsia="en-US" w:bidi="ar-SA"/>
    </w:rPr>
  </w:style>
  <w:style w:type="character" w:customStyle="1" w:styleId="CharChar122">
    <w:name w:val="Char Char122"/>
    <w:rsid w:val="0045493E"/>
    <w:rPr>
      <w:sz w:val="22"/>
      <w:lang w:val="en-GB" w:eastAsia="en-US" w:bidi="ar-SA"/>
    </w:rPr>
  </w:style>
  <w:style w:type="character" w:customStyle="1" w:styleId="CharChar101">
    <w:name w:val="Char Char101"/>
    <w:rsid w:val="0045493E"/>
    <w:rPr>
      <w:rFonts w:ascii="Times Armenian" w:hAnsi="Times Armenian"/>
      <w:color w:val="993300"/>
      <w:sz w:val="22"/>
      <w:szCs w:val="24"/>
      <w:lang w:val="hy-AM" w:eastAsia="en-US" w:bidi="ar-SA"/>
    </w:rPr>
  </w:style>
  <w:style w:type="character" w:customStyle="1" w:styleId="CharChar91">
    <w:name w:val="Char Char91"/>
    <w:rsid w:val="0045493E"/>
    <w:rPr>
      <w:rFonts w:ascii="Times Armenian" w:hAnsi="Times Armenian"/>
      <w:b/>
      <w:i/>
      <w:sz w:val="24"/>
      <w:u w:val="single"/>
      <w:lang w:val="hy-AM" w:eastAsia="en-US" w:bidi="ar-SA"/>
    </w:rPr>
  </w:style>
  <w:style w:type="character" w:customStyle="1" w:styleId="CharChar351">
    <w:name w:val="Char Char351"/>
    <w:rsid w:val="0045493E"/>
    <w:rPr>
      <w:rFonts w:ascii="Arial Armenian" w:hAnsi="Arial Armenian"/>
      <w:i/>
      <w:sz w:val="22"/>
      <w:u w:val="single"/>
      <w:lang w:val="en-GB"/>
    </w:rPr>
  </w:style>
  <w:style w:type="character" w:customStyle="1" w:styleId="CharChar341">
    <w:name w:val="Char Char341"/>
    <w:rsid w:val="0045493E"/>
    <w:rPr>
      <w:rFonts w:ascii="Garamond" w:hAnsi="Garamond"/>
      <w:i/>
      <w:spacing w:val="-5"/>
      <w:sz w:val="28"/>
      <w:shd w:val="pct5" w:color="auto" w:fill="auto"/>
      <w:lang w:val="en-GB"/>
    </w:rPr>
  </w:style>
  <w:style w:type="character" w:customStyle="1" w:styleId="CharChar331">
    <w:name w:val="Char Char331"/>
    <w:rsid w:val="0045493E"/>
    <w:rPr>
      <w:rFonts w:ascii="Arial Black" w:hAnsi="Arial Black"/>
      <w:caps/>
      <w:spacing w:val="60"/>
      <w:position w:val="4"/>
      <w:sz w:val="14"/>
      <w:lang w:val="en-GB"/>
    </w:rPr>
  </w:style>
  <w:style w:type="character" w:customStyle="1" w:styleId="CharChar321">
    <w:name w:val="Char Char321"/>
    <w:rsid w:val="0045493E"/>
    <w:rPr>
      <w:rFonts w:ascii="Garamond" w:hAnsi="Garamond"/>
      <w:b/>
      <w:i/>
      <w:kern w:val="28"/>
      <w:lang w:val="en-GB"/>
    </w:rPr>
  </w:style>
  <w:style w:type="character" w:customStyle="1" w:styleId="CharChar311">
    <w:name w:val="Char Char311"/>
    <w:rsid w:val="0045493E"/>
    <w:rPr>
      <w:rFonts w:ascii="Arial Armenian" w:hAnsi="Arial Armenian"/>
      <w:lang w:val="en-US" w:eastAsia="en-US" w:bidi="ar-SA"/>
    </w:rPr>
  </w:style>
  <w:style w:type="character" w:customStyle="1" w:styleId="CharChar301">
    <w:name w:val="Char Char301"/>
    <w:rsid w:val="0045493E"/>
    <w:rPr>
      <w:rFonts w:ascii="Arial Armenian" w:hAnsi="Arial Armenian"/>
      <w:lang w:val="en-GB" w:eastAsia="en-US" w:bidi="ar-SA"/>
    </w:rPr>
  </w:style>
  <w:style w:type="character" w:customStyle="1" w:styleId="CharChar291">
    <w:name w:val="Char Char291"/>
    <w:rsid w:val="0045493E"/>
    <w:rPr>
      <w:rFonts w:ascii="Arial Armenian" w:hAnsi="Arial Armenian"/>
      <w:lang w:val="ru-RU" w:eastAsia="ru-RU" w:bidi="ar-SA"/>
    </w:rPr>
  </w:style>
  <w:style w:type="paragraph" w:customStyle="1" w:styleId="CharChar5CharCharCharCharCharChar1">
    <w:name w:val="Char Char5 Char Char Char Char Char Char1"/>
    <w:basedOn w:val="Normal"/>
    <w:rsid w:val="0045493E"/>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5CharCharCharChar1">
    <w:name w:val="Char Char5 Char Char Char Char1"/>
    <w:basedOn w:val="Normal"/>
    <w:rsid w:val="0045493E"/>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5CharChar1">
    <w:name w:val="Char Char5 Char Char1"/>
    <w:basedOn w:val="Normal"/>
    <w:rsid w:val="0045493E"/>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character" w:customStyle="1" w:styleId="CharChar61">
    <w:name w:val="Char Char61"/>
    <w:locked/>
    <w:rsid w:val="0045493E"/>
    <w:rPr>
      <w:rFonts w:ascii="Times LatArm" w:eastAsia="Calibri" w:hAnsi="Times LatArm" w:cs="Times LatArm"/>
      <w:sz w:val="22"/>
      <w:szCs w:val="22"/>
      <w:lang w:val="en-GB" w:eastAsia="en-US" w:bidi="ar-SA"/>
    </w:rPr>
  </w:style>
  <w:style w:type="character" w:customStyle="1" w:styleId="CharChar81">
    <w:name w:val="Char Char81"/>
    <w:locked/>
    <w:rsid w:val="0045493E"/>
    <w:rPr>
      <w:rFonts w:ascii="Times Armenian" w:eastAsia="Calibri" w:hAnsi="Times Armenian" w:cs="Times Armenian"/>
      <w:color w:val="993300"/>
      <w:sz w:val="22"/>
      <w:szCs w:val="22"/>
      <w:lang w:val="hy-AM" w:eastAsia="en-US" w:bidi="ar-SA"/>
    </w:rPr>
  </w:style>
  <w:style w:type="character" w:customStyle="1" w:styleId="CharChar71">
    <w:name w:val="Char Char71"/>
    <w:locked/>
    <w:rsid w:val="0045493E"/>
    <w:rPr>
      <w:rFonts w:ascii="Courier New" w:eastAsia="Calibri" w:hAnsi="Courier New" w:cs="Courier New"/>
      <w:lang w:val="en-US" w:eastAsia="en-US" w:bidi="ar-SA"/>
    </w:rPr>
  </w:style>
  <w:style w:type="character" w:customStyle="1" w:styleId="CharChar41">
    <w:name w:val="Char Char41"/>
    <w:locked/>
    <w:rsid w:val="0045493E"/>
    <w:rPr>
      <w:rFonts w:eastAsia="Calibri"/>
      <w:sz w:val="22"/>
      <w:szCs w:val="22"/>
      <w:lang w:val="en-GB" w:eastAsia="en-US" w:bidi="ar-SA"/>
    </w:rPr>
  </w:style>
  <w:style w:type="character" w:customStyle="1" w:styleId="CharChar36">
    <w:name w:val="Char Char36"/>
    <w:locked/>
    <w:rsid w:val="0045493E"/>
    <w:rPr>
      <w:rFonts w:eastAsia="Calibri"/>
      <w:sz w:val="22"/>
      <w:szCs w:val="22"/>
      <w:lang w:val="en-GB" w:eastAsia="en-US" w:bidi="ar-SA"/>
    </w:rPr>
  </w:style>
  <w:style w:type="character" w:customStyle="1" w:styleId="CharChar210">
    <w:name w:val="Char Char210"/>
    <w:locked/>
    <w:rsid w:val="0045493E"/>
    <w:rPr>
      <w:rFonts w:ascii="Times Armenian" w:eastAsia="Calibri" w:hAnsi="Times Armenian" w:cs="Times Armenian"/>
      <w:b/>
      <w:bCs/>
      <w:sz w:val="22"/>
      <w:szCs w:val="22"/>
      <w:lang w:val="en-US" w:eastAsia="en-US" w:bidi="ar-SA"/>
    </w:rPr>
  </w:style>
  <w:style w:type="table" w:customStyle="1" w:styleId="TableGrid6">
    <w:name w:val="Table Grid6"/>
    <w:basedOn w:val="TableNormal"/>
    <w:uiPriority w:val="39"/>
    <w:rsid w:val="0045493E"/>
    <w:pPr>
      <w:jc w:val="center"/>
    </w:pPr>
    <w:rPr>
      <w:rFonts w:ascii="Sylfaen" w:eastAsia="Calibri" w:hAnsi="Sylfaen"/>
      <w:sz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45493E"/>
    <w:rPr>
      <w:rFonts w:ascii="Calibri" w:eastAsia="Calibri" w:hAnsi="Calibri" w:cs="Calibri"/>
      <w:lang w:val="hy-AM"/>
    </w:rPr>
    <w:tblP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
    <w:name w:val="Table Grid22"/>
    <w:basedOn w:val="TableNormal"/>
    <w:uiPriority w:val="39"/>
    <w:rsid w:val="0045493E"/>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45493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45493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uiPriority w:val="39"/>
    <w:rsid w:val="0045493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uiPriority w:val="39"/>
    <w:rsid w:val="0045493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45493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uiPriority w:val="39"/>
    <w:rsid w:val="0045493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5493E"/>
    <w:rPr>
      <w:color w:val="605E5C"/>
      <w:shd w:val="clear" w:color="auto" w:fill="E1DFDD"/>
    </w:rPr>
  </w:style>
  <w:style w:type="table" w:customStyle="1" w:styleId="GridTable1Light-Accent11">
    <w:name w:val="Grid Table 1 Light - Accent 11"/>
    <w:basedOn w:val="TableNormal"/>
    <w:uiPriority w:val="46"/>
    <w:rsid w:val="0045493E"/>
    <w:rPr>
      <w:rFonts w:eastAsiaTheme="minorHAnsi"/>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12">
    <w:name w:val="Table Grid12"/>
    <w:basedOn w:val="TableNormal"/>
    <w:uiPriority w:val="39"/>
    <w:rsid w:val="0045493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
    <w:name w:val="Grid Table 4 - Accent 12"/>
    <w:basedOn w:val="TableNormal"/>
    <w:uiPriority w:val="49"/>
    <w:rsid w:val="0045493E"/>
    <w:rPr>
      <w:rFonts w:eastAsia="Calibri"/>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3">
    <w:name w:val="Grid Table 4 - Accent 13"/>
    <w:basedOn w:val="TableNormal"/>
    <w:uiPriority w:val="49"/>
    <w:rsid w:val="0045493E"/>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30">
    <w:name w:val="Grid Table 4 - Accent 13"/>
    <w:basedOn w:val="TableNormal"/>
    <w:uiPriority w:val="49"/>
    <w:rsid w:val="0045493E"/>
    <w:rPr>
      <w:rFonts w:eastAsia="Calibri"/>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4">
    <w:name w:val="Grid Table 4 - Accent 14"/>
    <w:basedOn w:val="TableNormal"/>
    <w:uiPriority w:val="49"/>
    <w:rsid w:val="0045493E"/>
    <w:rPr>
      <w:rFonts w:eastAsia="Calibri"/>
      <w:lang w:val="es-PE"/>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
    <w:name w:val="List Table 3 - Accent 11"/>
    <w:basedOn w:val="TableNormal"/>
    <w:uiPriority w:val="48"/>
    <w:rsid w:val="0045493E"/>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31">
    <w:name w:val="Grid Table 4 - Accent 131"/>
    <w:basedOn w:val="TableNormal"/>
    <w:uiPriority w:val="49"/>
    <w:rsid w:val="0045493E"/>
    <w:rPr>
      <w:rFonts w:eastAsia="Calibri"/>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41">
    <w:name w:val="Grid Table 4 - Accent 141"/>
    <w:basedOn w:val="TableNormal"/>
    <w:uiPriority w:val="49"/>
    <w:rsid w:val="0045493E"/>
    <w:rPr>
      <w:rFonts w:eastAsia="Calibri"/>
      <w:lang w:val="es-PE"/>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
    <w:name w:val="No List1"/>
    <w:next w:val="NoList"/>
    <w:semiHidden/>
    <w:unhideWhenUsed/>
    <w:rsid w:val="006A4BFC"/>
  </w:style>
  <w:style w:type="table" w:customStyle="1" w:styleId="TableGrid13">
    <w:name w:val="Table Grid13"/>
    <w:basedOn w:val="TableNormal"/>
    <w:next w:val="TableGrid"/>
    <w:rsid w:val="006A4BFC"/>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6A4BFC"/>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otnoteTextChar1">
    <w:name w:val="Footnote Text Char1"/>
    <w:aliases w:val="fn Char1,ADB Char1,single space Char,footnote text Char Char,Footnote Text Char Char,fn Char Char,ADB Char Char,single space Char Char Char,footnote text Char1,FOOTNOTES Char Char,FOOTNOTES Char Char Char Char,FOOTNOTES Char1,f Char"/>
    <w:rsid w:val="00F86750"/>
    <w:rPr>
      <w:rFonts w:ascii="GHEA Grapalat" w:hAnsi="GHEA Grapalat"/>
      <w:i/>
      <w:sz w:val="16"/>
    </w:rPr>
  </w:style>
  <w:style w:type="numbering" w:customStyle="1" w:styleId="NoList2">
    <w:name w:val="No List2"/>
    <w:next w:val="NoList"/>
    <w:semiHidden/>
    <w:unhideWhenUsed/>
    <w:rsid w:val="00F3166F"/>
  </w:style>
  <w:style w:type="table" w:customStyle="1" w:styleId="TableGrid14">
    <w:name w:val="Table Grid14"/>
    <w:basedOn w:val="TableNormal"/>
    <w:next w:val="TableGrid"/>
    <w:uiPriority w:val="39"/>
    <w:rsid w:val="00F3166F"/>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uiPriority w:val="40"/>
    <w:rsid w:val="00F3166F"/>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3">
    <w:name w:val="No List3"/>
    <w:next w:val="NoList"/>
    <w:semiHidden/>
    <w:unhideWhenUsed/>
    <w:rsid w:val="00F3166F"/>
  </w:style>
  <w:style w:type="table" w:customStyle="1" w:styleId="TableGrid15">
    <w:name w:val="Table Grid15"/>
    <w:basedOn w:val="TableNormal"/>
    <w:next w:val="TableGrid"/>
    <w:uiPriority w:val="39"/>
    <w:rsid w:val="00F3166F"/>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B33F9"/>
    <w:pPr>
      <w:keepNext/>
      <w:keepLines/>
      <w:spacing w:after="0" w:line="259" w:lineRule="auto"/>
      <w:contextualSpacing w:val="0"/>
      <w:outlineLvl w:val="9"/>
    </w:pPr>
    <w:rPr>
      <w:rFonts w:asciiTheme="majorHAnsi" w:hAnsiTheme="majorHAnsi"/>
      <w:b w:val="0"/>
      <w:bCs w:val="0"/>
      <w:color w:val="365F91" w:themeColor="accent1" w:themeShade="BF"/>
      <w:szCs w:val="32"/>
    </w:rPr>
  </w:style>
  <w:style w:type="table" w:styleId="MediumGrid3-Accent1">
    <w:name w:val="Medium Grid 3 Accent 1"/>
    <w:basedOn w:val="TableNormal"/>
    <w:uiPriority w:val="69"/>
    <w:rsid w:val="00374D1B"/>
    <w:rPr>
      <w:rFonts w:eastAsiaTheme="minorHAns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ide1">
    <w:name w:val="Side1"/>
    <w:basedOn w:val="Normal"/>
    <w:next w:val="Normal"/>
    <w:unhideWhenUsed/>
    <w:qFormat/>
    <w:rsid w:val="00374D1B"/>
    <w:pPr>
      <w:spacing w:before="200" w:after="0"/>
      <w:outlineLvl w:val="4"/>
    </w:pPr>
    <w:rPr>
      <w:rFonts w:ascii="Cambria" w:eastAsia="Times New Roman" w:hAnsi="Cambria" w:cs="Times New Roman"/>
      <w:b/>
      <w:bCs/>
      <w:color w:val="7F7F7F"/>
    </w:rPr>
  </w:style>
  <w:style w:type="paragraph" w:customStyle="1" w:styleId="Heading61">
    <w:name w:val="Heading 61"/>
    <w:basedOn w:val="Normal"/>
    <w:next w:val="Normal"/>
    <w:unhideWhenUsed/>
    <w:qFormat/>
    <w:rsid w:val="00374D1B"/>
    <w:pPr>
      <w:spacing w:after="0" w:line="271" w:lineRule="auto"/>
      <w:outlineLvl w:val="5"/>
    </w:pPr>
    <w:rPr>
      <w:rFonts w:ascii="Cambria" w:eastAsia="Times New Roman" w:hAnsi="Cambria" w:cs="Times New Roman"/>
      <w:b/>
      <w:bCs/>
      <w:i/>
      <w:iCs/>
      <w:color w:val="7F7F7F"/>
    </w:rPr>
  </w:style>
  <w:style w:type="paragraph" w:customStyle="1" w:styleId="Heading71">
    <w:name w:val="Heading 71"/>
    <w:basedOn w:val="Normal"/>
    <w:next w:val="Normal"/>
    <w:unhideWhenUsed/>
    <w:qFormat/>
    <w:rsid w:val="00374D1B"/>
    <w:pPr>
      <w:spacing w:after="0"/>
      <w:outlineLvl w:val="6"/>
    </w:pPr>
    <w:rPr>
      <w:rFonts w:ascii="Cambria" w:eastAsia="Times New Roman" w:hAnsi="Cambria" w:cs="Times New Roman"/>
      <w:i/>
      <w:iCs/>
    </w:rPr>
  </w:style>
  <w:style w:type="paragraph" w:customStyle="1" w:styleId="Heading81">
    <w:name w:val="Heading 81"/>
    <w:basedOn w:val="Normal"/>
    <w:next w:val="Normal"/>
    <w:unhideWhenUsed/>
    <w:qFormat/>
    <w:rsid w:val="00374D1B"/>
    <w:pPr>
      <w:spacing w:after="0"/>
      <w:outlineLvl w:val="7"/>
    </w:pPr>
    <w:rPr>
      <w:rFonts w:ascii="Cambria" w:eastAsia="Times New Roman" w:hAnsi="Cambria" w:cs="Times New Roman"/>
      <w:sz w:val="20"/>
      <w:szCs w:val="20"/>
    </w:rPr>
  </w:style>
  <w:style w:type="paragraph" w:customStyle="1" w:styleId="Heading91">
    <w:name w:val="Heading 91"/>
    <w:basedOn w:val="Normal"/>
    <w:next w:val="Normal"/>
    <w:unhideWhenUsed/>
    <w:qFormat/>
    <w:rsid w:val="00374D1B"/>
    <w:pPr>
      <w:spacing w:after="0"/>
      <w:outlineLvl w:val="8"/>
    </w:pPr>
    <w:rPr>
      <w:rFonts w:ascii="Cambria" w:eastAsia="Times New Roman" w:hAnsi="Cambria" w:cs="Times New Roman"/>
      <w:i/>
      <w:iCs/>
      <w:spacing w:val="5"/>
      <w:sz w:val="20"/>
      <w:szCs w:val="20"/>
    </w:rPr>
  </w:style>
  <w:style w:type="paragraph" w:customStyle="1" w:styleId="BodyTextMaintext1">
    <w:name w:val="Body Text (Main text)1"/>
    <w:basedOn w:val="Normal"/>
    <w:next w:val="BodyText"/>
    <w:rsid w:val="00374D1B"/>
    <w:pPr>
      <w:spacing w:after="120"/>
    </w:pPr>
    <w:rPr>
      <w:rFonts w:eastAsiaTheme="minorHAnsi"/>
    </w:rPr>
  </w:style>
  <w:style w:type="paragraph" w:customStyle="1" w:styleId="BodyTextIndent31">
    <w:name w:val="Body Text Indent 31"/>
    <w:basedOn w:val="Normal"/>
    <w:next w:val="BodyTextIndent3"/>
    <w:rsid w:val="00374D1B"/>
    <w:rPr>
      <w:rFonts w:ascii="Arial Armenian" w:eastAsiaTheme="minorHAnsi" w:hAnsi="Arial Armenian"/>
      <w:noProof/>
      <w:sz w:val="20"/>
      <w:szCs w:val="20"/>
    </w:rPr>
  </w:style>
  <w:style w:type="paragraph" w:customStyle="1" w:styleId="BodyTextIndent21">
    <w:name w:val="Body Text Indent 21"/>
    <w:basedOn w:val="Normal"/>
    <w:next w:val="BodyTextIndent2"/>
    <w:rsid w:val="00374D1B"/>
    <w:pPr>
      <w:widowControl w:val="0"/>
      <w:spacing w:after="120"/>
      <w:ind w:left="720" w:firstLine="720"/>
    </w:pPr>
    <w:rPr>
      <w:rFonts w:ascii="Arial Armenian" w:eastAsiaTheme="minorHAnsi" w:hAnsi="Arial Armenian"/>
      <w:sz w:val="20"/>
      <w:szCs w:val="20"/>
      <w:lang w:val="en-GB"/>
    </w:rPr>
  </w:style>
  <w:style w:type="paragraph" w:customStyle="1" w:styleId="TableSource11">
    <w:name w:val="(Table Source)11"/>
    <w:basedOn w:val="BodyText"/>
    <w:next w:val="Normal"/>
    <w:rsid w:val="00374D1B"/>
    <w:pPr>
      <w:widowControl w:val="0"/>
      <w:spacing w:before="60" w:after="60"/>
      <w:ind w:firstLine="652"/>
    </w:pPr>
    <w:rPr>
      <w:rFonts w:ascii="Arial Armenian" w:eastAsia="Times New Roman" w:hAnsi="Arial Armenian" w:cs="Times New Roman"/>
      <w:i/>
      <w:sz w:val="16"/>
      <w:szCs w:val="20"/>
      <w:lang w:val="en-GB"/>
    </w:rPr>
  </w:style>
  <w:style w:type="character" w:customStyle="1" w:styleId="BodyTextIndentChar1">
    <w:name w:val="Body Text Indent Char1"/>
    <w:aliases w:val="(Table Source) Char1, (Table Source) Char,(Table Source) Char Char,(Table Source)1 Char,Body Text Indent Char Char,Body Text Indent Char Char Char"/>
    <w:rsid w:val="00374D1B"/>
    <w:rPr>
      <w:rFonts w:ascii="Arial Armenian" w:hAnsi="Arial Armenian"/>
      <w:i/>
      <w:sz w:val="16"/>
      <w:szCs w:val="20"/>
      <w:lang w:val="en-GB"/>
    </w:rPr>
  </w:style>
  <w:style w:type="paragraph" w:customStyle="1" w:styleId="1Text1">
    <w:name w:val="1Text1"/>
    <w:basedOn w:val="Normal"/>
    <w:next w:val="BodyText2"/>
    <w:qFormat/>
    <w:rsid w:val="00374D1B"/>
    <w:pPr>
      <w:spacing w:after="120" w:line="480" w:lineRule="auto"/>
    </w:pPr>
    <w:rPr>
      <w:rFonts w:eastAsiaTheme="minorHAnsi"/>
      <w:sz w:val="20"/>
      <w:szCs w:val="20"/>
      <w:lang w:val="ru-RU" w:eastAsia="ru-RU"/>
    </w:rPr>
  </w:style>
  <w:style w:type="paragraph" w:customStyle="1" w:styleId="BodyText31">
    <w:name w:val="Body Text 31"/>
    <w:basedOn w:val="Normal"/>
    <w:next w:val="BodyText3"/>
    <w:rsid w:val="00374D1B"/>
    <w:pPr>
      <w:spacing w:after="120"/>
    </w:pPr>
    <w:rPr>
      <w:rFonts w:eastAsiaTheme="minorHAnsi"/>
      <w:sz w:val="16"/>
      <w:szCs w:val="16"/>
      <w:lang w:val="ru-RU" w:eastAsia="ru-RU"/>
    </w:rPr>
  </w:style>
  <w:style w:type="paragraph" w:customStyle="1" w:styleId="ListBullet1">
    <w:name w:val="List Bullet1"/>
    <w:basedOn w:val="Normal"/>
    <w:next w:val="ListBullet"/>
    <w:autoRedefine/>
    <w:qFormat/>
    <w:rsid w:val="00374D1B"/>
    <w:pPr>
      <w:tabs>
        <w:tab w:val="num" w:pos="360"/>
      </w:tabs>
      <w:overflowPunct w:val="0"/>
      <w:autoSpaceDE w:val="0"/>
      <w:autoSpaceDN w:val="0"/>
      <w:adjustRightInd w:val="0"/>
      <w:spacing w:before="130"/>
      <w:ind w:left="360" w:hanging="360"/>
      <w:textAlignment w:val="baseline"/>
    </w:pPr>
    <w:rPr>
      <w:rFonts w:eastAsia="Times New Roman" w:cs="Times New Roman"/>
      <w:lang w:val="en-GB"/>
    </w:rPr>
  </w:style>
  <w:style w:type="paragraph" w:customStyle="1" w:styleId="EndnoteText1">
    <w:name w:val="Endnote Text1"/>
    <w:basedOn w:val="Normal"/>
    <w:next w:val="EndnoteText"/>
    <w:rsid w:val="00374D1B"/>
    <w:rPr>
      <w:rFonts w:eastAsiaTheme="minorHAnsi"/>
      <w:sz w:val="20"/>
      <w:szCs w:val="20"/>
      <w:lang w:val="en-GB"/>
    </w:rPr>
  </w:style>
  <w:style w:type="paragraph" w:customStyle="1" w:styleId="BlockText1">
    <w:name w:val="Block Text1"/>
    <w:basedOn w:val="Normal"/>
    <w:next w:val="BlockText"/>
    <w:rsid w:val="00374D1B"/>
    <w:pPr>
      <w:spacing w:line="360" w:lineRule="auto"/>
      <w:ind w:left="-709" w:right="-483"/>
    </w:pPr>
    <w:rPr>
      <w:rFonts w:ascii="Times Armenian" w:eastAsia="Times New Roman" w:hAnsi="Times Armenian" w:cs="Times New Roman"/>
      <w:szCs w:val="20"/>
    </w:rPr>
  </w:style>
  <w:style w:type="paragraph" w:customStyle="1" w:styleId="TOC41">
    <w:name w:val="TOC 41"/>
    <w:basedOn w:val="Normal"/>
    <w:next w:val="Normal"/>
    <w:autoRedefine/>
    <w:uiPriority w:val="39"/>
    <w:rsid w:val="00374D1B"/>
    <w:pPr>
      <w:spacing w:before="0" w:after="0"/>
      <w:ind w:left="660"/>
      <w:jc w:val="left"/>
    </w:pPr>
    <w:rPr>
      <w:rFonts w:ascii="Calibri" w:eastAsia="Times New Roman" w:hAnsi="Calibri" w:cs="Calibri"/>
      <w:sz w:val="20"/>
      <w:szCs w:val="20"/>
    </w:rPr>
  </w:style>
  <w:style w:type="paragraph" w:customStyle="1" w:styleId="TOC51">
    <w:name w:val="TOC 51"/>
    <w:basedOn w:val="Normal"/>
    <w:next w:val="Normal"/>
    <w:autoRedefine/>
    <w:uiPriority w:val="39"/>
    <w:rsid w:val="00374D1B"/>
    <w:pPr>
      <w:spacing w:before="0" w:after="0"/>
      <w:ind w:left="880"/>
      <w:jc w:val="left"/>
    </w:pPr>
    <w:rPr>
      <w:rFonts w:ascii="Calibri" w:eastAsia="Times New Roman" w:hAnsi="Calibri" w:cs="Calibri"/>
      <w:sz w:val="20"/>
      <w:szCs w:val="20"/>
    </w:rPr>
  </w:style>
  <w:style w:type="paragraph" w:customStyle="1" w:styleId="Title10">
    <w:name w:val="Title1"/>
    <w:basedOn w:val="Normal"/>
    <w:next w:val="Normal"/>
    <w:qFormat/>
    <w:rsid w:val="00374D1B"/>
    <w:pPr>
      <w:pBdr>
        <w:bottom w:val="single" w:sz="4" w:space="1" w:color="auto"/>
      </w:pBdr>
      <w:spacing w:line="240" w:lineRule="auto"/>
      <w:contextualSpacing/>
    </w:pPr>
    <w:rPr>
      <w:rFonts w:ascii="Cambria" w:eastAsia="Times New Roman" w:hAnsi="Cambria" w:cs="Times New Roman"/>
      <w:spacing w:val="5"/>
      <w:sz w:val="52"/>
      <w:szCs w:val="52"/>
    </w:rPr>
  </w:style>
  <w:style w:type="paragraph" w:customStyle="1" w:styleId="PlainText1">
    <w:name w:val="Plain Text1"/>
    <w:basedOn w:val="Normal"/>
    <w:next w:val="PlainText"/>
    <w:rsid w:val="00374D1B"/>
    <w:pPr>
      <w:spacing w:before="120"/>
    </w:pPr>
    <w:rPr>
      <w:rFonts w:ascii="Courier New" w:eastAsiaTheme="minorHAnsi" w:hAnsi="Courier New"/>
      <w:sz w:val="20"/>
      <w:szCs w:val="20"/>
    </w:rPr>
  </w:style>
  <w:style w:type="paragraph" w:customStyle="1" w:styleId="TOC61">
    <w:name w:val="TOC 61"/>
    <w:basedOn w:val="Normal"/>
    <w:next w:val="Normal"/>
    <w:autoRedefine/>
    <w:uiPriority w:val="39"/>
    <w:rsid w:val="00374D1B"/>
    <w:pPr>
      <w:spacing w:before="0" w:after="0"/>
      <w:ind w:left="1100"/>
      <w:jc w:val="left"/>
    </w:pPr>
    <w:rPr>
      <w:rFonts w:ascii="Calibri" w:eastAsia="Times New Roman" w:hAnsi="Calibri" w:cs="Calibri"/>
      <w:sz w:val="20"/>
      <w:szCs w:val="20"/>
    </w:rPr>
  </w:style>
  <w:style w:type="paragraph" w:customStyle="1" w:styleId="TOC71">
    <w:name w:val="TOC 71"/>
    <w:basedOn w:val="Normal"/>
    <w:next w:val="Normal"/>
    <w:autoRedefine/>
    <w:uiPriority w:val="39"/>
    <w:rsid w:val="00374D1B"/>
    <w:pPr>
      <w:spacing w:before="0" w:after="0"/>
      <w:ind w:left="1320"/>
      <w:jc w:val="left"/>
    </w:pPr>
    <w:rPr>
      <w:rFonts w:ascii="Calibri" w:eastAsia="Times New Roman" w:hAnsi="Calibri" w:cs="Calibri"/>
      <w:sz w:val="20"/>
      <w:szCs w:val="20"/>
    </w:rPr>
  </w:style>
  <w:style w:type="paragraph" w:customStyle="1" w:styleId="TOC81">
    <w:name w:val="TOC 81"/>
    <w:basedOn w:val="Normal"/>
    <w:next w:val="Normal"/>
    <w:autoRedefine/>
    <w:uiPriority w:val="39"/>
    <w:rsid w:val="00374D1B"/>
    <w:pPr>
      <w:spacing w:before="0" w:after="0"/>
      <w:ind w:left="1540"/>
      <w:jc w:val="left"/>
    </w:pPr>
    <w:rPr>
      <w:rFonts w:ascii="Calibri" w:eastAsia="Times New Roman" w:hAnsi="Calibri" w:cs="Calibri"/>
      <w:sz w:val="20"/>
      <w:szCs w:val="20"/>
    </w:rPr>
  </w:style>
  <w:style w:type="paragraph" w:customStyle="1" w:styleId="TOC91">
    <w:name w:val="TOC 91"/>
    <w:basedOn w:val="Normal"/>
    <w:next w:val="Normal"/>
    <w:autoRedefine/>
    <w:uiPriority w:val="39"/>
    <w:rsid w:val="00374D1B"/>
    <w:pPr>
      <w:spacing w:before="0" w:after="0"/>
      <w:ind w:left="1760"/>
      <w:jc w:val="left"/>
    </w:pPr>
    <w:rPr>
      <w:rFonts w:ascii="Calibri" w:eastAsia="Times New Roman" w:hAnsi="Calibri" w:cs="Calibri"/>
      <w:sz w:val="20"/>
      <w:szCs w:val="20"/>
    </w:rPr>
  </w:style>
  <w:style w:type="paragraph" w:customStyle="1" w:styleId="TableofFigures1">
    <w:name w:val="Table of Figures1"/>
    <w:basedOn w:val="Normal"/>
    <w:next w:val="Normal"/>
    <w:rsid w:val="00374D1B"/>
    <w:pPr>
      <w:ind w:left="480" w:hanging="480"/>
    </w:pPr>
    <w:rPr>
      <w:rFonts w:eastAsia="Times New Roman" w:cs="Times New Roman"/>
      <w:sz w:val="20"/>
    </w:rPr>
  </w:style>
  <w:style w:type="paragraph" w:customStyle="1" w:styleId="Subtitle1">
    <w:name w:val="Subtitle1"/>
    <w:basedOn w:val="Normal"/>
    <w:next w:val="Normal"/>
    <w:qFormat/>
    <w:rsid w:val="00374D1B"/>
    <w:pPr>
      <w:spacing w:after="600"/>
    </w:pPr>
    <w:rPr>
      <w:rFonts w:ascii="Cambria" w:eastAsia="Times New Roman" w:hAnsi="Cambria" w:cs="Times New Roman"/>
      <w:i/>
      <w:iCs/>
      <w:spacing w:val="13"/>
      <w:sz w:val="24"/>
      <w:szCs w:val="24"/>
    </w:rPr>
  </w:style>
  <w:style w:type="paragraph" w:customStyle="1" w:styleId="Index11">
    <w:name w:val="Index 11"/>
    <w:basedOn w:val="Normal"/>
    <w:next w:val="Normal"/>
    <w:autoRedefine/>
    <w:rsid w:val="00374D1B"/>
    <w:pPr>
      <w:ind w:left="240" w:hanging="240"/>
    </w:pPr>
    <w:rPr>
      <w:rFonts w:eastAsia="Times New Roman" w:cs="Times New Roman"/>
    </w:rPr>
  </w:style>
  <w:style w:type="paragraph" w:customStyle="1" w:styleId="Index21">
    <w:name w:val="Index 21"/>
    <w:basedOn w:val="Normal"/>
    <w:next w:val="Normal"/>
    <w:autoRedefine/>
    <w:rsid w:val="00374D1B"/>
    <w:pPr>
      <w:ind w:left="480" w:hanging="240"/>
    </w:pPr>
    <w:rPr>
      <w:rFonts w:eastAsia="Times New Roman" w:cs="Times New Roman"/>
    </w:rPr>
  </w:style>
  <w:style w:type="paragraph" w:customStyle="1" w:styleId="Index31">
    <w:name w:val="Index 31"/>
    <w:basedOn w:val="Normal"/>
    <w:next w:val="Normal"/>
    <w:autoRedefine/>
    <w:rsid w:val="00374D1B"/>
    <w:pPr>
      <w:ind w:left="720" w:hanging="240"/>
    </w:pPr>
    <w:rPr>
      <w:rFonts w:eastAsia="Times New Roman" w:cs="Times New Roman"/>
    </w:rPr>
  </w:style>
  <w:style w:type="paragraph" w:customStyle="1" w:styleId="Index41">
    <w:name w:val="Index 41"/>
    <w:basedOn w:val="Normal"/>
    <w:next w:val="Normal"/>
    <w:autoRedefine/>
    <w:rsid w:val="00374D1B"/>
    <w:pPr>
      <w:ind w:left="960" w:hanging="240"/>
    </w:pPr>
    <w:rPr>
      <w:rFonts w:eastAsia="Times New Roman" w:cs="Times New Roman"/>
    </w:rPr>
  </w:style>
  <w:style w:type="paragraph" w:customStyle="1" w:styleId="Index51">
    <w:name w:val="Index 51"/>
    <w:basedOn w:val="Normal"/>
    <w:next w:val="Normal"/>
    <w:autoRedefine/>
    <w:rsid w:val="00374D1B"/>
    <w:pPr>
      <w:ind w:left="1200" w:hanging="240"/>
    </w:pPr>
    <w:rPr>
      <w:rFonts w:eastAsia="Times New Roman" w:cs="Times New Roman"/>
    </w:rPr>
  </w:style>
  <w:style w:type="paragraph" w:customStyle="1" w:styleId="Index61">
    <w:name w:val="Index 61"/>
    <w:basedOn w:val="Normal"/>
    <w:next w:val="Normal"/>
    <w:autoRedefine/>
    <w:rsid w:val="00374D1B"/>
    <w:pPr>
      <w:ind w:left="1440" w:hanging="240"/>
    </w:pPr>
    <w:rPr>
      <w:rFonts w:eastAsia="Times New Roman" w:cs="Times New Roman"/>
    </w:rPr>
  </w:style>
  <w:style w:type="paragraph" w:customStyle="1" w:styleId="Index71">
    <w:name w:val="Index 71"/>
    <w:basedOn w:val="Normal"/>
    <w:next w:val="Normal"/>
    <w:autoRedefine/>
    <w:rsid w:val="00374D1B"/>
    <w:pPr>
      <w:ind w:left="1680" w:hanging="240"/>
    </w:pPr>
    <w:rPr>
      <w:rFonts w:eastAsia="Times New Roman" w:cs="Times New Roman"/>
    </w:rPr>
  </w:style>
  <w:style w:type="paragraph" w:customStyle="1" w:styleId="Index81">
    <w:name w:val="Index 81"/>
    <w:basedOn w:val="Normal"/>
    <w:next w:val="Normal"/>
    <w:autoRedefine/>
    <w:rsid w:val="00374D1B"/>
    <w:pPr>
      <w:ind w:left="1920" w:hanging="240"/>
    </w:pPr>
    <w:rPr>
      <w:rFonts w:eastAsia="Times New Roman" w:cs="Times New Roman"/>
    </w:rPr>
  </w:style>
  <w:style w:type="paragraph" w:customStyle="1" w:styleId="Index91">
    <w:name w:val="Index 91"/>
    <w:basedOn w:val="Normal"/>
    <w:next w:val="Normal"/>
    <w:autoRedefine/>
    <w:rsid w:val="00374D1B"/>
    <w:pPr>
      <w:ind w:left="2160" w:hanging="240"/>
    </w:pPr>
    <w:rPr>
      <w:rFonts w:eastAsia="Times New Roman" w:cs="Times New Roman"/>
    </w:rPr>
  </w:style>
  <w:style w:type="paragraph" w:customStyle="1" w:styleId="IndexHeading1">
    <w:name w:val="Index Heading1"/>
    <w:basedOn w:val="Normal"/>
    <w:next w:val="Index1"/>
    <w:rsid w:val="00374D1B"/>
    <w:rPr>
      <w:rFonts w:eastAsia="Times New Roman" w:cs="Times New Roman"/>
    </w:rPr>
  </w:style>
  <w:style w:type="paragraph" w:customStyle="1" w:styleId="NormalIndent1">
    <w:name w:val="Normal Indent1"/>
    <w:basedOn w:val="Normal"/>
    <w:next w:val="NormalIndent"/>
    <w:rsid w:val="00374D1B"/>
    <w:pPr>
      <w:tabs>
        <w:tab w:val="left" w:pos="1134"/>
        <w:tab w:val="left" w:pos="1701"/>
        <w:tab w:val="left" w:pos="2835"/>
        <w:tab w:val="left" w:pos="5103"/>
        <w:tab w:val="left" w:pos="7371"/>
        <w:tab w:val="right" w:pos="9639"/>
      </w:tabs>
      <w:ind w:left="1134"/>
    </w:pPr>
    <w:rPr>
      <w:rFonts w:eastAsia="Times New Roman" w:cs="Times New Roman"/>
      <w:lang w:val="en-GB"/>
    </w:rPr>
  </w:style>
  <w:style w:type="paragraph" w:customStyle="1" w:styleId="webb1">
    <w:name w:val="webb1"/>
    <w:basedOn w:val="Normal"/>
    <w:next w:val="NormalWeb"/>
    <w:uiPriority w:val="99"/>
    <w:qFormat/>
    <w:rsid w:val="00374D1B"/>
    <w:pPr>
      <w:spacing w:before="100" w:after="100"/>
    </w:pPr>
    <w:rPr>
      <w:rFonts w:eastAsia="Times New Roman" w:cs="Times New Roman"/>
      <w:szCs w:val="20"/>
    </w:rPr>
  </w:style>
  <w:style w:type="paragraph" w:customStyle="1" w:styleId="ListBullet21">
    <w:name w:val="List Bullet 21"/>
    <w:basedOn w:val="Normal"/>
    <w:next w:val="ListBullet2"/>
    <w:autoRedefine/>
    <w:rsid w:val="00374D1B"/>
    <w:pPr>
      <w:ind w:left="720" w:hanging="360"/>
    </w:pPr>
    <w:rPr>
      <w:rFonts w:eastAsia="Times New Roman" w:cs="Times New Roman"/>
    </w:rPr>
  </w:style>
  <w:style w:type="paragraph" w:customStyle="1" w:styleId="BodyTextFirstIndent1">
    <w:name w:val="Body Text First Indent1"/>
    <w:basedOn w:val="BodyText"/>
    <w:next w:val="BodyTextFirstIndent"/>
    <w:rsid w:val="00374D1B"/>
    <w:pPr>
      <w:ind w:firstLine="210"/>
    </w:pPr>
    <w:rPr>
      <w:rFonts w:eastAsiaTheme="minorHAnsi"/>
      <w:lang w:val="ru-RU" w:eastAsia="ru-RU"/>
    </w:rPr>
  </w:style>
  <w:style w:type="paragraph" w:customStyle="1" w:styleId="DocumentMap1">
    <w:name w:val="Document Map1"/>
    <w:basedOn w:val="Normal"/>
    <w:next w:val="DocumentMap"/>
    <w:uiPriority w:val="99"/>
    <w:rsid w:val="00374D1B"/>
    <w:pPr>
      <w:shd w:val="clear" w:color="auto" w:fill="000080"/>
      <w:overflowPunct w:val="0"/>
      <w:autoSpaceDE w:val="0"/>
      <w:autoSpaceDN w:val="0"/>
      <w:adjustRightInd w:val="0"/>
      <w:textAlignment w:val="baseline"/>
    </w:pPr>
    <w:rPr>
      <w:rFonts w:ascii="Tahoma" w:eastAsiaTheme="minorHAnsi" w:hAnsi="Tahoma"/>
      <w:szCs w:val="20"/>
      <w:lang w:val="en-GB" w:eastAsia="ru-RU"/>
    </w:rPr>
  </w:style>
  <w:style w:type="paragraph" w:customStyle="1" w:styleId="ListContinue21">
    <w:name w:val="List Continue 21"/>
    <w:basedOn w:val="Normal"/>
    <w:next w:val="ListContinue2"/>
    <w:rsid w:val="00374D1B"/>
    <w:pPr>
      <w:spacing w:after="120"/>
      <w:ind w:left="720"/>
    </w:pPr>
    <w:rPr>
      <w:rFonts w:eastAsia="Times New Roman" w:cs="Times New Roman"/>
    </w:rPr>
  </w:style>
  <w:style w:type="numbering" w:customStyle="1" w:styleId="NoList11">
    <w:name w:val="No List11"/>
    <w:next w:val="NoList"/>
    <w:semiHidden/>
    <w:unhideWhenUsed/>
    <w:rsid w:val="00374D1B"/>
  </w:style>
  <w:style w:type="paragraph" w:customStyle="1" w:styleId="ListNumber1">
    <w:name w:val="List Number1"/>
    <w:basedOn w:val="Normal"/>
    <w:next w:val="ListNumber"/>
    <w:rsid w:val="00374D1B"/>
    <w:pPr>
      <w:ind w:left="720" w:hanging="360"/>
    </w:pPr>
    <w:rPr>
      <w:rFonts w:eastAsia="Times New Roman" w:cs="Times New Roman"/>
    </w:rPr>
  </w:style>
  <w:style w:type="character" w:styleId="IntenseEmphasis">
    <w:name w:val="Intense Emphasis"/>
    <w:uiPriority w:val="21"/>
    <w:qFormat/>
    <w:rsid w:val="00374D1B"/>
    <w:rPr>
      <w:b/>
      <w:bCs/>
    </w:rPr>
  </w:style>
  <w:style w:type="numbering" w:customStyle="1" w:styleId="1f7">
    <w:name w:val="Нет списка1"/>
    <w:next w:val="NoList"/>
    <w:semiHidden/>
    <w:unhideWhenUsed/>
    <w:rsid w:val="00374D1B"/>
  </w:style>
  <w:style w:type="paragraph" w:customStyle="1" w:styleId="List1">
    <w:name w:val="List1"/>
    <w:basedOn w:val="BodyText"/>
    <w:next w:val="List"/>
    <w:rsid w:val="00374D1B"/>
    <w:pPr>
      <w:suppressAutoHyphens/>
      <w:spacing w:line="288" w:lineRule="auto"/>
    </w:pPr>
    <w:rPr>
      <w:rFonts w:eastAsia="Times New Roman" w:cs="GHEA Grapalat"/>
      <w:kern w:val="1"/>
    </w:rPr>
  </w:style>
  <w:style w:type="paragraph" w:customStyle="1" w:styleId="IntenseQuote1">
    <w:name w:val="Intense Quote1"/>
    <w:basedOn w:val="Normal"/>
    <w:next w:val="Normal"/>
    <w:qFormat/>
    <w:rsid w:val="00374D1B"/>
    <w:pPr>
      <w:pBdr>
        <w:bottom w:val="single" w:sz="4" w:space="1" w:color="auto"/>
      </w:pBdr>
      <w:spacing w:before="200" w:after="280"/>
      <w:ind w:left="1008" w:right="1152"/>
    </w:pPr>
    <w:rPr>
      <w:rFonts w:eastAsia="Times New Roman" w:cs="Times New Roman"/>
      <w:b/>
      <w:bCs/>
      <w:i/>
      <w:iCs/>
    </w:rPr>
  </w:style>
  <w:style w:type="character" w:styleId="SubtleEmphasis">
    <w:name w:val="Subtle Emphasis"/>
    <w:qFormat/>
    <w:rsid w:val="00374D1B"/>
    <w:rPr>
      <w:i/>
      <w:iCs/>
    </w:rPr>
  </w:style>
  <w:style w:type="character" w:styleId="SubtleReference">
    <w:name w:val="Subtle Reference"/>
    <w:qFormat/>
    <w:rsid w:val="00374D1B"/>
    <w:rPr>
      <w:smallCaps/>
    </w:rPr>
  </w:style>
  <w:style w:type="character" w:styleId="IntenseReference">
    <w:name w:val="Intense Reference"/>
    <w:qFormat/>
    <w:rsid w:val="00374D1B"/>
    <w:rPr>
      <w:smallCaps/>
      <w:spacing w:val="5"/>
      <w:u w:val="single"/>
    </w:rPr>
  </w:style>
  <w:style w:type="character" w:styleId="BookTitle">
    <w:name w:val="Book Title"/>
    <w:qFormat/>
    <w:rsid w:val="00374D1B"/>
    <w:rPr>
      <w:i/>
      <w:iCs/>
      <w:smallCaps/>
      <w:spacing w:val="5"/>
    </w:rPr>
  </w:style>
  <w:style w:type="numbering" w:customStyle="1" w:styleId="NoList4">
    <w:name w:val="No List4"/>
    <w:next w:val="NoList"/>
    <w:semiHidden/>
    <w:rsid w:val="00374D1B"/>
  </w:style>
  <w:style w:type="numbering" w:customStyle="1" w:styleId="NoList111">
    <w:name w:val="No List111"/>
    <w:next w:val="NoList"/>
    <w:semiHidden/>
    <w:unhideWhenUsed/>
    <w:rsid w:val="00374D1B"/>
  </w:style>
  <w:style w:type="character" w:customStyle="1" w:styleId="z-TopofFormChar">
    <w:name w:val="z-Top of Form Char"/>
    <w:basedOn w:val="DefaultParagraphFont"/>
    <w:link w:val="z-TopofForm"/>
    <w:uiPriority w:val="99"/>
    <w:rsid w:val="00374D1B"/>
    <w:rPr>
      <w:rFonts w:ascii="Arial" w:hAnsi="Arial"/>
      <w:vanish/>
      <w:sz w:val="16"/>
      <w:szCs w:val="16"/>
    </w:rPr>
  </w:style>
  <w:style w:type="character" w:customStyle="1" w:styleId="z-BottomofFormChar">
    <w:name w:val="z-Bottom of Form Char"/>
    <w:basedOn w:val="DefaultParagraphFont"/>
    <w:link w:val="z-BottomofForm"/>
    <w:uiPriority w:val="99"/>
    <w:rsid w:val="00374D1B"/>
    <w:rPr>
      <w:rFonts w:ascii="Arial" w:hAnsi="Arial"/>
      <w:vanish/>
      <w:sz w:val="16"/>
      <w:szCs w:val="16"/>
    </w:rPr>
  </w:style>
  <w:style w:type="paragraph" w:customStyle="1" w:styleId="HTMLPreformatted1">
    <w:name w:val="HTML Preformatted1"/>
    <w:basedOn w:val="Normal"/>
    <w:next w:val="HTMLPreformatted"/>
    <w:uiPriority w:val="99"/>
    <w:unhideWhenUsed/>
    <w:rsid w:val="00374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w:eastAsiaTheme="minorHAnsi" w:hAnsi="Arial Unicode"/>
      <w:sz w:val="20"/>
      <w:szCs w:val="20"/>
    </w:rPr>
  </w:style>
  <w:style w:type="numbering" w:customStyle="1" w:styleId="115">
    <w:name w:val="Нет списка11"/>
    <w:next w:val="NoList"/>
    <w:semiHidden/>
    <w:unhideWhenUsed/>
    <w:rsid w:val="00374D1B"/>
  </w:style>
  <w:style w:type="numbering" w:customStyle="1" w:styleId="NoList5">
    <w:name w:val="No List5"/>
    <w:next w:val="NoList"/>
    <w:uiPriority w:val="99"/>
    <w:semiHidden/>
    <w:rsid w:val="00374D1B"/>
  </w:style>
  <w:style w:type="numbering" w:customStyle="1" w:styleId="NoList6">
    <w:name w:val="No List6"/>
    <w:next w:val="NoList"/>
    <w:uiPriority w:val="99"/>
    <w:semiHidden/>
    <w:unhideWhenUsed/>
    <w:rsid w:val="00374D1B"/>
  </w:style>
  <w:style w:type="numbering" w:customStyle="1" w:styleId="NoList7">
    <w:name w:val="No List7"/>
    <w:next w:val="NoList"/>
    <w:uiPriority w:val="99"/>
    <w:semiHidden/>
    <w:unhideWhenUsed/>
    <w:rsid w:val="00374D1B"/>
  </w:style>
  <w:style w:type="numbering" w:customStyle="1" w:styleId="NoList12">
    <w:name w:val="No List12"/>
    <w:next w:val="NoList"/>
    <w:uiPriority w:val="99"/>
    <w:semiHidden/>
    <w:unhideWhenUsed/>
    <w:rsid w:val="00374D1B"/>
  </w:style>
  <w:style w:type="numbering" w:customStyle="1" w:styleId="NoList8">
    <w:name w:val="No List8"/>
    <w:next w:val="NoList"/>
    <w:uiPriority w:val="99"/>
    <w:semiHidden/>
    <w:unhideWhenUsed/>
    <w:rsid w:val="00374D1B"/>
  </w:style>
  <w:style w:type="numbering" w:customStyle="1" w:styleId="121">
    <w:name w:val="Нет списка12"/>
    <w:next w:val="NoList"/>
    <w:uiPriority w:val="99"/>
    <w:semiHidden/>
    <w:unhideWhenUsed/>
    <w:rsid w:val="00374D1B"/>
  </w:style>
  <w:style w:type="numbering" w:customStyle="1" w:styleId="NoList13">
    <w:name w:val="No List13"/>
    <w:next w:val="NoList"/>
    <w:semiHidden/>
    <w:unhideWhenUsed/>
    <w:rsid w:val="00374D1B"/>
  </w:style>
  <w:style w:type="numbering" w:customStyle="1" w:styleId="NoList21">
    <w:name w:val="No List21"/>
    <w:next w:val="NoList"/>
    <w:semiHidden/>
    <w:unhideWhenUsed/>
    <w:rsid w:val="00374D1B"/>
  </w:style>
  <w:style w:type="numbering" w:customStyle="1" w:styleId="NoList31">
    <w:name w:val="No List31"/>
    <w:next w:val="NoList"/>
    <w:semiHidden/>
    <w:unhideWhenUsed/>
    <w:rsid w:val="00374D1B"/>
  </w:style>
  <w:style w:type="numbering" w:customStyle="1" w:styleId="1111">
    <w:name w:val="Нет списка111"/>
    <w:next w:val="NoList"/>
    <w:semiHidden/>
    <w:unhideWhenUsed/>
    <w:rsid w:val="00374D1B"/>
  </w:style>
  <w:style w:type="numbering" w:customStyle="1" w:styleId="NoList41">
    <w:name w:val="No List41"/>
    <w:next w:val="NoList"/>
    <w:semiHidden/>
    <w:rsid w:val="00374D1B"/>
  </w:style>
  <w:style w:type="numbering" w:customStyle="1" w:styleId="NoList1111">
    <w:name w:val="No List1111"/>
    <w:next w:val="NoList"/>
    <w:semiHidden/>
    <w:unhideWhenUsed/>
    <w:rsid w:val="00374D1B"/>
  </w:style>
  <w:style w:type="numbering" w:customStyle="1" w:styleId="11110">
    <w:name w:val="Нет списка1111"/>
    <w:next w:val="NoList"/>
    <w:semiHidden/>
    <w:unhideWhenUsed/>
    <w:rsid w:val="00374D1B"/>
  </w:style>
  <w:style w:type="numbering" w:customStyle="1" w:styleId="NoList9">
    <w:name w:val="No List9"/>
    <w:next w:val="NoList"/>
    <w:uiPriority w:val="99"/>
    <w:semiHidden/>
    <w:unhideWhenUsed/>
    <w:rsid w:val="00374D1B"/>
  </w:style>
  <w:style w:type="numbering" w:customStyle="1" w:styleId="NoList10">
    <w:name w:val="No List10"/>
    <w:next w:val="NoList"/>
    <w:uiPriority w:val="99"/>
    <w:semiHidden/>
    <w:unhideWhenUsed/>
    <w:rsid w:val="00374D1B"/>
  </w:style>
  <w:style w:type="table" w:customStyle="1" w:styleId="TableList711">
    <w:name w:val="Table List 711"/>
    <w:basedOn w:val="TableNormal"/>
    <w:next w:val="TableList7"/>
    <w:rsid w:val="00374D1B"/>
    <w:pPr>
      <w:spacing w:after="200" w:line="276" w:lineRule="auto"/>
    </w:pPr>
    <w:rPr>
      <w:rFonts w:ascii="Times New Roman" w:eastAsia="Times New Roman" w:hAnsi="Times New Roman"/>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
    <w:name w:val="Table Web 311"/>
    <w:basedOn w:val="TableNormal"/>
    <w:next w:val="TableWeb3"/>
    <w:rsid w:val="00374D1B"/>
    <w:pPr>
      <w:spacing w:after="200" w:line="276" w:lineRule="auto"/>
    </w:pPr>
    <w:rPr>
      <w:rFonts w:ascii="Times New Roman" w:eastAsia="Times New Roman" w:hAnsi="Times New Roman"/>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
    <w:name w:val="Table Elegant11"/>
    <w:basedOn w:val="TableNormal"/>
    <w:next w:val="TableElegant"/>
    <w:rsid w:val="00374D1B"/>
    <w:pPr>
      <w:spacing w:after="200" w:line="276" w:lineRule="auto"/>
    </w:pPr>
    <w:rPr>
      <w:rFonts w:ascii="Times New Roman" w:eastAsia="Times New Roman" w:hAnsi="Times New Roman"/>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4">
    <w:name w:val="No List14"/>
    <w:next w:val="NoList"/>
    <w:semiHidden/>
    <w:unhideWhenUsed/>
    <w:rsid w:val="00374D1B"/>
  </w:style>
  <w:style w:type="numbering" w:customStyle="1" w:styleId="NoList22">
    <w:name w:val="No List22"/>
    <w:next w:val="NoList"/>
    <w:semiHidden/>
    <w:unhideWhenUsed/>
    <w:rsid w:val="00374D1B"/>
  </w:style>
  <w:style w:type="numbering" w:customStyle="1" w:styleId="NoList32">
    <w:name w:val="No List32"/>
    <w:next w:val="NoList"/>
    <w:semiHidden/>
    <w:unhideWhenUsed/>
    <w:rsid w:val="00374D1B"/>
  </w:style>
  <w:style w:type="table" w:customStyle="1" w:styleId="TableGrid711">
    <w:name w:val="Table Grid 711"/>
    <w:basedOn w:val="TableNormal"/>
    <w:next w:val="TableGrid7"/>
    <w:rsid w:val="00374D1B"/>
    <w:pPr>
      <w:spacing w:after="200" w:line="276" w:lineRule="auto"/>
    </w:pPr>
    <w:rPr>
      <w:rFonts w:ascii="Times New Roman" w:eastAsia="Times New Roman" w:hAnsi="Times New Roman"/>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1">
    <w:name w:val="Table Simple 311"/>
    <w:basedOn w:val="TableNormal"/>
    <w:next w:val="TableSimple3"/>
    <w:rsid w:val="00374D1B"/>
    <w:pPr>
      <w:spacing w:after="200" w:line="276" w:lineRule="auto"/>
    </w:pPr>
    <w:rPr>
      <w:rFonts w:ascii="Times New Roman" w:eastAsia="Times New Roman" w:hAnsi="Times New Roman"/>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
    <w:name w:val="Table Grid 511"/>
    <w:basedOn w:val="TableNormal"/>
    <w:next w:val="TableGrid5"/>
    <w:rsid w:val="00374D1B"/>
    <w:pPr>
      <w:spacing w:after="200" w:line="276" w:lineRule="auto"/>
    </w:pPr>
    <w:rPr>
      <w:rFonts w:ascii="Times New Roman" w:eastAsia="Times New Roman" w:hAnsi="Times New Roman"/>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
    <w:name w:val="Table Grid 311"/>
    <w:basedOn w:val="TableNormal"/>
    <w:next w:val="TableGrid3"/>
    <w:rsid w:val="00374D1B"/>
    <w:pPr>
      <w:spacing w:after="200" w:line="276" w:lineRule="auto"/>
    </w:pPr>
    <w:rPr>
      <w:rFonts w:ascii="Times New Roman" w:eastAsia="Times New Roman" w:hAnsi="Times New Roman"/>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0">
    <w:name w:val="Table Grid 111"/>
    <w:basedOn w:val="TableNormal"/>
    <w:next w:val="TableGrid1"/>
    <w:rsid w:val="00374D1B"/>
    <w:pPr>
      <w:spacing w:after="200" w:line="276" w:lineRule="auto"/>
    </w:pPr>
    <w:rPr>
      <w:rFonts w:ascii="Times New Roman" w:eastAsia="Times New Roman" w:hAnsi="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
    <w:name w:val="Table Columns 511"/>
    <w:basedOn w:val="TableNormal"/>
    <w:next w:val="TableColumns5"/>
    <w:rsid w:val="00374D1B"/>
    <w:pPr>
      <w:spacing w:after="200" w:line="276" w:lineRule="auto"/>
    </w:pPr>
    <w:rPr>
      <w:rFonts w:ascii="Times New Roman" w:eastAsia="Times New Roman" w:hAnsi="Times New Roman"/>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31">
    <w:name w:val="Нет списка13"/>
    <w:next w:val="NoList"/>
    <w:semiHidden/>
    <w:unhideWhenUsed/>
    <w:rsid w:val="00374D1B"/>
  </w:style>
  <w:style w:type="numbering" w:customStyle="1" w:styleId="NoList42">
    <w:name w:val="No List42"/>
    <w:next w:val="NoList"/>
    <w:semiHidden/>
    <w:rsid w:val="00374D1B"/>
  </w:style>
  <w:style w:type="numbering" w:customStyle="1" w:styleId="NoList112">
    <w:name w:val="No List112"/>
    <w:next w:val="NoList"/>
    <w:semiHidden/>
    <w:unhideWhenUsed/>
    <w:rsid w:val="00374D1B"/>
  </w:style>
  <w:style w:type="table" w:customStyle="1" w:styleId="Table3Deffects311">
    <w:name w:val="Table 3D effects 311"/>
    <w:basedOn w:val="TableNormal"/>
    <w:next w:val="Table3Deffects3"/>
    <w:rsid w:val="00374D1B"/>
    <w:pPr>
      <w:spacing w:after="200" w:line="276" w:lineRule="auto"/>
    </w:pPr>
    <w:rPr>
      <w:rFonts w:ascii="Times New Roman" w:eastAsia="Times New Roman" w:hAnsi="Times New Roman"/>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374D1B"/>
  </w:style>
  <w:style w:type="numbering" w:customStyle="1" w:styleId="NoList51">
    <w:name w:val="No List51"/>
    <w:next w:val="NoList"/>
    <w:uiPriority w:val="99"/>
    <w:semiHidden/>
    <w:rsid w:val="00374D1B"/>
  </w:style>
  <w:style w:type="numbering" w:customStyle="1" w:styleId="NoList61">
    <w:name w:val="No List61"/>
    <w:next w:val="NoList"/>
    <w:uiPriority w:val="99"/>
    <w:semiHidden/>
    <w:unhideWhenUsed/>
    <w:rsid w:val="00374D1B"/>
  </w:style>
  <w:style w:type="numbering" w:customStyle="1" w:styleId="NoList71">
    <w:name w:val="No List71"/>
    <w:next w:val="NoList"/>
    <w:uiPriority w:val="99"/>
    <w:semiHidden/>
    <w:unhideWhenUsed/>
    <w:rsid w:val="00374D1B"/>
  </w:style>
  <w:style w:type="numbering" w:customStyle="1" w:styleId="NoList121">
    <w:name w:val="No List121"/>
    <w:next w:val="NoList"/>
    <w:uiPriority w:val="99"/>
    <w:semiHidden/>
    <w:unhideWhenUsed/>
    <w:rsid w:val="00374D1B"/>
  </w:style>
  <w:style w:type="numbering" w:customStyle="1" w:styleId="NoList81">
    <w:name w:val="No List81"/>
    <w:next w:val="NoList"/>
    <w:uiPriority w:val="99"/>
    <w:semiHidden/>
    <w:unhideWhenUsed/>
    <w:rsid w:val="00374D1B"/>
  </w:style>
  <w:style w:type="numbering" w:customStyle="1" w:styleId="1210">
    <w:name w:val="Нет списка121"/>
    <w:next w:val="NoList"/>
    <w:uiPriority w:val="99"/>
    <w:semiHidden/>
    <w:unhideWhenUsed/>
    <w:rsid w:val="00374D1B"/>
  </w:style>
  <w:style w:type="numbering" w:customStyle="1" w:styleId="NoList131">
    <w:name w:val="No List131"/>
    <w:next w:val="NoList"/>
    <w:semiHidden/>
    <w:unhideWhenUsed/>
    <w:rsid w:val="00374D1B"/>
  </w:style>
  <w:style w:type="numbering" w:customStyle="1" w:styleId="NoList211">
    <w:name w:val="No List211"/>
    <w:next w:val="NoList"/>
    <w:semiHidden/>
    <w:unhideWhenUsed/>
    <w:rsid w:val="00374D1B"/>
  </w:style>
  <w:style w:type="numbering" w:customStyle="1" w:styleId="NoList311">
    <w:name w:val="No List311"/>
    <w:next w:val="NoList"/>
    <w:semiHidden/>
    <w:unhideWhenUsed/>
    <w:rsid w:val="00374D1B"/>
  </w:style>
  <w:style w:type="numbering" w:customStyle="1" w:styleId="1112">
    <w:name w:val="Нет списка1112"/>
    <w:next w:val="NoList"/>
    <w:semiHidden/>
    <w:unhideWhenUsed/>
    <w:rsid w:val="00374D1B"/>
  </w:style>
  <w:style w:type="numbering" w:customStyle="1" w:styleId="NoList411">
    <w:name w:val="No List411"/>
    <w:next w:val="NoList"/>
    <w:semiHidden/>
    <w:rsid w:val="00374D1B"/>
  </w:style>
  <w:style w:type="numbering" w:customStyle="1" w:styleId="NoList11111">
    <w:name w:val="No List11111"/>
    <w:next w:val="NoList"/>
    <w:semiHidden/>
    <w:unhideWhenUsed/>
    <w:rsid w:val="00374D1B"/>
  </w:style>
  <w:style w:type="numbering" w:customStyle="1" w:styleId="11111">
    <w:name w:val="Нет списка11111"/>
    <w:next w:val="NoList"/>
    <w:semiHidden/>
    <w:unhideWhenUsed/>
    <w:rsid w:val="00374D1B"/>
  </w:style>
  <w:style w:type="table" w:customStyle="1" w:styleId="TableGrid1111">
    <w:name w:val="Table Grid1111"/>
    <w:basedOn w:val="TableNormal"/>
    <w:next w:val="TableGrid"/>
    <w:uiPriority w:val="39"/>
    <w:rsid w:val="00374D1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2">
    <w:name w:val="Heading 5 Char2"/>
    <w:basedOn w:val="DefaultParagraphFont"/>
    <w:uiPriority w:val="9"/>
    <w:semiHidden/>
    <w:rsid w:val="00374D1B"/>
    <w:rPr>
      <w:rFonts w:asciiTheme="majorHAnsi" w:eastAsiaTheme="majorEastAsia" w:hAnsiTheme="majorHAnsi" w:cstheme="majorBidi"/>
      <w:color w:val="365F91" w:themeColor="accent1" w:themeShade="BF"/>
      <w:sz w:val="24"/>
      <w:szCs w:val="24"/>
    </w:rPr>
  </w:style>
  <w:style w:type="character" w:customStyle="1" w:styleId="Heading6Char2">
    <w:name w:val="Heading 6 Char2"/>
    <w:basedOn w:val="DefaultParagraphFont"/>
    <w:uiPriority w:val="9"/>
    <w:semiHidden/>
    <w:rsid w:val="00374D1B"/>
    <w:rPr>
      <w:rFonts w:asciiTheme="majorHAnsi" w:eastAsiaTheme="majorEastAsia" w:hAnsiTheme="majorHAnsi" w:cstheme="majorBidi"/>
      <w:color w:val="243F60" w:themeColor="accent1" w:themeShade="7F"/>
      <w:sz w:val="24"/>
      <w:szCs w:val="24"/>
    </w:rPr>
  </w:style>
  <w:style w:type="character" w:customStyle="1" w:styleId="Heading7Char2">
    <w:name w:val="Heading 7 Char2"/>
    <w:basedOn w:val="DefaultParagraphFont"/>
    <w:uiPriority w:val="9"/>
    <w:semiHidden/>
    <w:rsid w:val="00374D1B"/>
    <w:rPr>
      <w:rFonts w:asciiTheme="majorHAnsi" w:eastAsiaTheme="majorEastAsia" w:hAnsiTheme="majorHAnsi" w:cstheme="majorBidi"/>
      <w:i/>
      <w:iCs/>
      <w:color w:val="243F60" w:themeColor="accent1" w:themeShade="7F"/>
      <w:sz w:val="24"/>
      <w:szCs w:val="24"/>
    </w:rPr>
  </w:style>
  <w:style w:type="character" w:customStyle="1" w:styleId="Heading8Char2">
    <w:name w:val="Heading 8 Char2"/>
    <w:basedOn w:val="DefaultParagraphFont"/>
    <w:uiPriority w:val="9"/>
    <w:semiHidden/>
    <w:rsid w:val="00374D1B"/>
    <w:rPr>
      <w:rFonts w:asciiTheme="majorHAnsi" w:eastAsiaTheme="majorEastAsia" w:hAnsiTheme="majorHAnsi" w:cstheme="majorBidi"/>
      <w:color w:val="272727" w:themeColor="text1" w:themeTint="D8"/>
      <w:sz w:val="21"/>
      <w:szCs w:val="21"/>
    </w:rPr>
  </w:style>
  <w:style w:type="character" w:customStyle="1" w:styleId="Heading9Char2">
    <w:name w:val="Heading 9 Char2"/>
    <w:basedOn w:val="DefaultParagraphFont"/>
    <w:uiPriority w:val="9"/>
    <w:semiHidden/>
    <w:rsid w:val="00374D1B"/>
    <w:rPr>
      <w:rFonts w:asciiTheme="majorHAnsi" w:eastAsiaTheme="majorEastAsia" w:hAnsiTheme="majorHAnsi" w:cstheme="majorBidi"/>
      <w:i/>
      <w:iCs/>
      <w:color w:val="272727" w:themeColor="text1" w:themeTint="D8"/>
      <w:sz w:val="21"/>
      <w:szCs w:val="21"/>
    </w:rPr>
  </w:style>
  <w:style w:type="character" w:customStyle="1" w:styleId="BodyTextChar4">
    <w:name w:val="Body Text Char4"/>
    <w:aliases w:val="(Main Text) Char1,date Char1,Body Text (Main text) Char4"/>
    <w:basedOn w:val="DefaultParagraphFont"/>
    <w:uiPriority w:val="99"/>
    <w:semiHidden/>
    <w:rsid w:val="00374D1B"/>
    <w:rPr>
      <w:rFonts w:ascii="Times New Roman" w:eastAsia="Times New Roman" w:hAnsi="Times New Roman" w:cs="Times New Roman"/>
      <w:sz w:val="24"/>
      <w:szCs w:val="24"/>
    </w:rPr>
  </w:style>
  <w:style w:type="character" w:customStyle="1" w:styleId="BodyTextIndent3Char2">
    <w:name w:val="Body Text Indent 3 Char2"/>
    <w:basedOn w:val="DefaultParagraphFont"/>
    <w:uiPriority w:val="99"/>
    <w:semiHidden/>
    <w:rsid w:val="00374D1B"/>
    <w:rPr>
      <w:rFonts w:ascii="Times New Roman" w:eastAsia="Times New Roman" w:hAnsi="Times New Roman" w:cs="Times New Roman"/>
      <w:sz w:val="16"/>
      <w:szCs w:val="16"/>
    </w:rPr>
  </w:style>
  <w:style w:type="character" w:customStyle="1" w:styleId="BodyTextIndent2Char2">
    <w:name w:val="Body Text Indent 2 Char2"/>
    <w:basedOn w:val="DefaultParagraphFont"/>
    <w:uiPriority w:val="99"/>
    <w:semiHidden/>
    <w:rsid w:val="00374D1B"/>
    <w:rPr>
      <w:rFonts w:ascii="Times New Roman" w:eastAsia="Times New Roman" w:hAnsi="Times New Roman" w:cs="Times New Roman"/>
      <w:sz w:val="24"/>
      <w:szCs w:val="24"/>
    </w:rPr>
  </w:style>
  <w:style w:type="character" w:customStyle="1" w:styleId="BodyTextIndentChar3">
    <w:name w:val="Body Text Indent Char3"/>
    <w:basedOn w:val="DefaultParagraphFont"/>
    <w:uiPriority w:val="99"/>
    <w:semiHidden/>
    <w:rsid w:val="00374D1B"/>
    <w:rPr>
      <w:rFonts w:ascii="Times New Roman" w:eastAsia="Times New Roman" w:hAnsi="Times New Roman" w:cs="Times New Roman"/>
      <w:sz w:val="24"/>
      <w:szCs w:val="24"/>
    </w:rPr>
  </w:style>
  <w:style w:type="character" w:customStyle="1" w:styleId="BodyText2Char2">
    <w:name w:val="Body Text 2 Char2"/>
    <w:aliases w:val="1Text Char2"/>
    <w:basedOn w:val="DefaultParagraphFont"/>
    <w:uiPriority w:val="99"/>
    <w:semiHidden/>
    <w:rsid w:val="00374D1B"/>
    <w:rPr>
      <w:rFonts w:ascii="Times New Roman" w:eastAsia="Times New Roman" w:hAnsi="Times New Roman" w:cs="Times New Roman"/>
      <w:sz w:val="24"/>
      <w:szCs w:val="24"/>
    </w:rPr>
  </w:style>
  <w:style w:type="character" w:customStyle="1" w:styleId="BodyText3Char2">
    <w:name w:val="Body Text 3 Char2"/>
    <w:basedOn w:val="DefaultParagraphFont"/>
    <w:uiPriority w:val="99"/>
    <w:semiHidden/>
    <w:rsid w:val="00374D1B"/>
    <w:rPr>
      <w:rFonts w:ascii="Times New Roman" w:eastAsia="Times New Roman" w:hAnsi="Times New Roman" w:cs="Times New Roman"/>
      <w:sz w:val="16"/>
      <w:szCs w:val="16"/>
    </w:rPr>
  </w:style>
  <w:style w:type="character" w:customStyle="1" w:styleId="EndnoteTextChar2">
    <w:name w:val="Endnote Text Char2"/>
    <w:basedOn w:val="DefaultParagraphFont"/>
    <w:uiPriority w:val="99"/>
    <w:semiHidden/>
    <w:rsid w:val="00374D1B"/>
    <w:rPr>
      <w:rFonts w:ascii="Times New Roman" w:eastAsia="Times New Roman" w:hAnsi="Times New Roman" w:cs="Times New Roman"/>
      <w:sz w:val="20"/>
      <w:szCs w:val="20"/>
    </w:rPr>
  </w:style>
  <w:style w:type="character" w:customStyle="1" w:styleId="TitleChar2">
    <w:name w:val="Title Char2"/>
    <w:basedOn w:val="DefaultParagraphFont"/>
    <w:uiPriority w:val="10"/>
    <w:rsid w:val="00374D1B"/>
    <w:rPr>
      <w:rFonts w:asciiTheme="majorHAnsi" w:eastAsiaTheme="majorEastAsia" w:hAnsiTheme="majorHAnsi" w:cstheme="majorBidi"/>
      <w:spacing w:val="-10"/>
      <w:kern w:val="28"/>
      <w:sz w:val="56"/>
      <w:szCs w:val="56"/>
    </w:rPr>
  </w:style>
  <w:style w:type="character" w:customStyle="1" w:styleId="PlainTextChar2">
    <w:name w:val="Plain Text Char2"/>
    <w:basedOn w:val="DefaultParagraphFont"/>
    <w:uiPriority w:val="99"/>
    <w:semiHidden/>
    <w:rsid w:val="00374D1B"/>
    <w:rPr>
      <w:rFonts w:ascii="Consolas" w:eastAsia="Times New Roman" w:hAnsi="Consolas" w:cs="Times New Roman"/>
      <w:sz w:val="21"/>
      <w:szCs w:val="21"/>
    </w:rPr>
  </w:style>
  <w:style w:type="character" w:customStyle="1" w:styleId="SubtitleChar3">
    <w:name w:val="Subtitle Char3"/>
    <w:basedOn w:val="DefaultParagraphFont"/>
    <w:uiPriority w:val="11"/>
    <w:rsid w:val="00374D1B"/>
    <w:rPr>
      <w:rFonts w:eastAsiaTheme="minorEastAsia"/>
      <w:color w:val="5A5A5A" w:themeColor="text1" w:themeTint="A5"/>
      <w:spacing w:val="15"/>
    </w:rPr>
  </w:style>
  <w:style w:type="character" w:customStyle="1" w:styleId="BodyTextFirstIndentChar3">
    <w:name w:val="Body Text First Indent Char3"/>
    <w:basedOn w:val="BodyTextChar4"/>
    <w:uiPriority w:val="99"/>
    <w:semiHidden/>
    <w:rsid w:val="00374D1B"/>
    <w:rPr>
      <w:rFonts w:ascii="Times New Roman" w:eastAsia="Times New Roman" w:hAnsi="Times New Roman" w:cs="Times New Roman"/>
      <w:sz w:val="24"/>
      <w:szCs w:val="24"/>
    </w:rPr>
  </w:style>
  <w:style w:type="character" w:customStyle="1" w:styleId="DocumentMapChar2">
    <w:name w:val="Document Map Char2"/>
    <w:basedOn w:val="DefaultParagraphFont"/>
    <w:uiPriority w:val="99"/>
    <w:semiHidden/>
    <w:rsid w:val="00374D1B"/>
    <w:rPr>
      <w:rFonts w:ascii="Segoe UI" w:eastAsia="Times New Roman" w:hAnsi="Segoe UI" w:cs="Segoe UI"/>
      <w:sz w:val="16"/>
      <w:szCs w:val="16"/>
    </w:rPr>
  </w:style>
  <w:style w:type="paragraph" w:styleId="Revision">
    <w:name w:val="Revision"/>
    <w:hidden/>
    <w:uiPriority w:val="99"/>
    <w:semiHidden/>
    <w:rsid w:val="00374D1B"/>
    <w:rPr>
      <w:rFonts w:ascii="Times New Roman" w:eastAsia="Times New Roman" w:hAnsi="Times New Roman" w:cs="Times New Roman"/>
      <w:sz w:val="24"/>
      <w:szCs w:val="24"/>
    </w:rPr>
  </w:style>
  <w:style w:type="character" w:customStyle="1" w:styleId="QuoteChar1">
    <w:name w:val="Quote Char1"/>
    <w:basedOn w:val="DefaultParagraphFont"/>
    <w:uiPriority w:val="29"/>
    <w:rsid w:val="00374D1B"/>
    <w:rPr>
      <w:rFonts w:ascii="Times New Roman" w:eastAsia="Times New Roman" w:hAnsi="Times New Roman" w:cs="Times New Roman"/>
      <w:i/>
      <w:iCs/>
      <w:color w:val="404040" w:themeColor="text1" w:themeTint="BF"/>
      <w:sz w:val="24"/>
      <w:szCs w:val="24"/>
    </w:rPr>
  </w:style>
  <w:style w:type="character" w:customStyle="1" w:styleId="IntenseQuoteChar1">
    <w:name w:val="Intense Quote Char1"/>
    <w:basedOn w:val="DefaultParagraphFont"/>
    <w:uiPriority w:val="30"/>
    <w:rsid w:val="00374D1B"/>
    <w:rPr>
      <w:rFonts w:ascii="Times New Roman" w:eastAsia="Times New Roman" w:hAnsi="Times New Roman" w:cs="Times New Roman"/>
      <w:i/>
      <w:iCs/>
      <w:color w:val="4F81BD" w:themeColor="accent1"/>
      <w:sz w:val="24"/>
      <w:szCs w:val="24"/>
    </w:rPr>
  </w:style>
  <w:style w:type="paragraph" w:styleId="z-TopofForm">
    <w:name w:val="HTML Top of Form"/>
    <w:basedOn w:val="Normal"/>
    <w:next w:val="Normal"/>
    <w:link w:val="z-TopofFormChar"/>
    <w:hidden/>
    <w:uiPriority w:val="99"/>
    <w:unhideWhenUsed/>
    <w:rsid w:val="00374D1B"/>
    <w:pPr>
      <w:pBdr>
        <w:bottom w:val="single" w:sz="6" w:space="1" w:color="auto"/>
      </w:pBdr>
      <w:spacing w:before="0" w:after="0" w:line="240" w:lineRule="auto"/>
      <w:ind w:firstLine="0"/>
      <w:jc w:val="center"/>
    </w:pPr>
    <w:rPr>
      <w:rFonts w:ascii="Arial" w:hAnsi="Arial"/>
      <w:vanish/>
      <w:sz w:val="16"/>
      <w:szCs w:val="16"/>
    </w:rPr>
  </w:style>
  <w:style w:type="character" w:customStyle="1" w:styleId="z-TopofFormChar1">
    <w:name w:val="z-Top of Form Char1"/>
    <w:basedOn w:val="DefaultParagraphFont"/>
    <w:uiPriority w:val="99"/>
    <w:semiHidden/>
    <w:rsid w:val="00374D1B"/>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374D1B"/>
    <w:pPr>
      <w:pBdr>
        <w:top w:val="single" w:sz="6" w:space="1" w:color="auto"/>
      </w:pBdr>
      <w:spacing w:before="0" w:after="0" w:line="240" w:lineRule="auto"/>
      <w:ind w:firstLine="0"/>
      <w:jc w:val="center"/>
    </w:pPr>
    <w:rPr>
      <w:rFonts w:ascii="Arial" w:hAnsi="Arial"/>
      <w:vanish/>
      <w:sz w:val="16"/>
      <w:szCs w:val="16"/>
    </w:rPr>
  </w:style>
  <w:style w:type="character" w:customStyle="1" w:styleId="z-BottomofFormChar1">
    <w:name w:val="z-Bottom of Form Char1"/>
    <w:basedOn w:val="DefaultParagraphFont"/>
    <w:uiPriority w:val="99"/>
    <w:semiHidden/>
    <w:rsid w:val="00374D1B"/>
    <w:rPr>
      <w:rFonts w:ascii="Arial" w:hAnsi="Arial" w:cs="Arial"/>
      <w:vanish/>
      <w:sz w:val="16"/>
      <w:szCs w:val="16"/>
    </w:rPr>
  </w:style>
  <w:style w:type="character" w:customStyle="1" w:styleId="HTMLPreformattedChar1">
    <w:name w:val="HTML Preformatted Char1"/>
    <w:basedOn w:val="DefaultParagraphFont"/>
    <w:uiPriority w:val="99"/>
    <w:semiHidden/>
    <w:rsid w:val="00374D1B"/>
    <w:rPr>
      <w:rFonts w:ascii="Consolas" w:eastAsia="Times New Roman" w:hAnsi="Consolas" w:cs="Times New Roman"/>
      <w:sz w:val="20"/>
      <w:szCs w:val="20"/>
    </w:rPr>
  </w:style>
  <w:style w:type="numbering" w:customStyle="1" w:styleId="NoList15">
    <w:name w:val="No List15"/>
    <w:next w:val="NoList"/>
    <w:uiPriority w:val="99"/>
    <w:semiHidden/>
    <w:unhideWhenUsed/>
    <w:rsid w:val="00374D1B"/>
  </w:style>
  <w:style w:type="paragraph" w:customStyle="1" w:styleId="TOC42">
    <w:name w:val="TOC 42"/>
    <w:basedOn w:val="Normal"/>
    <w:next w:val="Normal"/>
    <w:autoRedefine/>
    <w:uiPriority w:val="39"/>
    <w:rsid w:val="00374D1B"/>
    <w:pPr>
      <w:spacing w:before="0" w:after="0"/>
      <w:ind w:left="660"/>
      <w:jc w:val="left"/>
    </w:pPr>
    <w:rPr>
      <w:rFonts w:ascii="Calibri" w:eastAsia="Times New Roman" w:hAnsi="Calibri" w:cs="Calibri"/>
      <w:sz w:val="20"/>
      <w:szCs w:val="20"/>
    </w:rPr>
  </w:style>
  <w:style w:type="paragraph" w:customStyle="1" w:styleId="TOC52">
    <w:name w:val="TOC 52"/>
    <w:basedOn w:val="Normal"/>
    <w:next w:val="Normal"/>
    <w:autoRedefine/>
    <w:uiPriority w:val="39"/>
    <w:rsid w:val="00374D1B"/>
    <w:pPr>
      <w:spacing w:before="0" w:after="0"/>
      <w:ind w:left="880"/>
      <w:jc w:val="left"/>
    </w:pPr>
    <w:rPr>
      <w:rFonts w:ascii="Calibri" w:eastAsia="Times New Roman" w:hAnsi="Calibri" w:cs="Calibri"/>
      <w:sz w:val="20"/>
      <w:szCs w:val="20"/>
    </w:rPr>
  </w:style>
  <w:style w:type="paragraph" w:customStyle="1" w:styleId="TOC62">
    <w:name w:val="TOC 62"/>
    <w:basedOn w:val="Normal"/>
    <w:next w:val="Normal"/>
    <w:autoRedefine/>
    <w:uiPriority w:val="39"/>
    <w:rsid w:val="00374D1B"/>
    <w:pPr>
      <w:spacing w:before="0" w:after="0"/>
      <w:ind w:left="1100"/>
      <w:jc w:val="left"/>
    </w:pPr>
    <w:rPr>
      <w:rFonts w:ascii="Calibri" w:eastAsia="Times New Roman" w:hAnsi="Calibri" w:cs="Calibri"/>
      <w:sz w:val="20"/>
      <w:szCs w:val="20"/>
    </w:rPr>
  </w:style>
  <w:style w:type="paragraph" w:customStyle="1" w:styleId="TOC72">
    <w:name w:val="TOC 72"/>
    <w:basedOn w:val="Normal"/>
    <w:next w:val="Normal"/>
    <w:autoRedefine/>
    <w:uiPriority w:val="39"/>
    <w:rsid w:val="00374D1B"/>
    <w:pPr>
      <w:spacing w:before="0" w:after="0"/>
      <w:ind w:left="1320"/>
      <w:jc w:val="left"/>
    </w:pPr>
    <w:rPr>
      <w:rFonts w:ascii="Calibri" w:eastAsia="Times New Roman" w:hAnsi="Calibri" w:cs="Calibri"/>
      <w:sz w:val="20"/>
      <w:szCs w:val="20"/>
    </w:rPr>
  </w:style>
  <w:style w:type="paragraph" w:customStyle="1" w:styleId="TOC82">
    <w:name w:val="TOC 82"/>
    <w:basedOn w:val="Normal"/>
    <w:next w:val="Normal"/>
    <w:autoRedefine/>
    <w:uiPriority w:val="39"/>
    <w:rsid w:val="00374D1B"/>
    <w:pPr>
      <w:spacing w:before="0" w:after="0"/>
      <w:ind w:left="1540"/>
      <w:jc w:val="left"/>
    </w:pPr>
    <w:rPr>
      <w:rFonts w:ascii="Calibri" w:eastAsia="Times New Roman" w:hAnsi="Calibri" w:cs="Calibri"/>
      <w:sz w:val="20"/>
      <w:szCs w:val="20"/>
    </w:rPr>
  </w:style>
  <w:style w:type="paragraph" w:customStyle="1" w:styleId="TOC92">
    <w:name w:val="TOC 92"/>
    <w:basedOn w:val="Normal"/>
    <w:next w:val="Normal"/>
    <w:autoRedefine/>
    <w:uiPriority w:val="39"/>
    <w:rsid w:val="00374D1B"/>
    <w:pPr>
      <w:spacing w:before="0" w:after="0"/>
      <w:ind w:left="1760"/>
      <w:jc w:val="left"/>
    </w:pPr>
    <w:rPr>
      <w:rFonts w:ascii="Calibri" w:eastAsia="Times New Roman" w:hAnsi="Calibri" w:cs="Calibri"/>
      <w:sz w:val="20"/>
      <w:szCs w:val="20"/>
    </w:rPr>
  </w:style>
  <w:style w:type="table" w:customStyle="1" w:styleId="TableList72">
    <w:name w:val="Table List 72"/>
    <w:basedOn w:val="TableNormal"/>
    <w:next w:val="TableList7"/>
    <w:rsid w:val="00374D1B"/>
    <w:pPr>
      <w:spacing w:after="200" w:line="276" w:lineRule="auto"/>
    </w:pPr>
    <w:rPr>
      <w:rFonts w:eastAsia="Times New Roman"/>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
    <w:name w:val="Table Web 32"/>
    <w:basedOn w:val="TableNormal"/>
    <w:next w:val="TableWeb3"/>
    <w:rsid w:val="00374D1B"/>
    <w:pPr>
      <w:spacing w:after="200" w:line="276" w:lineRule="auto"/>
    </w:pPr>
    <w:rPr>
      <w:rFonts w:eastAsia="Times New Roman"/>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374D1B"/>
    <w:pPr>
      <w:spacing w:after="200" w:line="276" w:lineRule="auto"/>
    </w:pPr>
    <w:rPr>
      <w:rFonts w:eastAsia="Times New Roman"/>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374D1B"/>
    <w:pPr>
      <w:spacing w:after="200" w:line="276" w:lineRule="auto"/>
    </w:pPr>
    <w:rPr>
      <w:rFonts w:eastAsia="Times New Roman"/>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374D1B"/>
    <w:pPr>
      <w:spacing w:after="200" w:line="276" w:lineRule="auto"/>
    </w:pPr>
    <w:rPr>
      <w:rFonts w:eastAsia="Times New Roman"/>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374D1B"/>
    <w:pPr>
      <w:spacing w:after="200" w:line="276" w:lineRule="auto"/>
    </w:pPr>
    <w:rPr>
      <w:rFonts w:eastAsia="Times New Roman"/>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374D1B"/>
    <w:pPr>
      <w:spacing w:after="200" w:line="276" w:lineRule="auto"/>
    </w:pPr>
    <w:rPr>
      <w:rFonts w:eastAsia="Times New Roman"/>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
    <w:name w:val="No List16"/>
    <w:next w:val="NoList"/>
    <w:semiHidden/>
    <w:unhideWhenUsed/>
    <w:rsid w:val="00374D1B"/>
  </w:style>
  <w:style w:type="numbering" w:customStyle="1" w:styleId="NoList23">
    <w:name w:val="No List23"/>
    <w:next w:val="NoList"/>
    <w:semiHidden/>
    <w:unhideWhenUsed/>
    <w:rsid w:val="00374D1B"/>
  </w:style>
  <w:style w:type="numbering" w:customStyle="1" w:styleId="NoList33">
    <w:name w:val="No List33"/>
    <w:next w:val="NoList"/>
    <w:semiHidden/>
    <w:unhideWhenUsed/>
    <w:rsid w:val="00374D1B"/>
  </w:style>
  <w:style w:type="table" w:customStyle="1" w:styleId="LightList-Accent13">
    <w:name w:val="Light List - Accent 13"/>
    <w:basedOn w:val="TableNormal"/>
    <w:next w:val="LightList-Accent1"/>
    <w:uiPriority w:val="61"/>
    <w:rsid w:val="00374D1B"/>
    <w:pPr>
      <w:spacing w:after="200" w:line="276" w:lineRule="auto"/>
    </w:pPr>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
    <w:name w:val="Table Grid 72"/>
    <w:basedOn w:val="TableNormal"/>
    <w:next w:val="TableGrid7"/>
    <w:rsid w:val="00374D1B"/>
    <w:pPr>
      <w:spacing w:after="200" w:line="276" w:lineRule="auto"/>
    </w:pPr>
    <w:rPr>
      <w:rFonts w:eastAsia="Times New Roman"/>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
    <w:name w:val="Colorful Grid - Accent 14"/>
    <w:basedOn w:val="TableNormal"/>
    <w:next w:val="ColorfulGrid-Accent1"/>
    <w:uiPriority w:val="73"/>
    <w:rsid w:val="00374D1B"/>
    <w:pPr>
      <w:spacing w:after="200" w:line="276" w:lineRule="auto"/>
    </w:pPr>
    <w:rPr>
      <w:rFonts w:eastAsia="Times New Roman"/>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
    <w:name w:val="Light List - Accent 54"/>
    <w:basedOn w:val="TableNormal"/>
    <w:next w:val="LightList-Accent5"/>
    <w:uiPriority w:val="61"/>
    <w:rsid w:val="00374D1B"/>
    <w:pPr>
      <w:spacing w:after="200" w:line="276" w:lineRule="auto"/>
    </w:pPr>
    <w:rPr>
      <w:rFonts w:eastAsia="Times New Roman"/>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
    <w:name w:val="Table Simple 32"/>
    <w:basedOn w:val="TableNormal"/>
    <w:next w:val="TableSimple3"/>
    <w:rsid w:val="00374D1B"/>
    <w:pPr>
      <w:spacing w:after="200" w:line="276" w:lineRule="auto"/>
    </w:pPr>
    <w:rPr>
      <w:rFonts w:eastAsia="Times New Roman"/>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
    <w:name w:val="Table Grid 52"/>
    <w:basedOn w:val="TableNormal"/>
    <w:next w:val="TableGrid5"/>
    <w:rsid w:val="00374D1B"/>
    <w:pPr>
      <w:spacing w:after="200" w:line="276" w:lineRule="auto"/>
    </w:pPr>
    <w:rPr>
      <w:rFonts w:eastAsia="Times New Roman"/>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
    <w:name w:val="Table Grid 32"/>
    <w:basedOn w:val="TableNormal"/>
    <w:next w:val="TableGrid3"/>
    <w:rsid w:val="00374D1B"/>
    <w:pPr>
      <w:spacing w:after="200" w:line="276" w:lineRule="auto"/>
    </w:pPr>
    <w:rPr>
      <w:rFonts w:eastAsia="Times New Roman"/>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0">
    <w:name w:val="Table Grid 12"/>
    <w:basedOn w:val="TableNormal"/>
    <w:next w:val="TableGrid1"/>
    <w:rsid w:val="00374D1B"/>
    <w:pPr>
      <w:spacing w:after="200" w:line="276" w:lineRule="auto"/>
    </w:pPr>
    <w:rPr>
      <w:rFonts w:eastAsia="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rsid w:val="00374D1B"/>
    <w:pPr>
      <w:spacing w:after="200" w:line="276" w:lineRule="auto"/>
    </w:pPr>
    <w:rPr>
      <w:rFonts w:eastAsia="Times New Roman"/>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
    <w:name w:val="Light List - Accent 112"/>
    <w:basedOn w:val="TableNormal"/>
    <w:uiPriority w:val="61"/>
    <w:rsid w:val="00374D1B"/>
    <w:pPr>
      <w:spacing w:after="200" w:line="276" w:lineRule="auto"/>
    </w:pPr>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0">
    <w:name w:val="Нет списка14"/>
    <w:next w:val="NoList"/>
    <w:semiHidden/>
    <w:unhideWhenUsed/>
    <w:rsid w:val="00374D1B"/>
  </w:style>
  <w:style w:type="table" w:customStyle="1" w:styleId="ColorfulGrid-Accent112">
    <w:name w:val="Colorful Grid - Accent 112"/>
    <w:basedOn w:val="TableNormal"/>
    <w:rsid w:val="00374D1B"/>
    <w:pPr>
      <w:spacing w:after="200" w:line="276" w:lineRule="auto"/>
    </w:pPr>
    <w:rPr>
      <w:rFonts w:eastAsia="Times New Roman"/>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
    <w:name w:val="Light List - Accent 512"/>
    <w:basedOn w:val="TableNormal"/>
    <w:rsid w:val="00374D1B"/>
    <w:pPr>
      <w:spacing w:after="200" w:line="276" w:lineRule="auto"/>
    </w:pPr>
    <w:rPr>
      <w:rFonts w:eastAsia="Times New Roman"/>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
    <w:name w:val="No List43"/>
    <w:next w:val="NoList"/>
    <w:semiHidden/>
    <w:rsid w:val="00374D1B"/>
  </w:style>
  <w:style w:type="numbering" w:customStyle="1" w:styleId="NoList113">
    <w:name w:val="No List113"/>
    <w:next w:val="NoList"/>
    <w:semiHidden/>
    <w:unhideWhenUsed/>
    <w:rsid w:val="00374D1B"/>
  </w:style>
  <w:style w:type="table" w:customStyle="1" w:styleId="Table3Deffects32">
    <w:name w:val="Table 3D effects 32"/>
    <w:basedOn w:val="TableNormal"/>
    <w:next w:val="Table3Deffects3"/>
    <w:rsid w:val="00374D1B"/>
    <w:pPr>
      <w:spacing w:after="200" w:line="276" w:lineRule="auto"/>
    </w:pPr>
    <w:rPr>
      <w:rFonts w:eastAsia="Times New Roman"/>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NoList"/>
    <w:semiHidden/>
    <w:unhideWhenUsed/>
    <w:rsid w:val="00374D1B"/>
  </w:style>
  <w:style w:type="numbering" w:customStyle="1" w:styleId="NoList52">
    <w:name w:val="No List52"/>
    <w:next w:val="NoList"/>
    <w:uiPriority w:val="99"/>
    <w:semiHidden/>
    <w:rsid w:val="00374D1B"/>
  </w:style>
  <w:style w:type="numbering" w:customStyle="1" w:styleId="NoList62">
    <w:name w:val="No List62"/>
    <w:next w:val="NoList"/>
    <w:uiPriority w:val="99"/>
    <w:semiHidden/>
    <w:unhideWhenUsed/>
    <w:rsid w:val="00374D1B"/>
  </w:style>
  <w:style w:type="table" w:customStyle="1" w:styleId="TableGrid23">
    <w:name w:val="Table Grid23"/>
    <w:basedOn w:val="TableNormal"/>
    <w:next w:val="TableGrid"/>
    <w:rsid w:val="00374D1B"/>
    <w:pPr>
      <w:spacing w:after="200" w:line="276" w:lineRule="auto"/>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
    <w:name w:val="No List72"/>
    <w:next w:val="NoList"/>
    <w:uiPriority w:val="99"/>
    <w:semiHidden/>
    <w:unhideWhenUsed/>
    <w:rsid w:val="00374D1B"/>
  </w:style>
  <w:style w:type="numbering" w:customStyle="1" w:styleId="NoList122">
    <w:name w:val="No List122"/>
    <w:next w:val="NoList"/>
    <w:uiPriority w:val="99"/>
    <w:semiHidden/>
    <w:unhideWhenUsed/>
    <w:rsid w:val="00374D1B"/>
  </w:style>
  <w:style w:type="table" w:customStyle="1" w:styleId="TableGrid320">
    <w:name w:val="Table Grid32"/>
    <w:basedOn w:val="TableNormal"/>
    <w:next w:val="TableGrid"/>
    <w:rsid w:val="00374D1B"/>
    <w:pPr>
      <w:spacing w:after="200" w:line="276" w:lineRule="auto"/>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
    <w:name w:val="Table Web 212"/>
    <w:basedOn w:val="TableNormal"/>
    <w:next w:val="TableWeb2"/>
    <w:rsid w:val="00374D1B"/>
    <w:pPr>
      <w:spacing w:after="200" w:line="276" w:lineRule="auto"/>
    </w:pPr>
    <w:rPr>
      <w:rFonts w:eastAsia="Times New Roman"/>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374D1B"/>
    <w:pPr>
      <w:spacing w:after="200" w:line="276" w:lineRule="auto"/>
    </w:pPr>
    <w:rPr>
      <w:rFonts w:eastAsia="Times New Roman"/>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
    <w:name w:val="Table Grid 812"/>
    <w:basedOn w:val="TableNormal"/>
    <w:next w:val="TableGrid8"/>
    <w:rsid w:val="00374D1B"/>
    <w:pPr>
      <w:spacing w:after="200" w:line="276" w:lineRule="auto"/>
    </w:pPr>
    <w:rPr>
      <w:rFonts w:eastAsia="Times New Roman"/>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
    <w:name w:val="Table Contemporary12"/>
    <w:basedOn w:val="TableNormal"/>
    <w:next w:val="TableContemporary"/>
    <w:rsid w:val="00374D1B"/>
    <w:pPr>
      <w:spacing w:after="200" w:line="276" w:lineRule="auto"/>
    </w:pPr>
    <w:rPr>
      <w:rFonts w:eastAsia="Times New Roman"/>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
    <w:name w:val="Colorful Grid - Accent 122"/>
    <w:basedOn w:val="TableNormal"/>
    <w:next w:val="ColorfulGrid-Accent1"/>
    <w:rsid w:val="00374D1B"/>
    <w:pPr>
      <w:spacing w:after="200" w:line="276" w:lineRule="auto"/>
    </w:pPr>
    <w:rPr>
      <w:rFonts w:eastAsia="Times New Roman"/>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
    <w:name w:val="Light List - Accent 522"/>
    <w:basedOn w:val="TableNormal"/>
    <w:next w:val="LightList-Accent5"/>
    <w:rsid w:val="00374D1B"/>
    <w:pPr>
      <w:spacing w:after="200" w:line="276" w:lineRule="auto"/>
    </w:pPr>
    <w:rPr>
      <w:rFonts w:eastAsia="Times New Roman"/>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
    <w:name w:val="No List82"/>
    <w:next w:val="NoList"/>
    <w:uiPriority w:val="99"/>
    <w:semiHidden/>
    <w:unhideWhenUsed/>
    <w:rsid w:val="00374D1B"/>
  </w:style>
  <w:style w:type="numbering" w:customStyle="1" w:styleId="122">
    <w:name w:val="Нет списка122"/>
    <w:next w:val="NoList"/>
    <w:uiPriority w:val="99"/>
    <w:semiHidden/>
    <w:unhideWhenUsed/>
    <w:rsid w:val="00374D1B"/>
  </w:style>
  <w:style w:type="numbering" w:customStyle="1" w:styleId="NoList132">
    <w:name w:val="No List132"/>
    <w:next w:val="NoList"/>
    <w:semiHidden/>
    <w:unhideWhenUsed/>
    <w:rsid w:val="00374D1B"/>
  </w:style>
  <w:style w:type="numbering" w:customStyle="1" w:styleId="NoList212">
    <w:name w:val="No List212"/>
    <w:next w:val="NoList"/>
    <w:semiHidden/>
    <w:unhideWhenUsed/>
    <w:rsid w:val="00374D1B"/>
  </w:style>
  <w:style w:type="numbering" w:customStyle="1" w:styleId="NoList312">
    <w:name w:val="No List312"/>
    <w:next w:val="NoList"/>
    <w:semiHidden/>
    <w:unhideWhenUsed/>
    <w:rsid w:val="00374D1B"/>
  </w:style>
  <w:style w:type="numbering" w:customStyle="1" w:styleId="1113">
    <w:name w:val="Нет списка1113"/>
    <w:next w:val="NoList"/>
    <w:semiHidden/>
    <w:unhideWhenUsed/>
    <w:rsid w:val="00374D1B"/>
  </w:style>
  <w:style w:type="numbering" w:customStyle="1" w:styleId="NoList412">
    <w:name w:val="No List412"/>
    <w:next w:val="NoList"/>
    <w:semiHidden/>
    <w:rsid w:val="00374D1B"/>
  </w:style>
  <w:style w:type="numbering" w:customStyle="1" w:styleId="NoList1112">
    <w:name w:val="No List1112"/>
    <w:next w:val="NoList"/>
    <w:semiHidden/>
    <w:unhideWhenUsed/>
    <w:rsid w:val="00374D1B"/>
  </w:style>
  <w:style w:type="numbering" w:customStyle="1" w:styleId="11112">
    <w:name w:val="Нет списка11112"/>
    <w:next w:val="NoList"/>
    <w:semiHidden/>
    <w:unhideWhenUsed/>
    <w:rsid w:val="00374D1B"/>
  </w:style>
  <w:style w:type="numbering" w:customStyle="1" w:styleId="NoList91">
    <w:name w:val="No List91"/>
    <w:next w:val="NoList"/>
    <w:uiPriority w:val="99"/>
    <w:semiHidden/>
    <w:unhideWhenUsed/>
    <w:rsid w:val="00374D1B"/>
  </w:style>
  <w:style w:type="table" w:customStyle="1" w:styleId="TableGrid42">
    <w:name w:val="Table Grid42"/>
    <w:basedOn w:val="TableNormal"/>
    <w:next w:val="TableGrid"/>
    <w:uiPriority w:val="39"/>
    <w:rsid w:val="00374D1B"/>
    <w:pPr>
      <w:spacing w:after="200" w:line="276"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
    <w:name w:val="Grid Table 1 Light - Accent 512"/>
    <w:basedOn w:val="TableNormal"/>
    <w:uiPriority w:val="46"/>
    <w:rsid w:val="00374D1B"/>
    <w:pPr>
      <w:spacing w:after="200" w:line="276" w:lineRule="auto"/>
    </w:pPr>
    <w:rPr>
      <w:rFonts w:eastAsia="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
    <w:name w:val="Plain Table 311"/>
    <w:basedOn w:val="TableNormal"/>
    <w:uiPriority w:val="43"/>
    <w:rsid w:val="00374D1B"/>
    <w:pPr>
      <w:spacing w:after="200" w:line="276" w:lineRule="auto"/>
    </w:pPr>
    <w:rPr>
      <w:rFonts w:eastAsia="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
    <w:name w:val="Grid Table 4 - Accent 111"/>
    <w:basedOn w:val="TableNormal"/>
    <w:uiPriority w:val="49"/>
    <w:rsid w:val="00374D1B"/>
    <w:pPr>
      <w:spacing w:after="200" w:line="276" w:lineRule="auto"/>
    </w:pPr>
    <w:rPr>
      <w:rFonts w:eastAsia="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1">
    <w:name w:val="No List101"/>
    <w:next w:val="NoList"/>
    <w:uiPriority w:val="99"/>
    <w:semiHidden/>
    <w:unhideWhenUsed/>
    <w:rsid w:val="00374D1B"/>
  </w:style>
  <w:style w:type="table" w:customStyle="1" w:styleId="TableGrid510">
    <w:name w:val="Table Grid51"/>
    <w:basedOn w:val="TableNormal"/>
    <w:next w:val="TableGrid"/>
    <w:uiPriority w:val="39"/>
    <w:rsid w:val="00374D1B"/>
    <w:pPr>
      <w:spacing w:after="200" w:line="276" w:lineRule="auto"/>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
    <w:name w:val="Table List 712"/>
    <w:basedOn w:val="TableNormal"/>
    <w:next w:val="TableList7"/>
    <w:rsid w:val="00374D1B"/>
    <w:pPr>
      <w:spacing w:after="200" w:line="276" w:lineRule="auto"/>
    </w:pPr>
    <w:rPr>
      <w:rFonts w:ascii="Times New Roman" w:eastAsia="Times New Roman" w:hAnsi="Times New Roman"/>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
    <w:name w:val="Table Web 312"/>
    <w:basedOn w:val="TableNormal"/>
    <w:next w:val="TableWeb3"/>
    <w:rsid w:val="00374D1B"/>
    <w:pPr>
      <w:spacing w:after="200" w:line="276" w:lineRule="auto"/>
    </w:pPr>
    <w:rPr>
      <w:rFonts w:ascii="Times New Roman" w:eastAsia="Times New Roman" w:hAnsi="Times New Roman"/>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
    <w:name w:val="Table Elegant12"/>
    <w:basedOn w:val="TableNormal"/>
    <w:next w:val="TableElegant"/>
    <w:rsid w:val="00374D1B"/>
    <w:pPr>
      <w:spacing w:after="200" w:line="276" w:lineRule="auto"/>
    </w:pPr>
    <w:rPr>
      <w:rFonts w:ascii="Times New Roman" w:eastAsia="Times New Roman" w:hAnsi="Times New Roman"/>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374D1B"/>
    <w:pPr>
      <w:spacing w:after="200" w:line="276" w:lineRule="auto"/>
    </w:pPr>
    <w:rPr>
      <w:rFonts w:ascii="Times New Roman" w:eastAsia="Times New Roman" w:hAnsi="Times New Roman"/>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
    <w:name w:val="Table Web 121"/>
    <w:basedOn w:val="TableNormal"/>
    <w:next w:val="TableWeb1"/>
    <w:rsid w:val="00374D1B"/>
    <w:pPr>
      <w:spacing w:after="200" w:line="276" w:lineRule="auto"/>
    </w:pPr>
    <w:rPr>
      <w:rFonts w:ascii="Times New Roman" w:eastAsia="Times New Roman" w:hAnsi="Times New Roman"/>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
    <w:name w:val="Table Grid 821"/>
    <w:basedOn w:val="TableNormal"/>
    <w:next w:val="TableGrid8"/>
    <w:rsid w:val="00374D1B"/>
    <w:pPr>
      <w:spacing w:after="200" w:line="276" w:lineRule="auto"/>
    </w:pPr>
    <w:rPr>
      <w:rFonts w:ascii="Times New Roman" w:eastAsia="Times New Roman" w:hAnsi="Times New Roman"/>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rsid w:val="00374D1B"/>
    <w:pPr>
      <w:spacing w:after="200" w:line="276" w:lineRule="auto"/>
    </w:pPr>
    <w:rPr>
      <w:rFonts w:ascii="Times New Roman" w:eastAsia="Times New Roman" w:hAnsi="Times New Roman"/>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
    <w:name w:val="No List141"/>
    <w:next w:val="NoList"/>
    <w:semiHidden/>
    <w:unhideWhenUsed/>
    <w:rsid w:val="00374D1B"/>
  </w:style>
  <w:style w:type="numbering" w:customStyle="1" w:styleId="NoList221">
    <w:name w:val="No List221"/>
    <w:next w:val="NoList"/>
    <w:semiHidden/>
    <w:unhideWhenUsed/>
    <w:rsid w:val="00374D1B"/>
  </w:style>
  <w:style w:type="numbering" w:customStyle="1" w:styleId="NoList321">
    <w:name w:val="No List321"/>
    <w:next w:val="NoList"/>
    <w:semiHidden/>
    <w:unhideWhenUsed/>
    <w:rsid w:val="00374D1B"/>
  </w:style>
  <w:style w:type="table" w:customStyle="1" w:styleId="LightList-Accent121">
    <w:name w:val="Light List - Accent 121"/>
    <w:basedOn w:val="TableNormal"/>
    <w:uiPriority w:val="61"/>
    <w:rsid w:val="00374D1B"/>
    <w:pPr>
      <w:spacing w:after="200" w:line="276" w:lineRule="auto"/>
    </w:pPr>
    <w:rPr>
      <w:rFonts w:ascii="Times New Roman" w:eastAsia="Times New Roman" w:hAnsi="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
    <w:name w:val="Table Grid 712"/>
    <w:basedOn w:val="TableNormal"/>
    <w:next w:val="TableGrid7"/>
    <w:rsid w:val="00374D1B"/>
    <w:pPr>
      <w:spacing w:after="200" w:line="276" w:lineRule="auto"/>
    </w:pPr>
    <w:rPr>
      <w:rFonts w:ascii="Times New Roman" w:eastAsia="Times New Roman" w:hAnsi="Times New Roman"/>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
    <w:name w:val="Colorful Grid - Accent 131"/>
    <w:basedOn w:val="TableNormal"/>
    <w:next w:val="ColorfulGrid-Accent1"/>
    <w:uiPriority w:val="73"/>
    <w:rsid w:val="00374D1B"/>
    <w:pPr>
      <w:spacing w:after="200" w:line="276" w:lineRule="auto"/>
    </w:pPr>
    <w:rPr>
      <w:rFonts w:ascii="Times New Roman" w:eastAsia="Times New Roman" w:hAnsi="Times New Roman"/>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
    <w:name w:val="Light List - Accent 531"/>
    <w:basedOn w:val="TableNormal"/>
    <w:next w:val="LightList-Accent5"/>
    <w:uiPriority w:val="61"/>
    <w:rsid w:val="00374D1B"/>
    <w:pPr>
      <w:spacing w:after="200" w:line="276" w:lineRule="auto"/>
    </w:pPr>
    <w:rPr>
      <w:rFonts w:ascii="Times New Roman" w:eastAsia="Times New Roman" w:hAnsi="Times New Roman"/>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
    <w:name w:val="Table Simple 312"/>
    <w:basedOn w:val="TableNormal"/>
    <w:next w:val="TableSimple3"/>
    <w:rsid w:val="00374D1B"/>
    <w:pPr>
      <w:spacing w:after="200" w:line="276" w:lineRule="auto"/>
    </w:pPr>
    <w:rPr>
      <w:rFonts w:ascii="Times New Roman" w:eastAsia="Times New Roman" w:hAnsi="Times New Roman"/>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
    <w:name w:val="Table Grid 512"/>
    <w:basedOn w:val="TableNormal"/>
    <w:next w:val="TableGrid5"/>
    <w:rsid w:val="00374D1B"/>
    <w:pPr>
      <w:spacing w:after="200" w:line="276" w:lineRule="auto"/>
    </w:pPr>
    <w:rPr>
      <w:rFonts w:ascii="Times New Roman" w:eastAsia="Times New Roman" w:hAnsi="Times New Roman"/>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
    <w:name w:val="Table Grid 312"/>
    <w:basedOn w:val="TableNormal"/>
    <w:next w:val="TableGrid3"/>
    <w:rsid w:val="00374D1B"/>
    <w:pPr>
      <w:spacing w:after="200" w:line="276" w:lineRule="auto"/>
    </w:pPr>
    <w:rPr>
      <w:rFonts w:ascii="Times New Roman" w:eastAsia="Times New Roman" w:hAnsi="Times New Roman"/>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
    <w:name w:val="Table Grid 112"/>
    <w:basedOn w:val="TableNormal"/>
    <w:next w:val="TableGrid1"/>
    <w:rsid w:val="00374D1B"/>
    <w:pPr>
      <w:spacing w:after="200" w:line="276" w:lineRule="auto"/>
    </w:pPr>
    <w:rPr>
      <w:rFonts w:ascii="Times New Roman" w:eastAsia="Times New Roman" w:hAnsi="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
    <w:name w:val="Table Columns 512"/>
    <w:basedOn w:val="TableNormal"/>
    <w:next w:val="TableColumns5"/>
    <w:rsid w:val="00374D1B"/>
    <w:pPr>
      <w:spacing w:after="200" w:line="276" w:lineRule="auto"/>
    </w:pPr>
    <w:rPr>
      <w:rFonts w:ascii="Times New Roman" w:eastAsia="Times New Roman" w:hAnsi="Times New Roman"/>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
    <w:name w:val="Light List - Accent 1111"/>
    <w:basedOn w:val="TableNormal"/>
    <w:uiPriority w:val="61"/>
    <w:rsid w:val="00374D1B"/>
    <w:pPr>
      <w:spacing w:after="200" w:line="276" w:lineRule="auto"/>
    </w:pPr>
    <w:rPr>
      <w:rFonts w:ascii="Times New Roman" w:eastAsia="Times New Roman" w:hAnsi="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0">
    <w:name w:val="Нет списка131"/>
    <w:next w:val="NoList"/>
    <w:semiHidden/>
    <w:unhideWhenUsed/>
    <w:rsid w:val="00374D1B"/>
  </w:style>
  <w:style w:type="table" w:customStyle="1" w:styleId="ColorfulGrid-Accent1111">
    <w:name w:val="Colorful Grid - Accent 1111"/>
    <w:basedOn w:val="TableNormal"/>
    <w:rsid w:val="00374D1B"/>
    <w:pPr>
      <w:spacing w:after="200" w:line="276" w:lineRule="auto"/>
    </w:pPr>
    <w:rPr>
      <w:rFonts w:ascii="Times New Roman" w:eastAsia="Times New Roman" w:hAnsi="Times New Roman"/>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
    <w:name w:val="Light List - Accent 5111"/>
    <w:basedOn w:val="TableNormal"/>
    <w:rsid w:val="00374D1B"/>
    <w:pPr>
      <w:spacing w:after="200" w:line="276" w:lineRule="auto"/>
    </w:pPr>
    <w:rPr>
      <w:rFonts w:ascii="Times New Roman" w:eastAsia="Times New Roman" w:hAnsi="Times New Roman"/>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
    <w:name w:val="No List421"/>
    <w:next w:val="NoList"/>
    <w:semiHidden/>
    <w:rsid w:val="00374D1B"/>
  </w:style>
  <w:style w:type="numbering" w:customStyle="1" w:styleId="NoList1121">
    <w:name w:val="No List1121"/>
    <w:next w:val="NoList"/>
    <w:semiHidden/>
    <w:unhideWhenUsed/>
    <w:rsid w:val="00374D1B"/>
  </w:style>
  <w:style w:type="table" w:customStyle="1" w:styleId="Table3Deffects312">
    <w:name w:val="Table 3D effects 312"/>
    <w:basedOn w:val="TableNormal"/>
    <w:next w:val="Table3Deffects3"/>
    <w:rsid w:val="00374D1B"/>
    <w:pPr>
      <w:spacing w:after="200" w:line="276" w:lineRule="auto"/>
    </w:pPr>
    <w:rPr>
      <w:rFonts w:ascii="Times New Roman" w:eastAsia="Times New Roman" w:hAnsi="Times New Roman"/>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NoList"/>
    <w:semiHidden/>
    <w:unhideWhenUsed/>
    <w:rsid w:val="00374D1B"/>
  </w:style>
  <w:style w:type="table" w:customStyle="1" w:styleId="TableGrid1120">
    <w:name w:val="Table Grid112"/>
    <w:basedOn w:val="TableNormal"/>
    <w:next w:val="TableGrid"/>
    <w:rsid w:val="00374D1B"/>
    <w:pPr>
      <w:spacing w:after="200" w:line="276" w:lineRule="auto"/>
    </w:pPr>
    <w:rPr>
      <w:rFonts w:ascii="Times New Roman" w:eastAsia="Times New Roman" w:hAnsi="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
    <w:name w:val="No List511"/>
    <w:next w:val="NoList"/>
    <w:uiPriority w:val="99"/>
    <w:semiHidden/>
    <w:rsid w:val="00374D1B"/>
  </w:style>
  <w:style w:type="numbering" w:customStyle="1" w:styleId="NoList611">
    <w:name w:val="No List611"/>
    <w:next w:val="NoList"/>
    <w:uiPriority w:val="99"/>
    <w:semiHidden/>
    <w:unhideWhenUsed/>
    <w:rsid w:val="00374D1B"/>
  </w:style>
  <w:style w:type="table" w:customStyle="1" w:styleId="TableGrid211">
    <w:name w:val="Table Grid211"/>
    <w:basedOn w:val="TableNormal"/>
    <w:next w:val="TableGrid"/>
    <w:rsid w:val="00374D1B"/>
    <w:pPr>
      <w:spacing w:after="200" w:line="276" w:lineRule="auto"/>
    </w:pPr>
    <w:rPr>
      <w:rFonts w:ascii="Times New Roman" w:eastAsia="Times New Roman" w:hAnsi="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
    <w:name w:val="No List711"/>
    <w:next w:val="NoList"/>
    <w:uiPriority w:val="99"/>
    <w:semiHidden/>
    <w:unhideWhenUsed/>
    <w:rsid w:val="00374D1B"/>
  </w:style>
  <w:style w:type="numbering" w:customStyle="1" w:styleId="NoList1211">
    <w:name w:val="No List1211"/>
    <w:next w:val="NoList"/>
    <w:uiPriority w:val="99"/>
    <w:semiHidden/>
    <w:unhideWhenUsed/>
    <w:rsid w:val="00374D1B"/>
  </w:style>
  <w:style w:type="table" w:customStyle="1" w:styleId="TableGrid3110">
    <w:name w:val="Table Grid311"/>
    <w:basedOn w:val="TableNormal"/>
    <w:next w:val="TableGrid"/>
    <w:rsid w:val="00374D1B"/>
    <w:pPr>
      <w:spacing w:after="200" w:line="276" w:lineRule="auto"/>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
    <w:name w:val="Table Web 2111"/>
    <w:basedOn w:val="TableNormal"/>
    <w:next w:val="TableWeb2"/>
    <w:rsid w:val="00374D1B"/>
    <w:pPr>
      <w:spacing w:after="200" w:line="276" w:lineRule="auto"/>
    </w:pPr>
    <w:rPr>
      <w:rFonts w:ascii="Times New Roman" w:eastAsia="Times New Roman" w:hAnsi="Times New Roman"/>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next w:val="TableWeb1"/>
    <w:rsid w:val="00374D1B"/>
    <w:pPr>
      <w:spacing w:after="200" w:line="276" w:lineRule="auto"/>
    </w:pPr>
    <w:rPr>
      <w:rFonts w:ascii="Times New Roman" w:eastAsia="Times New Roman" w:hAnsi="Times New Roman"/>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
    <w:name w:val="Table Grid 8111"/>
    <w:basedOn w:val="TableNormal"/>
    <w:next w:val="TableGrid8"/>
    <w:rsid w:val="00374D1B"/>
    <w:pPr>
      <w:spacing w:after="200" w:line="276" w:lineRule="auto"/>
    </w:pPr>
    <w:rPr>
      <w:rFonts w:ascii="Times New Roman" w:eastAsia="Times New Roman" w:hAnsi="Times New Roman"/>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
    <w:name w:val="Table Contemporary111"/>
    <w:basedOn w:val="TableNormal"/>
    <w:next w:val="TableContemporary"/>
    <w:rsid w:val="00374D1B"/>
    <w:pPr>
      <w:spacing w:after="200" w:line="276" w:lineRule="auto"/>
    </w:pPr>
    <w:rPr>
      <w:rFonts w:ascii="Times New Roman" w:eastAsia="Times New Roman" w:hAnsi="Times New Roman"/>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
    <w:name w:val="Colorful Grid - Accent 1211"/>
    <w:basedOn w:val="TableNormal"/>
    <w:next w:val="ColorfulGrid-Accent1"/>
    <w:rsid w:val="00374D1B"/>
    <w:pPr>
      <w:spacing w:after="200" w:line="276" w:lineRule="auto"/>
    </w:pPr>
    <w:rPr>
      <w:rFonts w:ascii="Times New Roman" w:eastAsia="Times New Roman" w:hAnsi="Times New Roman"/>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
    <w:name w:val="Light List - Accent 5211"/>
    <w:basedOn w:val="TableNormal"/>
    <w:next w:val="LightList-Accent5"/>
    <w:rsid w:val="00374D1B"/>
    <w:pPr>
      <w:spacing w:after="200" w:line="276" w:lineRule="auto"/>
    </w:pPr>
    <w:rPr>
      <w:rFonts w:ascii="Times New Roman" w:eastAsia="Times New Roman" w:hAnsi="Times New Roman"/>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
    <w:name w:val="No List811"/>
    <w:next w:val="NoList"/>
    <w:uiPriority w:val="99"/>
    <w:semiHidden/>
    <w:unhideWhenUsed/>
    <w:rsid w:val="00374D1B"/>
  </w:style>
  <w:style w:type="numbering" w:customStyle="1" w:styleId="1211">
    <w:name w:val="Нет списка1211"/>
    <w:next w:val="NoList"/>
    <w:uiPriority w:val="99"/>
    <w:semiHidden/>
    <w:unhideWhenUsed/>
    <w:rsid w:val="00374D1B"/>
  </w:style>
  <w:style w:type="numbering" w:customStyle="1" w:styleId="NoList1311">
    <w:name w:val="No List1311"/>
    <w:next w:val="NoList"/>
    <w:semiHidden/>
    <w:unhideWhenUsed/>
    <w:rsid w:val="00374D1B"/>
  </w:style>
  <w:style w:type="numbering" w:customStyle="1" w:styleId="NoList2111">
    <w:name w:val="No List2111"/>
    <w:next w:val="NoList"/>
    <w:semiHidden/>
    <w:unhideWhenUsed/>
    <w:rsid w:val="00374D1B"/>
  </w:style>
  <w:style w:type="numbering" w:customStyle="1" w:styleId="NoList3111">
    <w:name w:val="No List3111"/>
    <w:next w:val="NoList"/>
    <w:semiHidden/>
    <w:unhideWhenUsed/>
    <w:rsid w:val="00374D1B"/>
  </w:style>
  <w:style w:type="numbering" w:customStyle="1" w:styleId="11121">
    <w:name w:val="Нет списка11121"/>
    <w:next w:val="NoList"/>
    <w:semiHidden/>
    <w:unhideWhenUsed/>
    <w:rsid w:val="00374D1B"/>
  </w:style>
  <w:style w:type="numbering" w:customStyle="1" w:styleId="NoList4111">
    <w:name w:val="No List4111"/>
    <w:next w:val="NoList"/>
    <w:semiHidden/>
    <w:rsid w:val="00374D1B"/>
  </w:style>
  <w:style w:type="numbering" w:customStyle="1" w:styleId="NoList11112">
    <w:name w:val="No List11112"/>
    <w:next w:val="NoList"/>
    <w:semiHidden/>
    <w:unhideWhenUsed/>
    <w:rsid w:val="00374D1B"/>
  </w:style>
  <w:style w:type="numbering" w:customStyle="1" w:styleId="111111">
    <w:name w:val="Нет списка111111"/>
    <w:next w:val="NoList"/>
    <w:semiHidden/>
    <w:unhideWhenUsed/>
    <w:rsid w:val="00374D1B"/>
  </w:style>
  <w:style w:type="table" w:customStyle="1" w:styleId="TableGrid61">
    <w:name w:val="Table Grid61"/>
    <w:basedOn w:val="TableNormal"/>
    <w:next w:val="TableGrid"/>
    <w:uiPriority w:val="39"/>
    <w:rsid w:val="00374D1B"/>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
    <w:name w:val="Grid Table 1 Light - Accent 5111"/>
    <w:basedOn w:val="TableNormal"/>
    <w:uiPriority w:val="46"/>
    <w:rsid w:val="00374D1B"/>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
    <w:name w:val="Table Grid221"/>
    <w:basedOn w:val="TableNormal"/>
    <w:next w:val="TableGrid"/>
    <w:uiPriority w:val="39"/>
    <w:rsid w:val="00374D1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374D1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374D1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
    <w:basedOn w:val="TableNormal"/>
    <w:next w:val="TableGrid"/>
    <w:uiPriority w:val="39"/>
    <w:rsid w:val="00374D1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
    <w:basedOn w:val="TableNormal"/>
    <w:next w:val="TableGrid"/>
    <w:uiPriority w:val="39"/>
    <w:rsid w:val="00374D1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374D1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374D1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374D1B"/>
    <w:rPr>
      <w:rFonts w:eastAsiaTheme="minorHAns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2214">
    <w:name w:val="Table Grid2214"/>
    <w:basedOn w:val="TableNormal"/>
    <w:next w:val="TableGrid"/>
    <w:uiPriority w:val="39"/>
    <w:rsid w:val="00374D1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39"/>
    <w:rsid w:val="00374D1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1">
    <w:name w:val="Grid Table 1 Light - Accent 51111"/>
    <w:basedOn w:val="TableNormal"/>
    <w:uiPriority w:val="46"/>
    <w:rsid w:val="00374D1B"/>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1113112">
    <w:name w:val="Table Grid1113112"/>
    <w:basedOn w:val="TableNormal"/>
    <w:next w:val="TableGrid"/>
    <w:uiPriority w:val="39"/>
    <w:rsid w:val="00374D1B"/>
    <w:pPr>
      <w:spacing w:after="200" w:line="276" w:lineRule="auto"/>
    </w:pPr>
    <w:rPr>
      <w:rFonts w:ascii="Times New Roman" w:eastAsia="Times New Roman" w:hAnsi="Times New Roman"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11">
    <w:name w:val="Medium Shading 1 - Accent 11"/>
    <w:basedOn w:val="TableNormal"/>
    <w:next w:val="MediumShading1-Accent1"/>
    <w:uiPriority w:val="63"/>
    <w:rsid w:val="00374D1B"/>
    <w:rPr>
      <w:rFonts w:eastAsiaTheme="minorHAns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374D1B"/>
    <w:rPr>
      <w:rFonts w:eastAsiaTheme="minorHAns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2">
    <w:name w:val="Light Shading Accent 2"/>
    <w:basedOn w:val="TableNormal"/>
    <w:uiPriority w:val="60"/>
    <w:rsid w:val="00374D1B"/>
    <w:rPr>
      <w:rFonts w:eastAsiaTheme="minorHAns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eGrid142121">
    <w:name w:val="Table Grid142121"/>
    <w:basedOn w:val="TableNormal"/>
    <w:next w:val="TableGrid"/>
    <w:uiPriority w:val="39"/>
    <w:rsid w:val="00374D1B"/>
    <w:pPr>
      <w:spacing w:after="200" w:line="276" w:lineRule="auto"/>
    </w:pPr>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2">
    <w:name w:val="Grid Table 1 Light - Accent 52"/>
    <w:basedOn w:val="TableNormal"/>
    <w:uiPriority w:val="46"/>
    <w:rsid w:val="00BA12C4"/>
    <w:rPr>
      <w:rFonts w:eastAsiaTheme="minorHAns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CharChara">
    <w:name w:val="Char Char"/>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CharCharChar4">
    <w:name w:val="Char Char Char"/>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BodyText30">
    <w:name w:val="Body Text3"/>
    <w:basedOn w:val="Normal"/>
    <w:rsid w:val="00D641C7"/>
    <w:pPr>
      <w:tabs>
        <w:tab w:val="num" w:pos="0"/>
      </w:tabs>
      <w:spacing w:before="0" w:after="240" w:line="240" w:lineRule="auto"/>
      <w:ind w:firstLine="0"/>
    </w:pPr>
    <w:rPr>
      <w:rFonts w:ascii="Times Armenian" w:eastAsia="Times New Roman" w:hAnsi="Times Armenian" w:cs="Times New Roman"/>
      <w:sz w:val="24"/>
      <w:szCs w:val="24"/>
      <w:lang w:eastAsia="ru-RU"/>
    </w:rPr>
  </w:style>
  <w:style w:type="paragraph" w:customStyle="1" w:styleId="Char8">
    <w:name w:val="Char"/>
    <w:basedOn w:val="Normal"/>
    <w:next w:val="Normal"/>
    <w:rsid w:val="00D641C7"/>
    <w:pPr>
      <w:spacing w:before="0" w:after="160" w:line="240" w:lineRule="exact"/>
      <w:ind w:firstLine="0"/>
      <w:jc w:val="left"/>
    </w:pPr>
    <w:rPr>
      <w:rFonts w:ascii="Tahoma" w:eastAsia="Times New Roman" w:hAnsi="Tahoma" w:cs="Times New Roman"/>
      <w:sz w:val="24"/>
      <w:szCs w:val="20"/>
    </w:rPr>
  </w:style>
  <w:style w:type="paragraph" w:customStyle="1" w:styleId="Znak0">
    <w:name w:val="Znak"/>
    <w:basedOn w:val="Normal"/>
    <w:rsid w:val="00D641C7"/>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CharCharCharCharCharChar0">
    <w:name w:val="Char Char Char Char Char Char Char Char"/>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CharChar0">
    <w:name w:val="Char Char Char Char Знак Char Знак Char Char Char Char Char Char Char Char Char Char"/>
    <w:basedOn w:val="Normal"/>
    <w:qFormat/>
    <w:rsid w:val="00D641C7"/>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CharCharCharCharChar0">
    <w:name w:val="Char Char Char Char Char Char Char"/>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af3">
    <w:name w:val="Знак Знак"/>
    <w:basedOn w:val="Normal"/>
    <w:link w:val="Char9"/>
    <w:rsid w:val="00D641C7"/>
    <w:pPr>
      <w:spacing w:before="0" w:after="160" w:line="240" w:lineRule="exact"/>
      <w:ind w:firstLine="0"/>
      <w:jc w:val="left"/>
    </w:pPr>
    <w:rPr>
      <w:rFonts w:ascii="Arial" w:eastAsia="Times New Roman" w:hAnsi="Arial" w:cs="Arial"/>
      <w:sz w:val="20"/>
      <w:szCs w:val="20"/>
      <w:lang w:val="en-GB"/>
    </w:rPr>
  </w:style>
  <w:style w:type="character" w:customStyle="1" w:styleId="Char9">
    <w:name w:val="Знак Знак Char"/>
    <w:link w:val="af3"/>
    <w:rsid w:val="00D641C7"/>
    <w:rPr>
      <w:rFonts w:ascii="Arial" w:eastAsia="Times New Roman" w:hAnsi="Arial" w:cs="Arial"/>
      <w:lang w:val="en-GB"/>
    </w:rPr>
  </w:style>
  <w:style w:type="paragraph" w:customStyle="1" w:styleId="CharCharChar5">
    <w:name w:val="Char Char Char Знак Знак"/>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0">
    <w:name w:val="Char Char Char Char Char Char Char Char Char Char"/>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0">
    <w:name w:val="Char Char Char Char Char Char Char Char Char Char Char Char Char"/>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af4">
    <w:name w:val="Абзац списка"/>
    <w:basedOn w:val="Normal"/>
    <w:qFormat/>
    <w:rsid w:val="00D641C7"/>
    <w:pPr>
      <w:spacing w:before="0" w:after="200" w:line="276" w:lineRule="auto"/>
      <w:ind w:left="720" w:firstLine="0"/>
      <w:contextualSpacing/>
      <w:jc w:val="left"/>
    </w:pPr>
    <w:rPr>
      <w:rFonts w:ascii="Calibri" w:eastAsia="Times New Roman" w:hAnsi="Calibri" w:cs="Times New Roman"/>
      <w:lang w:val="ru-RU" w:eastAsia="ru-RU"/>
    </w:rPr>
  </w:style>
  <w:style w:type="paragraph" w:customStyle="1" w:styleId="1CharChar0">
    <w:name w:val="Знак Знак1 Char Char Знак Знак"/>
    <w:basedOn w:val="Normal"/>
    <w:rsid w:val="00D641C7"/>
    <w:pPr>
      <w:tabs>
        <w:tab w:val="num" w:pos="840"/>
      </w:tabs>
      <w:spacing w:before="0" w:after="160" w:line="240" w:lineRule="exact"/>
      <w:ind w:left="840" w:hanging="360"/>
    </w:pPr>
    <w:rPr>
      <w:rFonts w:ascii="Verdana" w:eastAsia="Times New Roman" w:hAnsi="Verdana" w:cs="Times New Roman"/>
      <w:sz w:val="20"/>
      <w:szCs w:val="20"/>
      <w:lang w:val="ru-RU"/>
    </w:rPr>
  </w:style>
  <w:style w:type="paragraph" w:customStyle="1" w:styleId="CharCharCharChar4">
    <w:name w:val="Знак Знак Char Char Знак Знак Char Char Знак Знак"/>
    <w:basedOn w:val="Normal"/>
    <w:autoRedefine/>
    <w:rsid w:val="00D641C7"/>
    <w:pPr>
      <w:spacing w:before="0" w:after="160" w:line="240" w:lineRule="exact"/>
      <w:ind w:firstLine="0"/>
      <w:jc w:val="left"/>
    </w:pPr>
    <w:rPr>
      <w:rFonts w:ascii="Times New Roman" w:eastAsia="Times New Roman" w:hAnsi="Times New Roman" w:cs="Times New Roman"/>
      <w:sz w:val="28"/>
      <w:szCs w:val="20"/>
    </w:rPr>
  </w:style>
  <w:style w:type="paragraph" w:customStyle="1" w:styleId="af5">
    <w:name w:val="Обычный"/>
    <w:rsid w:val="00D641C7"/>
    <w:pPr>
      <w:autoSpaceDE w:val="0"/>
      <w:autoSpaceDN w:val="0"/>
    </w:pPr>
    <w:rPr>
      <w:rFonts w:ascii="Times New Roman" w:eastAsia="Times New Roman" w:hAnsi="Times New Roman" w:cs="Times New Roman"/>
      <w:lang w:val="ru-RU" w:eastAsia="ru-RU"/>
    </w:rPr>
  </w:style>
  <w:style w:type="paragraph" w:customStyle="1" w:styleId="Chara">
    <w:name w:val="Знак Знак Знак Знак Знак Знак Знак Знак Знак Знак Знак Знак Знак Знак Знак Знак Знак Знак Char Знак Знак"/>
    <w:basedOn w:val="Normal"/>
    <w:autoRedefine/>
    <w:rsid w:val="00D641C7"/>
    <w:pPr>
      <w:spacing w:before="0" w:after="160" w:line="240" w:lineRule="exact"/>
      <w:ind w:firstLine="0"/>
      <w:jc w:val="left"/>
    </w:pPr>
    <w:rPr>
      <w:rFonts w:ascii="Times New Roman" w:eastAsia="Times New Roman" w:hAnsi="Times New Roman" w:cs="Times New Roman"/>
      <w:sz w:val="28"/>
      <w:szCs w:val="20"/>
    </w:rPr>
  </w:style>
  <w:style w:type="paragraph" w:customStyle="1" w:styleId="CharCharChar6">
    <w:name w:val="Char Char Char Знак"/>
    <w:basedOn w:val="Normal"/>
    <w:next w:val="Normal"/>
    <w:rsid w:val="00D641C7"/>
    <w:pPr>
      <w:spacing w:before="0" w:after="160" w:line="240" w:lineRule="exact"/>
      <w:ind w:firstLine="0"/>
      <w:jc w:val="left"/>
    </w:pPr>
    <w:rPr>
      <w:rFonts w:ascii="Tahoma" w:eastAsia="Times New Roman" w:hAnsi="Tahoma" w:cs="Times New Roman"/>
      <w:sz w:val="24"/>
      <w:szCs w:val="20"/>
    </w:rPr>
  </w:style>
  <w:style w:type="paragraph" w:customStyle="1" w:styleId="CharCharChar1Char0">
    <w:name w:val="Char Char Char1 Char"/>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1f8">
    <w:name w:val="Знак Знак1"/>
    <w:basedOn w:val="Normal"/>
    <w:rsid w:val="00D641C7"/>
    <w:pPr>
      <w:spacing w:before="0" w:after="160" w:line="240" w:lineRule="exact"/>
      <w:ind w:firstLine="0"/>
      <w:jc w:val="left"/>
    </w:pPr>
    <w:rPr>
      <w:rFonts w:ascii="Arial" w:eastAsia="MS Mincho" w:hAnsi="Arial" w:cs="Arial"/>
      <w:sz w:val="20"/>
      <w:szCs w:val="20"/>
    </w:rPr>
  </w:style>
  <w:style w:type="paragraph" w:customStyle="1" w:styleId="CharCharCharCharChar4">
    <w:name w:val="Char Char Char Char Char Знак Знак"/>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CharChar1CharCharChar1Char0">
    <w:name w:val="Char Char1 Char Char Char1 Char"/>
    <w:basedOn w:val="Normal"/>
    <w:autoRedefine/>
    <w:rsid w:val="00D641C7"/>
    <w:pPr>
      <w:spacing w:before="0" w:after="0" w:line="240" w:lineRule="auto"/>
      <w:ind w:firstLine="0"/>
      <w:jc w:val="left"/>
    </w:pPr>
    <w:rPr>
      <w:rFonts w:ascii="Times New Roman" w:eastAsia="SimSun" w:hAnsi="Times New Roman" w:cs="Times New Roman"/>
      <w:sz w:val="20"/>
      <w:szCs w:val="20"/>
      <w:lang w:eastAsia="ru-RU"/>
    </w:rPr>
  </w:style>
  <w:style w:type="paragraph" w:customStyle="1" w:styleId="46">
    <w:name w:val="Знак Знак4"/>
    <w:basedOn w:val="Normal"/>
    <w:rsid w:val="00D641C7"/>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b">
    <w:name w:val="Знак Char Знак"/>
    <w:basedOn w:val="Normal"/>
    <w:rsid w:val="00D641C7"/>
    <w:pPr>
      <w:spacing w:before="0" w:after="160" w:line="240" w:lineRule="exact"/>
      <w:ind w:firstLine="0"/>
      <w:jc w:val="left"/>
    </w:pPr>
    <w:rPr>
      <w:rFonts w:ascii="Arial" w:eastAsia="Batang" w:hAnsi="Arial" w:cs="Arial"/>
      <w:sz w:val="20"/>
      <w:szCs w:val="20"/>
    </w:rPr>
  </w:style>
  <w:style w:type="paragraph" w:customStyle="1" w:styleId="CharCharCharCharCharChar4">
    <w:name w:val="Знак Знак Char Char Знак Знак Char Char Знак Знак Char Char"/>
    <w:basedOn w:val="Normal"/>
    <w:autoRedefine/>
    <w:rsid w:val="00D641C7"/>
    <w:pPr>
      <w:spacing w:before="0" w:after="160" w:line="240" w:lineRule="exact"/>
      <w:ind w:firstLine="0"/>
      <w:jc w:val="left"/>
    </w:pPr>
    <w:rPr>
      <w:rFonts w:ascii="Times New Roman" w:eastAsia="Times New Roman" w:hAnsi="Times New Roman" w:cs="Times New Roman"/>
      <w:sz w:val="28"/>
      <w:szCs w:val="20"/>
    </w:rPr>
  </w:style>
  <w:style w:type="paragraph" w:customStyle="1" w:styleId="2e">
    <w:name w:val="Знак Знак2"/>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CharCharCharCharChar5">
    <w:name w:val="Char Char Char Char Char"/>
    <w:basedOn w:val="Normal"/>
    <w:rsid w:val="00D641C7"/>
    <w:pPr>
      <w:spacing w:before="0" w:after="160" w:line="240" w:lineRule="exact"/>
      <w:ind w:firstLine="0"/>
      <w:jc w:val="left"/>
    </w:pPr>
    <w:rPr>
      <w:rFonts w:ascii="Arial" w:eastAsia="Times New Roman" w:hAnsi="Arial" w:cs="Arial"/>
      <w:sz w:val="20"/>
      <w:szCs w:val="20"/>
    </w:rPr>
  </w:style>
  <w:style w:type="character" w:customStyle="1" w:styleId="CharChar180">
    <w:name w:val="Char Char18"/>
    <w:rsid w:val="00D641C7"/>
    <w:rPr>
      <w:rFonts w:ascii="Arial Armenian" w:eastAsia="Times New Roman" w:hAnsi="Arial Armenian"/>
      <w:i/>
      <w:sz w:val="22"/>
      <w:u w:val="single"/>
      <w:lang w:val="en-GB"/>
    </w:rPr>
  </w:style>
  <w:style w:type="character" w:customStyle="1" w:styleId="CharChar190">
    <w:name w:val="Char Char19"/>
    <w:rsid w:val="00D641C7"/>
    <w:rPr>
      <w:b/>
      <w:sz w:val="32"/>
      <w:lang w:val="en-GB" w:eastAsia="en-US" w:bidi="ar-SA"/>
    </w:rPr>
  </w:style>
  <w:style w:type="character" w:customStyle="1" w:styleId="CharChar214">
    <w:name w:val="Char Char21"/>
    <w:rsid w:val="00D641C7"/>
    <w:rPr>
      <w:rFonts w:ascii="Arial Armenian" w:hAnsi="Arial Armenian"/>
      <w:i/>
      <w:sz w:val="22"/>
      <w:u w:val="single"/>
      <w:lang w:val="en-GB" w:eastAsia="en-US" w:bidi="ar-SA"/>
    </w:rPr>
  </w:style>
  <w:style w:type="character" w:customStyle="1" w:styleId="CharChar200">
    <w:name w:val="Char Char20"/>
    <w:rsid w:val="00D641C7"/>
    <w:rPr>
      <w:rFonts w:ascii="Garamond" w:hAnsi="Garamond"/>
      <w:i/>
      <w:spacing w:val="-5"/>
      <w:sz w:val="28"/>
      <w:lang w:val="en-GB" w:eastAsia="en-US" w:bidi="ar-SA"/>
    </w:rPr>
  </w:style>
  <w:style w:type="character" w:customStyle="1" w:styleId="CharChar140">
    <w:name w:val="Char Char14"/>
    <w:uiPriority w:val="99"/>
    <w:rsid w:val="00D641C7"/>
    <w:rPr>
      <w:sz w:val="36"/>
      <w:lang w:val="en-GB"/>
    </w:rPr>
  </w:style>
  <w:style w:type="character" w:customStyle="1" w:styleId="CharChar50">
    <w:name w:val="Char Char5"/>
    <w:uiPriority w:val="99"/>
    <w:rsid w:val="00D641C7"/>
    <w:rPr>
      <w:rFonts w:ascii="Arial Armenian" w:hAnsi="Arial Armenian" w:cs="Sylfaen"/>
      <w:sz w:val="24"/>
      <w:szCs w:val="24"/>
      <w:lang w:val="ru-RU" w:eastAsia="ru-RU"/>
    </w:rPr>
  </w:style>
  <w:style w:type="character" w:customStyle="1" w:styleId="CharChar160">
    <w:name w:val="Char Char16"/>
    <w:uiPriority w:val="99"/>
    <w:rsid w:val="00D641C7"/>
    <w:rPr>
      <w:rFonts w:ascii="Times New Roman" w:hAnsi="Times New Roman"/>
      <w:b/>
      <w:sz w:val="32"/>
      <w:lang w:val="en-GB"/>
    </w:rPr>
  </w:style>
  <w:style w:type="character" w:customStyle="1" w:styleId="CharChar170">
    <w:name w:val="Char Char17"/>
    <w:rsid w:val="00D641C7"/>
    <w:rPr>
      <w:rFonts w:ascii="Arial Armenian" w:hAnsi="Arial Armenian"/>
      <w:i/>
      <w:sz w:val="22"/>
      <w:u w:val="single"/>
      <w:lang w:val="en-GB" w:eastAsia="en-US" w:bidi="ar-SA"/>
    </w:rPr>
  </w:style>
  <w:style w:type="paragraph" w:customStyle="1" w:styleId="CharCharCharCharCharChar5">
    <w:name w:val="Char Char Char Char Char Char"/>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CharChar1a">
    <w:name w:val="Char Char1"/>
    <w:basedOn w:val="Normal"/>
    <w:rsid w:val="00D641C7"/>
    <w:pPr>
      <w:spacing w:before="0" w:after="160" w:line="240" w:lineRule="exact"/>
      <w:ind w:firstLine="0"/>
      <w:jc w:val="left"/>
    </w:pPr>
    <w:rPr>
      <w:rFonts w:ascii="Arial" w:eastAsia="Times New Roman" w:hAnsi="Arial" w:cs="Arial"/>
      <w:sz w:val="20"/>
      <w:szCs w:val="20"/>
    </w:rPr>
  </w:style>
  <w:style w:type="character" w:customStyle="1" w:styleId="CharChar114">
    <w:name w:val="Char Char11"/>
    <w:uiPriority w:val="99"/>
    <w:rsid w:val="00D641C7"/>
    <w:rPr>
      <w:rFonts w:ascii="Arial Armenian" w:hAnsi="Arial Armenian"/>
      <w:lang w:val="ru-RU" w:eastAsia="ru-RU" w:bidi="ar-SA"/>
    </w:rPr>
  </w:style>
  <w:style w:type="paragraph" w:customStyle="1" w:styleId="af6">
    <w:name w:val="Знак"/>
    <w:basedOn w:val="Normal"/>
    <w:rsid w:val="00D641C7"/>
    <w:pPr>
      <w:spacing w:before="0" w:after="160" w:line="240" w:lineRule="exact"/>
      <w:ind w:firstLine="0"/>
      <w:jc w:val="left"/>
    </w:pPr>
    <w:rPr>
      <w:rFonts w:ascii="Arial" w:eastAsia="Times New Roman" w:hAnsi="Arial" w:cs="Arial"/>
      <w:sz w:val="20"/>
      <w:szCs w:val="20"/>
      <w:lang w:val="en-GB"/>
    </w:rPr>
  </w:style>
  <w:style w:type="paragraph" w:customStyle="1" w:styleId="af7">
    <w:name w:val="Без интервала"/>
    <w:uiPriority w:val="1"/>
    <w:qFormat/>
    <w:rsid w:val="00D641C7"/>
    <w:rPr>
      <w:rFonts w:ascii="Calibri" w:eastAsia="Times New Roman" w:hAnsi="Calibri" w:cs="Times New Roman"/>
      <w:sz w:val="22"/>
      <w:szCs w:val="22"/>
    </w:rPr>
  </w:style>
  <w:style w:type="paragraph" w:customStyle="1" w:styleId="af8">
    <w:name w:val="Рецензия"/>
    <w:hidden/>
    <w:semiHidden/>
    <w:rsid w:val="00D641C7"/>
    <w:rPr>
      <w:rFonts w:ascii="Arial Armenian" w:eastAsia="Times New Roman" w:hAnsi="Arial Armenian" w:cs="Sylfaen"/>
      <w:sz w:val="24"/>
      <w:szCs w:val="24"/>
      <w:lang w:val="ru-RU" w:eastAsia="ru-RU"/>
    </w:rPr>
  </w:style>
  <w:style w:type="character" w:customStyle="1" w:styleId="CharChar280">
    <w:name w:val="Char Char28"/>
    <w:rsid w:val="00D641C7"/>
    <w:rPr>
      <w:rFonts w:ascii="Arial Armenian" w:hAnsi="Arial Armenian"/>
      <w:i/>
      <w:sz w:val="22"/>
      <w:u w:val="single"/>
      <w:lang w:val="en-GB"/>
    </w:rPr>
  </w:style>
  <w:style w:type="character" w:customStyle="1" w:styleId="CharChar270">
    <w:name w:val="Char Char27"/>
    <w:rsid w:val="00D641C7"/>
    <w:rPr>
      <w:rFonts w:ascii="Garamond" w:hAnsi="Garamond"/>
      <w:i/>
      <w:spacing w:val="-5"/>
      <w:sz w:val="28"/>
      <w:shd w:val="pct5" w:color="auto" w:fill="auto"/>
      <w:lang w:val="en-GB"/>
    </w:rPr>
  </w:style>
  <w:style w:type="character" w:customStyle="1" w:styleId="CharChar260">
    <w:name w:val="Char Char26"/>
    <w:rsid w:val="00D641C7"/>
    <w:rPr>
      <w:rFonts w:ascii="Arial Black" w:hAnsi="Arial Black"/>
      <w:caps/>
      <w:spacing w:val="60"/>
      <w:position w:val="4"/>
      <w:sz w:val="14"/>
      <w:lang w:val="en-GB"/>
    </w:rPr>
  </w:style>
  <w:style w:type="character" w:customStyle="1" w:styleId="CharChar250">
    <w:name w:val="Char Char25"/>
    <w:rsid w:val="00D641C7"/>
    <w:rPr>
      <w:rFonts w:ascii="Garamond" w:hAnsi="Garamond"/>
      <w:b/>
      <w:i/>
      <w:kern w:val="28"/>
      <w:lang w:val="en-GB"/>
    </w:rPr>
  </w:style>
  <w:style w:type="character" w:customStyle="1" w:styleId="CharChar240">
    <w:name w:val="Char Char24"/>
    <w:rsid w:val="00D641C7"/>
    <w:rPr>
      <w:rFonts w:ascii="Arial Armenian" w:hAnsi="Arial Armenian"/>
      <w:noProof/>
      <w:lang w:val="en-US" w:eastAsia="en-US" w:bidi="ar-SA"/>
    </w:rPr>
  </w:style>
  <w:style w:type="character" w:customStyle="1" w:styleId="CharChar230">
    <w:name w:val="Char Char23"/>
    <w:rsid w:val="00D641C7"/>
    <w:rPr>
      <w:rFonts w:ascii="Arial Armenian" w:hAnsi="Arial Armenian"/>
      <w:lang w:val="en-GB" w:eastAsia="en-US" w:bidi="ar-SA"/>
    </w:rPr>
  </w:style>
  <w:style w:type="character" w:customStyle="1" w:styleId="CharChar220">
    <w:name w:val="Char Char22"/>
    <w:qFormat/>
    <w:rsid w:val="00D641C7"/>
    <w:rPr>
      <w:rFonts w:ascii="Arial Armenian" w:hAnsi="Arial Armenian"/>
      <w:lang w:val="ru-RU" w:eastAsia="ru-RU" w:bidi="ar-SA"/>
    </w:rPr>
  </w:style>
  <w:style w:type="paragraph" w:customStyle="1" w:styleId="Char1CharCharCharCharCharCharCharCharCharCharCharChar0">
    <w:name w:val="Char1 Char Char Char Char Char Char Char Char Char Char Char Char"/>
    <w:basedOn w:val="Normal"/>
    <w:rsid w:val="00D641C7"/>
    <w:pPr>
      <w:spacing w:before="0" w:after="160" w:line="240" w:lineRule="exact"/>
      <w:ind w:firstLine="0"/>
      <w:jc w:val="left"/>
    </w:pPr>
    <w:rPr>
      <w:rFonts w:ascii="Arial" w:eastAsia="Times New Roman" w:hAnsi="Arial" w:cs="Arial"/>
      <w:sz w:val="20"/>
      <w:szCs w:val="20"/>
    </w:rPr>
  </w:style>
  <w:style w:type="character" w:customStyle="1" w:styleId="CharChar150">
    <w:name w:val="Char Char15"/>
    <w:rsid w:val="00D641C7"/>
    <w:rPr>
      <w:sz w:val="36"/>
      <w:lang w:val="en-GB" w:eastAsia="en-US" w:bidi="ar-SA"/>
    </w:rPr>
  </w:style>
  <w:style w:type="character" w:customStyle="1" w:styleId="CharChar130">
    <w:name w:val="Char Char13"/>
    <w:rsid w:val="00D641C7"/>
    <w:rPr>
      <w:sz w:val="22"/>
      <w:lang w:val="en-GB" w:eastAsia="en-US" w:bidi="ar-SA"/>
    </w:rPr>
  </w:style>
  <w:style w:type="character" w:customStyle="1" w:styleId="CharChar120">
    <w:name w:val="Char Char12"/>
    <w:rsid w:val="00D641C7"/>
    <w:rPr>
      <w:sz w:val="22"/>
      <w:lang w:val="en-GB" w:eastAsia="en-US" w:bidi="ar-SA"/>
    </w:rPr>
  </w:style>
  <w:style w:type="character" w:customStyle="1" w:styleId="CharChar100">
    <w:name w:val="Char Char10"/>
    <w:rsid w:val="00D641C7"/>
    <w:rPr>
      <w:rFonts w:ascii="Times Armenian" w:hAnsi="Times Armenian"/>
      <w:color w:val="993300"/>
      <w:sz w:val="22"/>
      <w:szCs w:val="24"/>
      <w:lang w:val="hy-AM" w:eastAsia="en-US" w:bidi="ar-SA"/>
    </w:rPr>
  </w:style>
  <w:style w:type="character" w:customStyle="1" w:styleId="CharChar90">
    <w:name w:val="Char Char9"/>
    <w:rsid w:val="00D641C7"/>
    <w:rPr>
      <w:rFonts w:ascii="Times Armenian" w:hAnsi="Times Armenian"/>
      <w:b/>
      <w:i/>
      <w:sz w:val="24"/>
      <w:u w:val="single"/>
      <w:lang w:val="hy-AM" w:eastAsia="en-US" w:bidi="ar-SA"/>
    </w:rPr>
  </w:style>
  <w:style w:type="character" w:customStyle="1" w:styleId="CharChar350">
    <w:name w:val="Char Char35"/>
    <w:rsid w:val="00D641C7"/>
    <w:rPr>
      <w:rFonts w:ascii="Arial Armenian" w:hAnsi="Arial Armenian"/>
      <w:i/>
      <w:sz w:val="22"/>
      <w:u w:val="single"/>
      <w:lang w:val="en-GB" w:eastAsia="x-none"/>
    </w:rPr>
  </w:style>
  <w:style w:type="character" w:customStyle="1" w:styleId="CharChar340">
    <w:name w:val="Char Char34"/>
    <w:rsid w:val="00D641C7"/>
    <w:rPr>
      <w:rFonts w:ascii="Garamond" w:hAnsi="Garamond"/>
      <w:i/>
      <w:spacing w:val="-5"/>
      <w:sz w:val="28"/>
      <w:shd w:val="pct5" w:color="auto" w:fill="auto"/>
      <w:lang w:val="en-GB" w:eastAsia="x-none"/>
    </w:rPr>
  </w:style>
  <w:style w:type="character" w:customStyle="1" w:styleId="CharChar330">
    <w:name w:val="Char Char33"/>
    <w:rsid w:val="00D641C7"/>
    <w:rPr>
      <w:rFonts w:ascii="Arial Black" w:hAnsi="Arial Black"/>
      <w:caps/>
      <w:spacing w:val="60"/>
      <w:position w:val="4"/>
      <w:sz w:val="14"/>
      <w:lang w:val="en-GB" w:eastAsia="x-none"/>
    </w:rPr>
  </w:style>
  <w:style w:type="character" w:customStyle="1" w:styleId="CharChar320">
    <w:name w:val="Char Char32"/>
    <w:rsid w:val="00D641C7"/>
    <w:rPr>
      <w:rFonts w:ascii="Garamond" w:hAnsi="Garamond"/>
      <w:b/>
      <w:i/>
      <w:kern w:val="28"/>
      <w:lang w:val="en-GB" w:eastAsia="x-none"/>
    </w:rPr>
  </w:style>
  <w:style w:type="character" w:customStyle="1" w:styleId="CharChar310">
    <w:name w:val="Char Char31"/>
    <w:rsid w:val="00D641C7"/>
    <w:rPr>
      <w:rFonts w:ascii="Arial Armenian" w:hAnsi="Arial Armenian"/>
      <w:noProof/>
      <w:lang w:val="en-US" w:eastAsia="en-US" w:bidi="ar-SA"/>
    </w:rPr>
  </w:style>
  <w:style w:type="character" w:customStyle="1" w:styleId="CharChar300">
    <w:name w:val="Char Char30"/>
    <w:rsid w:val="00D641C7"/>
    <w:rPr>
      <w:rFonts w:ascii="Arial Armenian" w:hAnsi="Arial Armenian"/>
      <w:lang w:val="en-GB" w:eastAsia="en-US" w:bidi="ar-SA"/>
    </w:rPr>
  </w:style>
  <w:style w:type="character" w:customStyle="1" w:styleId="CharChar290">
    <w:name w:val="Char Char29"/>
    <w:rsid w:val="00D641C7"/>
    <w:rPr>
      <w:rFonts w:ascii="Arial Armenian" w:hAnsi="Arial Armenian"/>
      <w:lang w:val="ru-RU" w:eastAsia="ru-RU" w:bidi="ar-SA"/>
    </w:rPr>
  </w:style>
  <w:style w:type="paragraph" w:customStyle="1" w:styleId="CharChar5CharCharCharCharCharChar0">
    <w:name w:val="Char Char5 Char Char Char Char Char Char"/>
    <w:basedOn w:val="Normal"/>
    <w:rsid w:val="00D641C7"/>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5CharCharCharChar0">
    <w:name w:val="Char Char5 Char Char Char Char"/>
    <w:basedOn w:val="Normal"/>
    <w:rsid w:val="00D641C7"/>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5CharChar0">
    <w:name w:val="Char Char5 Char Char"/>
    <w:basedOn w:val="Normal"/>
    <w:rsid w:val="00D641C7"/>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character" w:customStyle="1" w:styleId="af9">
    <w:name w:val="Основной текст"/>
    <w:rsid w:val="00D641C7"/>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character" w:customStyle="1" w:styleId="CharChar63">
    <w:name w:val="Char Char6"/>
    <w:locked/>
    <w:rsid w:val="00D641C7"/>
    <w:rPr>
      <w:rFonts w:ascii="Times LatArm" w:eastAsia="Calibri" w:hAnsi="Times LatArm" w:cs="Times LatArm"/>
      <w:sz w:val="22"/>
      <w:szCs w:val="22"/>
      <w:lang w:val="en-GB" w:eastAsia="en-US" w:bidi="ar-SA"/>
    </w:rPr>
  </w:style>
  <w:style w:type="character" w:customStyle="1" w:styleId="CharChar80">
    <w:name w:val="Char Char8"/>
    <w:locked/>
    <w:rsid w:val="00D641C7"/>
    <w:rPr>
      <w:rFonts w:ascii="Times Armenian" w:eastAsia="Calibri" w:hAnsi="Times Armenian" w:cs="Times Armenian"/>
      <w:color w:val="993300"/>
      <w:sz w:val="22"/>
      <w:szCs w:val="22"/>
      <w:lang w:val="hy-AM" w:eastAsia="en-US" w:bidi="ar-SA"/>
    </w:rPr>
  </w:style>
  <w:style w:type="character" w:customStyle="1" w:styleId="CharChar70">
    <w:name w:val="Char Char7"/>
    <w:locked/>
    <w:rsid w:val="00D641C7"/>
    <w:rPr>
      <w:rFonts w:ascii="Courier New" w:eastAsia="Calibri" w:hAnsi="Courier New" w:cs="Courier New"/>
      <w:lang w:val="en-US" w:eastAsia="en-US" w:bidi="ar-SA"/>
    </w:rPr>
  </w:style>
  <w:style w:type="character" w:customStyle="1" w:styleId="CharChar40">
    <w:name w:val="Char Char4"/>
    <w:locked/>
    <w:rsid w:val="00D641C7"/>
    <w:rPr>
      <w:rFonts w:eastAsia="Calibri"/>
      <w:sz w:val="22"/>
      <w:szCs w:val="22"/>
      <w:lang w:val="en-GB" w:eastAsia="en-US" w:bidi="ar-SA"/>
    </w:rPr>
  </w:style>
  <w:style w:type="character" w:customStyle="1" w:styleId="CharChar3a">
    <w:name w:val="Char Char3"/>
    <w:uiPriority w:val="99"/>
    <w:locked/>
    <w:rsid w:val="00D641C7"/>
    <w:rPr>
      <w:rFonts w:eastAsia="Calibri"/>
      <w:sz w:val="22"/>
      <w:szCs w:val="22"/>
      <w:lang w:val="en-GB" w:eastAsia="en-US" w:bidi="ar-SA"/>
    </w:rPr>
  </w:style>
  <w:style w:type="character" w:customStyle="1" w:styleId="CharChar2a">
    <w:name w:val="Char Char2"/>
    <w:locked/>
    <w:rsid w:val="00D641C7"/>
    <w:rPr>
      <w:rFonts w:ascii="Times Armenian" w:eastAsia="Calibri" w:hAnsi="Times Armenian" w:cs="Times Armenian"/>
      <w:b/>
      <w:bCs/>
      <w:sz w:val="22"/>
      <w:szCs w:val="22"/>
      <w:lang w:val="en-US" w:eastAsia="en-US" w:bidi="ar-SA"/>
    </w:rPr>
  </w:style>
  <w:style w:type="character" w:customStyle="1" w:styleId="UnresolvedMention2">
    <w:name w:val="Unresolved Mention2"/>
    <w:basedOn w:val="DefaultParagraphFont"/>
    <w:uiPriority w:val="99"/>
    <w:semiHidden/>
    <w:unhideWhenUsed/>
    <w:rsid w:val="00222A16"/>
    <w:rPr>
      <w:color w:val="605E5C"/>
      <w:shd w:val="clear" w:color="auto" w:fill="E1DFDD"/>
    </w:rPr>
  </w:style>
  <w:style w:type="numbering" w:customStyle="1" w:styleId="NoList17">
    <w:name w:val="No List17"/>
    <w:next w:val="NoList"/>
    <w:uiPriority w:val="99"/>
    <w:semiHidden/>
    <w:unhideWhenUsed/>
    <w:rsid w:val="004F78C4"/>
  </w:style>
  <w:style w:type="table" w:customStyle="1" w:styleId="TableGrid16">
    <w:name w:val="Table Grid16"/>
    <w:basedOn w:val="TableNormal"/>
    <w:next w:val="TableGrid"/>
    <w:uiPriority w:val="39"/>
    <w:rsid w:val="004F78C4"/>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uiPriority w:val="40"/>
    <w:rsid w:val="004F78C4"/>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
    <w:name w:val="ՄԱՍԵՐ"/>
    <w:basedOn w:val="ListParagraph"/>
    <w:qFormat/>
    <w:rsid w:val="00B7540A"/>
    <w:pPr>
      <w:keepNext/>
      <w:keepLines/>
      <w:numPr>
        <w:numId w:val="50"/>
      </w:numPr>
      <w:spacing w:before="0" w:after="480" w:line="240" w:lineRule="auto"/>
      <w:ind w:left="284" w:hanging="284"/>
      <w:jc w:val="left"/>
    </w:pPr>
    <w:rPr>
      <w:rFonts w:eastAsia="Times New Roman" w:cs="Times New Roman"/>
      <w:b/>
      <w:caps/>
      <w:color w:val="0070C0"/>
      <w:sz w:val="32"/>
      <w:lang w:val="hy-AM"/>
    </w:rPr>
  </w:style>
  <w:style w:type="paragraph" w:customStyle="1" w:styleId="a0">
    <w:name w:val="ԳԼՈՒԽՆԵՐ"/>
    <w:basedOn w:val="ListParagraph"/>
    <w:qFormat/>
    <w:rsid w:val="00B7540A"/>
    <w:pPr>
      <w:keepNext/>
      <w:keepLines/>
      <w:numPr>
        <w:ilvl w:val="1"/>
        <w:numId w:val="50"/>
      </w:numPr>
      <w:spacing w:before="240" w:after="480" w:line="240" w:lineRule="auto"/>
      <w:ind w:left="924" w:hanging="567"/>
      <w:jc w:val="left"/>
    </w:pPr>
    <w:rPr>
      <w:rFonts w:eastAsia="Times New Roman" w:cs="Times New Roman"/>
      <w:b/>
      <w:caps/>
      <w:color w:val="0070C0"/>
      <w:sz w:val="28"/>
      <w:lang w:val="hy-AM"/>
    </w:rPr>
  </w:style>
  <w:style w:type="paragraph" w:customStyle="1" w:styleId="a1">
    <w:name w:val="ԵՆԹԱԳԼՈՒԽՆԵՐ"/>
    <w:basedOn w:val="ListParagraph"/>
    <w:qFormat/>
    <w:rsid w:val="00B7540A"/>
    <w:pPr>
      <w:keepNext/>
      <w:keepLines/>
      <w:numPr>
        <w:ilvl w:val="2"/>
        <w:numId w:val="50"/>
      </w:numPr>
      <w:spacing w:before="480" w:after="240" w:line="240" w:lineRule="auto"/>
      <w:ind w:left="1457" w:hanging="737"/>
    </w:pPr>
    <w:rPr>
      <w:rFonts w:eastAsia="Times New Roman" w:cs="Times New Roman"/>
      <w:b/>
      <w:caps/>
      <w:color w:val="0070C0"/>
      <w:sz w:val="26"/>
      <w:lang w:val="hy-AM"/>
    </w:rPr>
  </w:style>
  <w:style w:type="paragraph" w:customStyle="1" w:styleId="a2">
    <w:name w:val="Պարագրաֆներ"/>
    <w:basedOn w:val="ListParagraph"/>
    <w:qFormat/>
    <w:rsid w:val="00B7540A"/>
    <w:pPr>
      <w:numPr>
        <w:ilvl w:val="3"/>
        <w:numId w:val="51"/>
      </w:numPr>
      <w:spacing w:before="60" w:after="40" w:line="360" w:lineRule="auto"/>
    </w:pPr>
    <w:rPr>
      <w:rFonts w:eastAsia="Times New Roman" w:cs="Times New Roman"/>
      <w:color w:val="0070C0"/>
      <w:lang w:val="hy-AM"/>
    </w:rPr>
  </w:style>
  <w:style w:type="paragraph" w:customStyle="1" w:styleId="afa">
    <w:name w:val="Աղյուսակներ"/>
    <w:basedOn w:val="Normal"/>
    <w:qFormat/>
    <w:rsid w:val="00B7540A"/>
    <w:pPr>
      <w:spacing w:before="60" w:after="40" w:line="360" w:lineRule="auto"/>
    </w:pPr>
    <w:rPr>
      <w:rFonts w:eastAsia="Calibri" w:cs="Sylfaen"/>
      <w:b/>
      <w:bCs/>
      <w:i/>
      <w:lang w:val="hy-AM"/>
    </w:rPr>
  </w:style>
  <w:style w:type="table" w:customStyle="1" w:styleId="MediumShading1-Accent111">
    <w:name w:val="Medium Shading 1 - Accent 111"/>
    <w:basedOn w:val="TableNormal"/>
    <w:next w:val="MediumShading1-Accent1"/>
    <w:uiPriority w:val="63"/>
    <w:rsid w:val="00B7540A"/>
    <w:rPr>
      <w:rFonts w:eastAsiaTheme="minorHAns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22141">
    <w:name w:val="Table Grid22141"/>
    <w:basedOn w:val="TableNormal"/>
    <w:next w:val="TableGrid"/>
    <w:uiPriority w:val="39"/>
    <w:rsid w:val="00B7540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1">
    <w:name w:val="Table Grid41131"/>
    <w:basedOn w:val="TableNormal"/>
    <w:next w:val="TableGrid"/>
    <w:uiPriority w:val="39"/>
    <w:rsid w:val="00B7540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Հղումներ"/>
    <w:basedOn w:val="Normal"/>
    <w:qFormat/>
    <w:rsid w:val="00B7540A"/>
    <w:pPr>
      <w:spacing w:before="60" w:after="40" w:line="240" w:lineRule="auto"/>
    </w:pPr>
    <w:rPr>
      <w:rFonts w:eastAsia="Times New Roman" w:cs="Times New Roman"/>
      <w:sz w:val="20"/>
      <w:szCs w:val="20"/>
      <w:lang w:val="hy-AM"/>
    </w:rPr>
  </w:style>
  <w:style w:type="paragraph" w:customStyle="1" w:styleId="afc">
    <w:name w:val="Գծապատկերներ"/>
    <w:basedOn w:val="Normal"/>
    <w:qFormat/>
    <w:rsid w:val="00B7540A"/>
    <w:pPr>
      <w:keepNext/>
      <w:keepLines/>
      <w:spacing w:before="60" w:after="40" w:line="240" w:lineRule="auto"/>
      <w:ind w:firstLine="0"/>
      <w:jc w:val="left"/>
    </w:pPr>
    <w:rPr>
      <w:rFonts w:eastAsiaTheme="majorEastAsia" w:cs="Times New Roman"/>
      <w:b/>
      <w:i/>
      <w:lang w:val="hy-AM"/>
    </w:rPr>
  </w:style>
  <w:style w:type="table" w:customStyle="1" w:styleId="GridTable4-Accent112">
    <w:name w:val="Grid Table 4 - Accent 112"/>
    <w:basedOn w:val="TableNormal"/>
    <w:uiPriority w:val="49"/>
    <w:rsid w:val="00B7540A"/>
    <w:pPr>
      <w:spacing w:after="200" w:line="276" w:lineRule="auto"/>
    </w:pPr>
    <w:rPr>
      <w:rFonts w:eastAsia="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1">
    <w:name w:val="Համարակալում 1"/>
    <w:basedOn w:val="Normal"/>
    <w:qFormat/>
    <w:rsid w:val="00B7540A"/>
    <w:pPr>
      <w:numPr>
        <w:numId w:val="53"/>
      </w:numPr>
      <w:spacing w:before="240" w:after="120" w:line="240" w:lineRule="auto"/>
      <w:ind w:left="737" w:hanging="170"/>
      <w:jc w:val="left"/>
    </w:pPr>
    <w:rPr>
      <w:rFonts w:eastAsia="Times New Roman" w:cs="Times New Roman"/>
      <w:b/>
      <w:u w:val="single"/>
      <w:lang w:val="hy-AM"/>
    </w:rPr>
  </w:style>
  <w:style w:type="paragraph" w:customStyle="1" w:styleId="afd">
    <w:name w:val="Գծ. հղումներ"/>
    <w:basedOn w:val="Normal"/>
    <w:qFormat/>
    <w:rsid w:val="00B7540A"/>
    <w:pPr>
      <w:spacing w:after="160" w:line="276" w:lineRule="auto"/>
      <w:ind w:firstLine="0"/>
      <w:contextualSpacing/>
      <w:jc w:val="left"/>
    </w:pPr>
    <w:rPr>
      <w:rFonts w:eastAsia="Calibri" w:cs="Times New Roman"/>
      <w:i/>
      <w:sz w:val="18"/>
      <w:szCs w:val="16"/>
      <w:lang w:val="hy-AM"/>
    </w:rPr>
  </w:style>
  <w:style w:type="paragraph" w:customStyle="1" w:styleId="afe">
    <w:name w:val="Փոքր գծապ."/>
    <w:basedOn w:val="Normal"/>
    <w:qFormat/>
    <w:rsid w:val="00B7540A"/>
    <w:pPr>
      <w:spacing w:before="0" w:after="0" w:line="276" w:lineRule="auto"/>
      <w:ind w:firstLine="0"/>
      <w:contextualSpacing/>
    </w:pPr>
    <w:rPr>
      <w:rFonts w:eastAsia="Calibri" w:cs="Times New Roman"/>
      <w:b/>
      <w:i/>
      <w:noProof/>
      <w:sz w:val="18"/>
      <w:szCs w:val="18"/>
    </w:rPr>
  </w:style>
  <w:style w:type="paragraph" w:customStyle="1" w:styleId="CharCharb">
    <w:name w:val="Char Char"/>
    <w:basedOn w:val="Normal"/>
    <w:rsid w:val="00AD6087"/>
    <w:pPr>
      <w:spacing w:before="0" w:after="160" w:line="240" w:lineRule="exact"/>
    </w:pPr>
    <w:rPr>
      <w:rFonts w:ascii="Arial" w:eastAsia="Times New Roman" w:hAnsi="Arial" w:cs="Arial"/>
      <w:sz w:val="20"/>
      <w:szCs w:val="20"/>
      <w:lang w:val="hy-AM"/>
    </w:rPr>
  </w:style>
  <w:style w:type="paragraph" w:customStyle="1" w:styleId="CharCharChar7">
    <w:name w:val="Char Char Char"/>
    <w:basedOn w:val="Normal"/>
    <w:rsid w:val="00AD6087"/>
    <w:pPr>
      <w:spacing w:before="0" w:after="160" w:line="240" w:lineRule="exact"/>
    </w:pPr>
    <w:rPr>
      <w:rFonts w:ascii="Arial" w:eastAsia="Times New Roman" w:hAnsi="Arial" w:cs="Arial"/>
      <w:sz w:val="20"/>
      <w:szCs w:val="20"/>
      <w:lang w:val="hy-AM"/>
    </w:rPr>
  </w:style>
  <w:style w:type="paragraph" w:customStyle="1" w:styleId="BodyText4">
    <w:name w:val="Body Text4"/>
    <w:basedOn w:val="Normal"/>
    <w:rsid w:val="00AD6087"/>
    <w:pPr>
      <w:tabs>
        <w:tab w:val="num" w:pos="0"/>
      </w:tabs>
      <w:spacing w:before="0" w:after="240" w:line="360" w:lineRule="auto"/>
      <w:ind w:firstLine="0"/>
    </w:pPr>
    <w:rPr>
      <w:rFonts w:ascii="Times Armenian" w:eastAsia="Times New Roman" w:hAnsi="Times Armenian" w:cs="Times Unicode"/>
      <w:lang w:val="hy-AM" w:eastAsia="ru-RU"/>
    </w:rPr>
  </w:style>
  <w:style w:type="paragraph" w:customStyle="1" w:styleId="Charc">
    <w:name w:val="Char"/>
    <w:basedOn w:val="Normal"/>
    <w:next w:val="Normal"/>
    <w:rsid w:val="00AD6087"/>
    <w:pPr>
      <w:spacing w:before="0" w:after="160" w:line="240" w:lineRule="exact"/>
    </w:pPr>
    <w:rPr>
      <w:rFonts w:ascii="Tahoma" w:eastAsia="Times New Roman" w:hAnsi="Tahoma" w:cs="Times Unicode"/>
      <w:szCs w:val="20"/>
      <w:lang w:val="hy-AM"/>
    </w:rPr>
  </w:style>
  <w:style w:type="paragraph" w:customStyle="1" w:styleId="Znak4">
    <w:name w:val="Znak"/>
    <w:basedOn w:val="Normal"/>
    <w:rsid w:val="00AD6087"/>
    <w:pPr>
      <w:tabs>
        <w:tab w:val="left" w:pos="709"/>
      </w:tabs>
      <w:spacing w:before="0" w:after="0" w:line="360" w:lineRule="auto"/>
    </w:pPr>
    <w:rPr>
      <w:rFonts w:ascii="Tahoma" w:eastAsia="Times New Roman" w:hAnsi="Tahoma" w:cs="Times Unicode"/>
      <w:lang w:val="pl-PL" w:eastAsia="pl-PL"/>
    </w:rPr>
  </w:style>
  <w:style w:type="paragraph" w:customStyle="1" w:styleId="CharCharCharCharCharCharCharChar4">
    <w:name w:val="Char Char Char Char Char Char Char Char"/>
    <w:basedOn w:val="Normal"/>
    <w:rsid w:val="00AD6087"/>
    <w:pPr>
      <w:spacing w:before="0" w:after="160" w:line="240" w:lineRule="exact"/>
    </w:pPr>
    <w:rPr>
      <w:rFonts w:ascii="Arial" w:eastAsia="Times New Roman" w:hAnsi="Arial" w:cs="Arial"/>
      <w:sz w:val="20"/>
      <w:szCs w:val="20"/>
      <w:lang w:val="hy-AM"/>
    </w:rPr>
  </w:style>
  <w:style w:type="paragraph" w:customStyle="1" w:styleId="CharCharCharCharCharCharCharCharCharCharCharCharCharCharChar7">
    <w:name w:val="Char Char Char Char Знак Char Знак Char Char Char Char Char Char Char Char Char Char"/>
    <w:basedOn w:val="Normal"/>
    <w:rsid w:val="00AD6087"/>
    <w:pPr>
      <w:tabs>
        <w:tab w:val="left" w:pos="709"/>
      </w:tabs>
      <w:spacing w:before="0" w:after="0" w:line="360" w:lineRule="auto"/>
    </w:pPr>
    <w:rPr>
      <w:rFonts w:ascii="Tahoma" w:eastAsia="Times New Roman" w:hAnsi="Tahoma" w:cs="Times Unicode"/>
      <w:lang w:val="pl-PL" w:eastAsia="pl-PL"/>
    </w:rPr>
  </w:style>
  <w:style w:type="paragraph" w:customStyle="1" w:styleId="CharCharCharCharCharCharChar4">
    <w:name w:val="Char Char Char Char Char Char Char"/>
    <w:basedOn w:val="Normal"/>
    <w:rsid w:val="00AD6087"/>
    <w:pPr>
      <w:spacing w:before="0" w:after="160" w:line="240" w:lineRule="exact"/>
    </w:pPr>
    <w:rPr>
      <w:rFonts w:ascii="Arial" w:eastAsia="Times New Roman" w:hAnsi="Arial" w:cs="Arial"/>
      <w:sz w:val="20"/>
      <w:szCs w:val="20"/>
      <w:lang w:val="hy-AM"/>
    </w:rPr>
  </w:style>
  <w:style w:type="paragraph" w:customStyle="1" w:styleId="aff">
    <w:name w:val="Знак Знак"/>
    <w:basedOn w:val="Normal"/>
    <w:link w:val="Chard"/>
    <w:rsid w:val="00AD6087"/>
    <w:pPr>
      <w:spacing w:before="0" w:after="160" w:line="240" w:lineRule="exact"/>
    </w:pPr>
    <w:rPr>
      <w:rFonts w:ascii="Arial" w:eastAsia="Times New Roman" w:hAnsi="Arial" w:cs="Arial"/>
      <w:sz w:val="20"/>
      <w:szCs w:val="20"/>
      <w:lang w:val="en-GB"/>
    </w:rPr>
  </w:style>
  <w:style w:type="character" w:customStyle="1" w:styleId="Chard">
    <w:name w:val="Знак Знак Char"/>
    <w:link w:val="aff"/>
    <w:rsid w:val="00AD6087"/>
    <w:rPr>
      <w:rFonts w:ascii="Arial" w:eastAsia="Times New Roman" w:hAnsi="Arial" w:cs="Arial"/>
      <w:lang w:val="en-GB"/>
    </w:rPr>
  </w:style>
  <w:style w:type="paragraph" w:customStyle="1" w:styleId="CharCharChar8">
    <w:name w:val="Char Char Char Знак Знак"/>
    <w:basedOn w:val="Normal"/>
    <w:rsid w:val="00AD6087"/>
    <w:pPr>
      <w:spacing w:before="0" w:after="160" w:line="240" w:lineRule="exact"/>
    </w:pPr>
    <w:rPr>
      <w:rFonts w:ascii="Arial" w:eastAsia="Times New Roman" w:hAnsi="Arial" w:cs="Arial"/>
      <w:sz w:val="20"/>
      <w:szCs w:val="20"/>
      <w:lang w:val="hy-AM"/>
    </w:rPr>
  </w:style>
  <w:style w:type="paragraph" w:customStyle="1" w:styleId="CharCharCharCharCharCharCharCharCharChar4">
    <w:name w:val="Char Char Char Char Char Char Char Char Char Char"/>
    <w:basedOn w:val="Normal"/>
    <w:rsid w:val="00AD6087"/>
    <w:pPr>
      <w:spacing w:before="0" w:after="160" w:line="240" w:lineRule="exact"/>
    </w:pPr>
    <w:rPr>
      <w:rFonts w:ascii="Arial" w:eastAsia="Times New Roman" w:hAnsi="Arial" w:cs="Arial"/>
      <w:sz w:val="20"/>
      <w:szCs w:val="20"/>
      <w:lang w:val="hy-AM"/>
    </w:rPr>
  </w:style>
  <w:style w:type="paragraph" w:customStyle="1" w:styleId="CharCharCharCharCharCharCharCharCharCharCharCharChar4">
    <w:name w:val="Char Char Char Char Char Char Char Char Char Char Char Char Char"/>
    <w:basedOn w:val="Normal"/>
    <w:rsid w:val="00AD6087"/>
    <w:pPr>
      <w:spacing w:before="0" w:after="160" w:line="240" w:lineRule="exact"/>
    </w:pPr>
    <w:rPr>
      <w:rFonts w:ascii="Arial" w:eastAsia="Times New Roman" w:hAnsi="Arial" w:cs="Arial"/>
      <w:sz w:val="20"/>
      <w:szCs w:val="20"/>
      <w:lang w:val="hy-AM"/>
    </w:rPr>
  </w:style>
  <w:style w:type="paragraph" w:customStyle="1" w:styleId="1CharChar4">
    <w:name w:val="Знак Знак1 Char Char Знак Знак"/>
    <w:basedOn w:val="Normal"/>
    <w:rsid w:val="00AD6087"/>
    <w:pPr>
      <w:tabs>
        <w:tab w:val="num" w:pos="840"/>
      </w:tabs>
      <w:spacing w:before="0" w:after="160" w:line="240" w:lineRule="exact"/>
      <w:ind w:left="840" w:hanging="360"/>
    </w:pPr>
    <w:rPr>
      <w:rFonts w:ascii="Verdana" w:eastAsia="Times New Roman" w:hAnsi="Verdana" w:cs="Times Unicode"/>
      <w:sz w:val="20"/>
      <w:szCs w:val="20"/>
      <w:lang w:val="ru-RU"/>
    </w:rPr>
  </w:style>
  <w:style w:type="paragraph" w:customStyle="1" w:styleId="CharCharCharChar5">
    <w:name w:val="Знак Знак Char Char Знак Знак Char Char Знак Знак"/>
    <w:basedOn w:val="Normal"/>
    <w:autoRedefine/>
    <w:rsid w:val="00AD6087"/>
    <w:pPr>
      <w:spacing w:before="0" w:after="160" w:line="240" w:lineRule="exact"/>
    </w:pPr>
    <w:rPr>
      <w:rFonts w:eastAsia="Times New Roman" w:cs="Times Unicode"/>
      <w:sz w:val="28"/>
      <w:szCs w:val="20"/>
      <w:lang w:val="hy-AM"/>
    </w:rPr>
  </w:style>
  <w:style w:type="paragraph" w:customStyle="1" w:styleId="Chare">
    <w:name w:val="Знак Знак Знак Знак Знак Знак Знак Знак Знак Знак Знак Знак Знак Знак Знак Знак Знак Знак Char Знак Знак"/>
    <w:basedOn w:val="Normal"/>
    <w:autoRedefine/>
    <w:rsid w:val="00AD6087"/>
    <w:pPr>
      <w:spacing w:before="0" w:after="160" w:line="240" w:lineRule="exact"/>
    </w:pPr>
    <w:rPr>
      <w:rFonts w:eastAsia="Times New Roman" w:cs="Times Unicode"/>
      <w:sz w:val="28"/>
      <w:szCs w:val="20"/>
      <w:lang w:val="hy-AM"/>
    </w:rPr>
  </w:style>
  <w:style w:type="paragraph" w:customStyle="1" w:styleId="CharCharChar9">
    <w:name w:val="Char Char Char Знак"/>
    <w:basedOn w:val="Normal"/>
    <w:next w:val="Normal"/>
    <w:rsid w:val="00AD6087"/>
    <w:pPr>
      <w:spacing w:before="0" w:after="160" w:line="240" w:lineRule="exact"/>
    </w:pPr>
    <w:rPr>
      <w:rFonts w:ascii="Tahoma" w:eastAsia="Times New Roman" w:hAnsi="Tahoma" w:cs="Times Unicode"/>
      <w:szCs w:val="20"/>
      <w:lang w:val="hy-AM"/>
    </w:rPr>
  </w:style>
  <w:style w:type="paragraph" w:customStyle="1" w:styleId="CharCharChar1Char4">
    <w:name w:val="Char Char Char1 Char"/>
    <w:basedOn w:val="Normal"/>
    <w:rsid w:val="00AD6087"/>
    <w:pPr>
      <w:spacing w:before="0" w:after="160" w:line="240" w:lineRule="exact"/>
    </w:pPr>
    <w:rPr>
      <w:rFonts w:ascii="Arial" w:eastAsia="Times New Roman" w:hAnsi="Arial" w:cs="Arial"/>
      <w:sz w:val="20"/>
      <w:szCs w:val="20"/>
      <w:lang w:val="hy-AM"/>
    </w:rPr>
  </w:style>
  <w:style w:type="paragraph" w:customStyle="1" w:styleId="1f9">
    <w:name w:val="Знак Знак1"/>
    <w:basedOn w:val="Normal"/>
    <w:rsid w:val="00AD6087"/>
    <w:pPr>
      <w:spacing w:before="0" w:after="160" w:line="240" w:lineRule="exact"/>
    </w:pPr>
    <w:rPr>
      <w:rFonts w:ascii="Arial" w:eastAsia="MS Mincho" w:hAnsi="Arial" w:cs="Arial"/>
      <w:sz w:val="20"/>
      <w:szCs w:val="20"/>
      <w:lang w:val="hy-AM"/>
    </w:rPr>
  </w:style>
  <w:style w:type="paragraph" w:customStyle="1" w:styleId="CharCharCharCharChar6">
    <w:name w:val="Char Char Char Char Char Знак Знак"/>
    <w:basedOn w:val="Normal"/>
    <w:rsid w:val="00AD6087"/>
    <w:pPr>
      <w:spacing w:before="0" w:after="160" w:line="240" w:lineRule="exact"/>
    </w:pPr>
    <w:rPr>
      <w:rFonts w:ascii="Arial" w:eastAsia="Times New Roman" w:hAnsi="Arial" w:cs="Arial"/>
      <w:sz w:val="20"/>
      <w:szCs w:val="20"/>
      <w:lang w:val="hy-AM"/>
    </w:rPr>
  </w:style>
  <w:style w:type="paragraph" w:customStyle="1" w:styleId="CharChar1CharCharChar1Char4">
    <w:name w:val="Char Char1 Char Char Char1 Char"/>
    <w:basedOn w:val="Normal"/>
    <w:autoRedefine/>
    <w:rsid w:val="00AD6087"/>
    <w:pPr>
      <w:spacing w:before="0" w:after="0" w:line="360" w:lineRule="auto"/>
    </w:pPr>
    <w:rPr>
      <w:rFonts w:eastAsia="SimSun" w:cs="Times Unicode"/>
      <w:sz w:val="20"/>
      <w:szCs w:val="20"/>
      <w:lang w:val="hy-AM" w:eastAsia="ru-RU"/>
    </w:rPr>
  </w:style>
  <w:style w:type="paragraph" w:customStyle="1" w:styleId="47">
    <w:name w:val="Знак Знак4"/>
    <w:basedOn w:val="Normal"/>
    <w:rsid w:val="00AD6087"/>
    <w:pPr>
      <w:tabs>
        <w:tab w:val="left" w:pos="709"/>
      </w:tabs>
      <w:spacing w:before="0" w:after="0" w:line="360" w:lineRule="auto"/>
    </w:pPr>
    <w:rPr>
      <w:rFonts w:ascii="Tahoma" w:eastAsia="Times New Roman" w:hAnsi="Tahoma" w:cs="Times Unicode"/>
      <w:lang w:val="pl-PL" w:eastAsia="pl-PL"/>
    </w:rPr>
  </w:style>
  <w:style w:type="paragraph" w:customStyle="1" w:styleId="Charf">
    <w:name w:val="Знак Char Знак"/>
    <w:basedOn w:val="Normal"/>
    <w:rsid w:val="00AD6087"/>
    <w:pPr>
      <w:spacing w:before="0" w:after="160" w:line="240" w:lineRule="exact"/>
    </w:pPr>
    <w:rPr>
      <w:rFonts w:ascii="Arial" w:eastAsia="Batang" w:hAnsi="Arial" w:cs="Arial"/>
      <w:sz w:val="20"/>
      <w:szCs w:val="20"/>
      <w:lang w:val="hy-AM"/>
    </w:rPr>
  </w:style>
  <w:style w:type="paragraph" w:customStyle="1" w:styleId="CharCharCharCharCharChar6">
    <w:name w:val="Знак Знак Char Char Знак Знак Char Char Знак Знак Char Char"/>
    <w:basedOn w:val="Normal"/>
    <w:autoRedefine/>
    <w:rsid w:val="00AD6087"/>
    <w:pPr>
      <w:spacing w:before="0" w:after="160" w:line="240" w:lineRule="exact"/>
    </w:pPr>
    <w:rPr>
      <w:rFonts w:eastAsia="Times New Roman" w:cs="Times Unicode"/>
      <w:sz w:val="28"/>
      <w:szCs w:val="20"/>
      <w:lang w:val="hy-AM"/>
    </w:rPr>
  </w:style>
  <w:style w:type="paragraph" w:customStyle="1" w:styleId="2f">
    <w:name w:val="Знак Знак2"/>
    <w:basedOn w:val="Normal"/>
    <w:rsid w:val="00AD6087"/>
    <w:pPr>
      <w:spacing w:before="0" w:after="160" w:line="240" w:lineRule="exact"/>
    </w:pPr>
    <w:rPr>
      <w:rFonts w:ascii="Arial" w:eastAsia="Times New Roman" w:hAnsi="Arial" w:cs="Arial"/>
      <w:sz w:val="20"/>
      <w:szCs w:val="20"/>
      <w:lang w:val="hy-AM"/>
    </w:rPr>
  </w:style>
  <w:style w:type="paragraph" w:customStyle="1" w:styleId="CharCharCharCharChar7">
    <w:name w:val="Char Char Char Char Char"/>
    <w:basedOn w:val="Normal"/>
    <w:rsid w:val="00AD6087"/>
    <w:pPr>
      <w:spacing w:before="0" w:after="160" w:line="240" w:lineRule="exact"/>
    </w:pPr>
    <w:rPr>
      <w:rFonts w:ascii="Arial" w:eastAsia="Times New Roman" w:hAnsi="Arial" w:cs="Arial"/>
      <w:sz w:val="20"/>
      <w:szCs w:val="20"/>
      <w:lang w:val="hy-AM"/>
    </w:rPr>
  </w:style>
  <w:style w:type="character" w:customStyle="1" w:styleId="CharChar183">
    <w:name w:val="Char Char18"/>
    <w:rsid w:val="00AD6087"/>
    <w:rPr>
      <w:rFonts w:ascii="Arial Armenian" w:eastAsia="Times New Roman" w:hAnsi="Arial Armenian"/>
      <w:i/>
      <w:sz w:val="22"/>
      <w:u w:val="single"/>
      <w:lang w:val="en-GB"/>
    </w:rPr>
  </w:style>
  <w:style w:type="character" w:customStyle="1" w:styleId="CharChar193">
    <w:name w:val="Char Char19"/>
    <w:rsid w:val="00AD6087"/>
    <w:rPr>
      <w:b/>
      <w:sz w:val="32"/>
      <w:lang w:val="en-GB" w:eastAsia="en-US" w:bidi="ar-SA"/>
    </w:rPr>
  </w:style>
  <w:style w:type="character" w:customStyle="1" w:styleId="CharChar215">
    <w:name w:val="Char Char21"/>
    <w:rsid w:val="00AD6087"/>
    <w:rPr>
      <w:rFonts w:ascii="Arial Armenian" w:hAnsi="Arial Armenian"/>
      <w:i/>
      <w:sz w:val="22"/>
      <w:u w:val="single"/>
      <w:lang w:val="en-GB" w:eastAsia="en-US" w:bidi="ar-SA"/>
    </w:rPr>
  </w:style>
  <w:style w:type="character" w:customStyle="1" w:styleId="CharChar203">
    <w:name w:val="Char Char20"/>
    <w:rsid w:val="00AD6087"/>
    <w:rPr>
      <w:rFonts w:ascii="Garamond" w:hAnsi="Garamond"/>
      <w:i/>
      <w:spacing w:val="-5"/>
      <w:sz w:val="28"/>
      <w:lang w:val="en-GB" w:eastAsia="en-US" w:bidi="ar-SA"/>
    </w:rPr>
  </w:style>
  <w:style w:type="character" w:customStyle="1" w:styleId="CharChar143">
    <w:name w:val="Char Char14"/>
    <w:rsid w:val="00AD6087"/>
    <w:rPr>
      <w:sz w:val="36"/>
      <w:lang w:val="en-GB"/>
    </w:rPr>
  </w:style>
  <w:style w:type="character" w:customStyle="1" w:styleId="CharChar54">
    <w:name w:val="Char Char5"/>
    <w:rsid w:val="00AD6087"/>
    <w:rPr>
      <w:rFonts w:ascii="Arial Armenian" w:hAnsi="Arial Armenian" w:cs="Sylfaen"/>
      <w:sz w:val="24"/>
      <w:szCs w:val="24"/>
      <w:lang w:val="ru-RU" w:eastAsia="ru-RU"/>
    </w:rPr>
  </w:style>
  <w:style w:type="character" w:customStyle="1" w:styleId="CharChar164">
    <w:name w:val="Char Char16"/>
    <w:rsid w:val="00AD6087"/>
    <w:rPr>
      <w:rFonts w:ascii="Times New Roman" w:hAnsi="Times New Roman"/>
      <w:b/>
      <w:sz w:val="32"/>
      <w:lang w:val="en-GB"/>
    </w:rPr>
  </w:style>
  <w:style w:type="character" w:customStyle="1" w:styleId="CharChar173">
    <w:name w:val="Char Char17"/>
    <w:rsid w:val="00AD6087"/>
    <w:rPr>
      <w:rFonts w:ascii="Arial Armenian" w:hAnsi="Arial Armenian"/>
      <w:i/>
      <w:sz w:val="22"/>
      <w:u w:val="single"/>
      <w:lang w:val="en-GB" w:eastAsia="en-US" w:bidi="ar-SA"/>
    </w:rPr>
  </w:style>
  <w:style w:type="paragraph" w:customStyle="1" w:styleId="CharCharCharCharCharChar7">
    <w:name w:val="Char Char Char Char Char Char"/>
    <w:basedOn w:val="Normal"/>
    <w:rsid w:val="00AD6087"/>
    <w:pPr>
      <w:spacing w:before="0" w:after="160" w:line="240" w:lineRule="exact"/>
    </w:pPr>
    <w:rPr>
      <w:rFonts w:ascii="Arial" w:eastAsia="Times New Roman" w:hAnsi="Arial" w:cs="Arial"/>
      <w:sz w:val="20"/>
      <w:szCs w:val="20"/>
      <w:lang w:val="hy-AM"/>
    </w:rPr>
  </w:style>
  <w:style w:type="paragraph" w:customStyle="1" w:styleId="CharChar1b">
    <w:name w:val="Char Char1"/>
    <w:basedOn w:val="Normal"/>
    <w:rsid w:val="00AD6087"/>
    <w:pPr>
      <w:spacing w:before="0" w:after="160" w:line="240" w:lineRule="exact"/>
    </w:pPr>
    <w:rPr>
      <w:rFonts w:ascii="Arial" w:eastAsia="Times New Roman" w:hAnsi="Arial" w:cs="Arial"/>
      <w:sz w:val="20"/>
      <w:szCs w:val="20"/>
      <w:lang w:val="hy-AM"/>
    </w:rPr>
  </w:style>
  <w:style w:type="character" w:customStyle="1" w:styleId="CharChar115">
    <w:name w:val="Char Char11"/>
    <w:rsid w:val="00AD6087"/>
    <w:rPr>
      <w:rFonts w:ascii="Arial Armenian" w:hAnsi="Arial Armenian"/>
      <w:lang w:val="ru-RU" w:eastAsia="ru-RU" w:bidi="ar-SA"/>
    </w:rPr>
  </w:style>
  <w:style w:type="paragraph" w:customStyle="1" w:styleId="aff0">
    <w:name w:val="Знак"/>
    <w:basedOn w:val="Normal"/>
    <w:rsid w:val="00AD6087"/>
    <w:pPr>
      <w:spacing w:before="0" w:after="160" w:line="240" w:lineRule="exact"/>
    </w:pPr>
    <w:rPr>
      <w:rFonts w:ascii="Arial" w:eastAsia="Times New Roman" w:hAnsi="Arial" w:cs="Arial"/>
      <w:sz w:val="20"/>
      <w:szCs w:val="20"/>
      <w:lang w:val="en-GB"/>
    </w:rPr>
  </w:style>
  <w:style w:type="character" w:customStyle="1" w:styleId="CharChar283">
    <w:name w:val="Char Char28"/>
    <w:rsid w:val="00AD6087"/>
    <w:rPr>
      <w:rFonts w:ascii="Arial Armenian" w:hAnsi="Arial Armenian"/>
      <w:i/>
      <w:sz w:val="22"/>
      <w:u w:val="single"/>
      <w:lang w:val="en-GB"/>
    </w:rPr>
  </w:style>
  <w:style w:type="character" w:customStyle="1" w:styleId="CharChar273">
    <w:name w:val="Char Char27"/>
    <w:rsid w:val="00AD6087"/>
    <w:rPr>
      <w:rFonts w:ascii="Garamond" w:hAnsi="Garamond"/>
      <w:i/>
      <w:spacing w:val="-5"/>
      <w:sz w:val="28"/>
      <w:shd w:val="pct5" w:color="auto" w:fill="auto"/>
      <w:lang w:val="en-GB"/>
    </w:rPr>
  </w:style>
  <w:style w:type="character" w:customStyle="1" w:styleId="CharChar263">
    <w:name w:val="Char Char26"/>
    <w:rsid w:val="00AD6087"/>
    <w:rPr>
      <w:rFonts w:ascii="Arial Black" w:hAnsi="Arial Black"/>
      <w:caps/>
      <w:spacing w:val="60"/>
      <w:position w:val="4"/>
      <w:sz w:val="14"/>
      <w:lang w:val="en-GB"/>
    </w:rPr>
  </w:style>
  <w:style w:type="character" w:customStyle="1" w:styleId="CharChar253">
    <w:name w:val="Char Char25"/>
    <w:rsid w:val="00AD6087"/>
    <w:rPr>
      <w:rFonts w:ascii="Garamond" w:hAnsi="Garamond"/>
      <w:b/>
      <w:i/>
      <w:kern w:val="28"/>
      <w:lang w:val="en-GB"/>
    </w:rPr>
  </w:style>
  <w:style w:type="character" w:customStyle="1" w:styleId="CharChar243">
    <w:name w:val="Char Char24"/>
    <w:rsid w:val="00AD6087"/>
    <w:rPr>
      <w:rFonts w:ascii="Arial Armenian" w:hAnsi="Arial Armenian"/>
      <w:noProof/>
      <w:lang w:val="en-US" w:eastAsia="en-US" w:bidi="ar-SA"/>
    </w:rPr>
  </w:style>
  <w:style w:type="character" w:customStyle="1" w:styleId="CharChar233">
    <w:name w:val="Char Char23"/>
    <w:rsid w:val="00AD6087"/>
    <w:rPr>
      <w:rFonts w:ascii="Arial Armenian" w:hAnsi="Arial Armenian"/>
      <w:lang w:val="en-GB" w:eastAsia="en-US" w:bidi="ar-SA"/>
    </w:rPr>
  </w:style>
  <w:style w:type="character" w:customStyle="1" w:styleId="CharChar223">
    <w:name w:val="Char Char22"/>
    <w:rsid w:val="00AD6087"/>
    <w:rPr>
      <w:rFonts w:ascii="Arial Armenian" w:hAnsi="Arial Armenian"/>
      <w:lang w:val="ru-RU" w:eastAsia="ru-RU" w:bidi="ar-SA"/>
    </w:rPr>
  </w:style>
  <w:style w:type="paragraph" w:customStyle="1" w:styleId="Char1CharCharCharCharCharCharCharCharCharCharCharChar3">
    <w:name w:val="Char1 Char Char Char Char Char Char Char Char Char Char Char Char"/>
    <w:basedOn w:val="Normal"/>
    <w:rsid w:val="00AD6087"/>
    <w:pPr>
      <w:spacing w:before="0" w:after="160" w:line="240" w:lineRule="exact"/>
    </w:pPr>
    <w:rPr>
      <w:rFonts w:ascii="Arial" w:eastAsia="Times New Roman" w:hAnsi="Arial" w:cs="Arial"/>
      <w:sz w:val="20"/>
      <w:szCs w:val="20"/>
      <w:lang w:val="hy-AM"/>
    </w:rPr>
  </w:style>
  <w:style w:type="character" w:customStyle="1" w:styleId="CharChar153">
    <w:name w:val="Char Char15"/>
    <w:rsid w:val="00AD6087"/>
    <w:rPr>
      <w:sz w:val="36"/>
      <w:lang w:val="en-GB" w:eastAsia="en-US" w:bidi="ar-SA"/>
    </w:rPr>
  </w:style>
  <w:style w:type="character" w:customStyle="1" w:styleId="CharChar133">
    <w:name w:val="Char Char13"/>
    <w:rsid w:val="00AD6087"/>
    <w:rPr>
      <w:sz w:val="22"/>
      <w:lang w:val="en-GB" w:eastAsia="en-US" w:bidi="ar-SA"/>
    </w:rPr>
  </w:style>
  <w:style w:type="character" w:customStyle="1" w:styleId="CharChar124">
    <w:name w:val="Char Char12"/>
    <w:rsid w:val="00AD6087"/>
    <w:rPr>
      <w:sz w:val="22"/>
      <w:lang w:val="en-GB" w:eastAsia="en-US" w:bidi="ar-SA"/>
    </w:rPr>
  </w:style>
  <w:style w:type="character" w:customStyle="1" w:styleId="CharChar103">
    <w:name w:val="Char Char10"/>
    <w:rsid w:val="00AD6087"/>
    <w:rPr>
      <w:rFonts w:ascii="Times Armenian" w:hAnsi="Times Armenian"/>
      <w:color w:val="993300"/>
      <w:sz w:val="22"/>
      <w:szCs w:val="24"/>
      <w:lang w:val="hy-AM" w:eastAsia="en-US" w:bidi="ar-SA"/>
    </w:rPr>
  </w:style>
  <w:style w:type="character" w:customStyle="1" w:styleId="CharChar93">
    <w:name w:val="Char Char9"/>
    <w:rsid w:val="00AD6087"/>
    <w:rPr>
      <w:rFonts w:ascii="Times Armenian" w:hAnsi="Times Armenian"/>
      <w:b/>
      <w:i/>
      <w:sz w:val="24"/>
      <w:u w:val="single"/>
      <w:lang w:val="hy-AM" w:eastAsia="en-US" w:bidi="ar-SA"/>
    </w:rPr>
  </w:style>
  <w:style w:type="character" w:customStyle="1" w:styleId="CharChar353">
    <w:name w:val="Char Char35"/>
    <w:rsid w:val="00AD6087"/>
    <w:rPr>
      <w:rFonts w:ascii="Arial Armenian" w:hAnsi="Arial Armenian"/>
      <w:i/>
      <w:sz w:val="22"/>
      <w:u w:val="single"/>
      <w:lang w:val="en-GB" w:eastAsia="x-none"/>
    </w:rPr>
  </w:style>
  <w:style w:type="character" w:customStyle="1" w:styleId="CharChar343">
    <w:name w:val="Char Char34"/>
    <w:rsid w:val="00AD6087"/>
    <w:rPr>
      <w:rFonts w:ascii="Garamond" w:hAnsi="Garamond"/>
      <w:i/>
      <w:spacing w:val="-5"/>
      <w:sz w:val="28"/>
      <w:shd w:val="pct5" w:color="auto" w:fill="auto"/>
      <w:lang w:val="en-GB" w:eastAsia="x-none"/>
    </w:rPr>
  </w:style>
  <w:style w:type="character" w:customStyle="1" w:styleId="CharChar333">
    <w:name w:val="Char Char33"/>
    <w:rsid w:val="00AD6087"/>
    <w:rPr>
      <w:rFonts w:ascii="Arial Black" w:hAnsi="Arial Black"/>
      <w:caps/>
      <w:spacing w:val="60"/>
      <w:position w:val="4"/>
      <w:sz w:val="14"/>
      <w:lang w:val="en-GB" w:eastAsia="x-none"/>
    </w:rPr>
  </w:style>
  <w:style w:type="character" w:customStyle="1" w:styleId="CharChar323">
    <w:name w:val="Char Char32"/>
    <w:rsid w:val="00AD6087"/>
    <w:rPr>
      <w:rFonts w:ascii="Garamond" w:hAnsi="Garamond"/>
      <w:b/>
      <w:i/>
      <w:kern w:val="28"/>
      <w:lang w:val="en-GB" w:eastAsia="x-none"/>
    </w:rPr>
  </w:style>
  <w:style w:type="character" w:customStyle="1" w:styleId="CharChar313">
    <w:name w:val="Char Char31"/>
    <w:rsid w:val="00AD6087"/>
    <w:rPr>
      <w:rFonts w:ascii="Arial Armenian" w:hAnsi="Arial Armenian"/>
      <w:noProof/>
      <w:lang w:val="en-US" w:eastAsia="en-US" w:bidi="ar-SA"/>
    </w:rPr>
  </w:style>
  <w:style w:type="character" w:customStyle="1" w:styleId="CharChar303">
    <w:name w:val="Char Char30"/>
    <w:rsid w:val="00AD6087"/>
    <w:rPr>
      <w:rFonts w:ascii="Arial Armenian" w:hAnsi="Arial Armenian"/>
      <w:lang w:val="en-GB" w:eastAsia="en-US" w:bidi="ar-SA"/>
    </w:rPr>
  </w:style>
  <w:style w:type="character" w:customStyle="1" w:styleId="CharChar293">
    <w:name w:val="Char Char29"/>
    <w:rsid w:val="00AD6087"/>
    <w:rPr>
      <w:rFonts w:ascii="Arial Armenian" w:hAnsi="Arial Armenian"/>
      <w:lang w:val="ru-RU" w:eastAsia="ru-RU" w:bidi="ar-SA"/>
    </w:rPr>
  </w:style>
  <w:style w:type="paragraph" w:customStyle="1" w:styleId="CharChar5CharCharCharCharCharChar3">
    <w:name w:val="Char Char5 Char Char Char Char Char Char"/>
    <w:basedOn w:val="Normal"/>
    <w:rsid w:val="00AD6087"/>
    <w:pPr>
      <w:tabs>
        <w:tab w:val="left" w:pos="709"/>
      </w:tabs>
      <w:spacing w:before="0" w:after="0" w:line="360" w:lineRule="auto"/>
    </w:pPr>
    <w:rPr>
      <w:rFonts w:ascii="Tahoma" w:eastAsia="Times New Roman" w:hAnsi="Tahoma" w:cs="Times Unicode"/>
      <w:lang w:val="pl-PL" w:eastAsia="pl-PL"/>
    </w:rPr>
  </w:style>
  <w:style w:type="paragraph" w:customStyle="1" w:styleId="CharChar5CharCharCharChar3">
    <w:name w:val="Char Char5 Char Char Char Char"/>
    <w:basedOn w:val="Normal"/>
    <w:rsid w:val="00AD6087"/>
    <w:pPr>
      <w:tabs>
        <w:tab w:val="left" w:pos="709"/>
      </w:tabs>
      <w:spacing w:before="0" w:after="0" w:line="360" w:lineRule="auto"/>
    </w:pPr>
    <w:rPr>
      <w:rFonts w:ascii="Tahoma" w:eastAsia="Times New Roman" w:hAnsi="Tahoma" w:cs="Times Unicode"/>
      <w:lang w:val="pl-PL" w:eastAsia="pl-PL"/>
    </w:rPr>
  </w:style>
  <w:style w:type="paragraph" w:customStyle="1" w:styleId="CharChar5CharChar3">
    <w:name w:val="Char Char5 Char Char"/>
    <w:basedOn w:val="Normal"/>
    <w:rsid w:val="00AD6087"/>
    <w:pPr>
      <w:tabs>
        <w:tab w:val="left" w:pos="709"/>
      </w:tabs>
      <w:spacing w:before="0" w:after="0" w:line="360" w:lineRule="auto"/>
    </w:pPr>
    <w:rPr>
      <w:rFonts w:ascii="Tahoma" w:eastAsia="Times New Roman" w:hAnsi="Tahoma" w:cs="Times Unicode"/>
      <w:lang w:val="pl-PL" w:eastAsia="pl-PL"/>
    </w:rPr>
  </w:style>
  <w:style w:type="character" w:customStyle="1" w:styleId="CharChar64">
    <w:name w:val="Char Char6"/>
    <w:locked/>
    <w:rsid w:val="00AD6087"/>
    <w:rPr>
      <w:rFonts w:ascii="Times LatArm" w:eastAsia="Calibri" w:hAnsi="Times LatArm" w:cs="Times LatArm"/>
      <w:sz w:val="22"/>
      <w:szCs w:val="22"/>
      <w:lang w:val="en-GB" w:eastAsia="en-US" w:bidi="ar-SA"/>
    </w:rPr>
  </w:style>
  <w:style w:type="character" w:customStyle="1" w:styleId="CharChar82">
    <w:name w:val="Char Char8"/>
    <w:locked/>
    <w:rsid w:val="00AD6087"/>
    <w:rPr>
      <w:rFonts w:ascii="Times Armenian" w:eastAsia="Calibri" w:hAnsi="Times Armenian" w:cs="Times Armenian"/>
      <w:color w:val="993300"/>
      <w:sz w:val="22"/>
      <w:szCs w:val="22"/>
      <w:lang w:val="hy-AM" w:eastAsia="en-US" w:bidi="ar-SA"/>
    </w:rPr>
  </w:style>
  <w:style w:type="character" w:customStyle="1" w:styleId="CharChar72">
    <w:name w:val="Char Char7"/>
    <w:locked/>
    <w:rsid w:val="00AD6087"/>
    <w:rPr>
      <w:rFonts w:ascii="Courier New" w:eastAsia="Calibri" w:hAnsi="Courier New" w:cs="Courier New"/>
      <w:lang w:val="en-US" w:eastAsia="en-US" w:bidi="ar-SA"/>
    </w:rPr>
  </w:style>
  <w:style w:type="character" w:customStyle="1" w:styleId="CharChar43">
    <w:name w:val="Char Char4"/>
    <w:locked/>
    <w:rsid w:val="00AD6087"/>
    <w:rPr>
      <w:rFonts w:eastAsia="Calibri"/>
      <w:sz w:val="22"/>
      <w:szCs w:val="22"/>
      <w:lang w:val="en-GB" w:eastAsia="en-US" w:bidi="ar-SA"/>
    </w:rPr>
  </w:style>
  <w:style w:type="character" w:customStyle="1" w:styleId="CharChar3b">
    <w:name w:val="Char Char3"/>
    <w:locked/>
    <w:rsid w:val="00AD6087"/>
    <w:rPr>
      <w:rFonts w:eastAsia="Calibri"/>
      <w:sz w:val="22"/>
      <w:szCs w:val="22"/>
      <w:lang w:val="en-GB" w:eastAsia="en-US" w:bidi="ar-SA"/>
    </w:rPr>
  </w:style>
  <w:style w:type="character" w:customStyle="1" w:styleId="CharChar2b">
    <w:name w:val="Char Char2"/>
    <w:locked/>
    <w:rsid w:val="00AD6087"/>
    <w:rPr>
      <w:rFonts w:ascii="Times Armenian" w:eastAsia="Calibri" w:hAnsi="Times Armenian" w:cs="Times Armenian"/>
      <w:b/>
      <w:bCs/>
      <w:sz w:val="22"/>
      <w:szCs w:val="22"/>
      <w:lang w:val="en-US" w:eastAsia="en-US" w:bidi="ar-SA"/>
    </w:rPr>
  </w:style>
  <w:style w:type="paragraph" w:customStyle="1" w:styleId="aff1">
    <w:name w:val="Աղյուսակ"/>
    <w:basedOn w:val="Normal"/>
    <w:qFormat/>
    <w:rsid w:val="00AD6087"/>
    <w:pPr>
      <w:keepNext/>
      <w:spacing w:before="240" w:after="120" w:line="240" w:lineRule="auto"/>
      <w:ind w:firstLine="0"/>
      <w:jc w:val="left"/>
    </w:pPr>
    <w:rPr>
      <w:rFonts w:eastAsia="Times New Roman" w:cs="Times Unicode"/>
      <w:i/>
      <w:lang w:val="hy-AM"/>
    </w:rPr>
  </w:style>
  <w:style w:type="paragraph" w:customStyle="1" w:styleId="aff2">
    <w:name w:val="Գծապատկեր"/>
    <w:basedOn w:val="Heading5"/>
    <w:qFormat/>
    <w:rsid w:val="00AD6087"/>
    <w:pPr>
      <w:keepNext/>
      <w:spacing w:before="240" w:after="120" w:line="240" w:lineRule="auto"/>
      <w:ind w:firstLine="0"/>
      <w:jc w:val="left"/>
    </w:pPr>
    <w:rPr>
      <w:rFonts w:ascii="GHEA Grapalat" w:eastAsia="Times New Roman" w:hAnsi="GHEA Grapalat" w:cs="Times Unicode"/>
      <w:i/>
      <w:iCs/>
      <w:color w:val="auto"/>
      <w:sz w:val="24"/>
      <w:szCs w:val="26"/>
      <w:lang w:val="hy-AM"/>
    </w:rPr>
  </w:style>
  <w:style w:type="paragraph" w:customStyle="1" w:styleId="aff3">
    <w:name w:val="Ենթավերնագիր"/>
    <w:basedOn w:val="Normal"/>
    <w:qFormat/>
    <w:rsid w:val="00AD6087"/>
    <w:pPr>
      <w:keepNext/>
      <w:spacing w:before="480" w:after="120" w:line="240" w:lineRule="auto"/>
      <w:jc w:val="left"/>
    </w:pPr>
    <w:rPr>
      <w:rFonts w:eastAsia="Times New Roman" w:cs="Times Unicode"/>
      <w:b/>
      <w:i/>
      <w:lang w:val="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43447">
      <w:bodyDiv w:val="1"/>
      <w:marLeft w:val="0"/>
      <w:marRight w:val="0"/>
      <w:marTop w:val="0"/>
      <w:marBottom w:val="0"/>
      <w:divBdr>
        <w:top w:val="none" w:sz="0" w:space="0" w:color="auto"/>
        <w:left w:val="none" w:sz="0" w:space="0" w:color="auto"/>
        <w:bottom w:val="none" w:sz="0" w:space="0" w:color="auto"/>
        <w:right w:val="none" w:sz="0" w:space="0" w:color="auto"/>
      </w:divBdr>
    </w:div>
    <w:div w:id="696085036">
      <w:bodyDiv w:val="1"/>
      <w:marLeft w:val="0"/>
      <w:marRight w:val="0"/>
      <w:marTop w:val="0"/>
      <w:marBottom w:val="0"/>
      <w:divBdr>
        <w:top w:val="none" w:sz="0" w:space="0" w:color="auto"/>
        <w:left w:val="none" w:sz="0" w:space="0" w:color="auto"/>
        <w:bottom w:val="none" w:sz="0" w:space="0" w:color="auto"/>
        <w:right w:val="none" w:sz="0" w:space="0" w:color="auto"/>
      </w:divBdr>
    </w:div>
    <w:div w:id="1345016454">
      <w:bodyDiv w:val="1"/>
      <w:marLeft w:val="0"/>
      <w:marRight w:val="0"/>
      <w:marTop w:val="0"/>
      <w:marBottom w:val="0"/>
      <w:divBdr>
        <w:top w:val="none" w:sz="0" w:space="0" w:color="auto"/>
        <w:left w:val="none" w:sz="0" w:space="0" w:color="auto"/>
        <w:bottom w:val="none" w:sz="0" w:space="0" w:color="auto"/>
        <w:right w:val="none" w:sz="0" w:space="0" w:color="auto"/>
      </w:divBdr>
    </w:div>
    <w:div w:id="1370568036">
      <w:bodyDiv w:val="1"/>
      <w:marLeft w:val="0"/>
      <w:marRight w:val="0"/>
      <w:marTop w:val="0"/>
      <w:marBottom w:val="0"/>
      <w:divBdr>
        <w:top w:val="none" w:sz="0" w:space="0" w:color="auto"/>
        <w:left w:val="none" w:sz="0" w:space="0" w:color="auto"/>
        <w:bottom w:val="none" w:sz="0" w:space="0" w:color="auto"/>
        <w:right w:val="none" w:sz="0" w:space="0" w:color="auto"/>
      </w:divBdr>
    </w:div>
    <w:div w:id="2001031519">
      <w:bodyDiv w:val="1"/>
      <w:marLeft w:val="0"/>
      <w:marRight w:val="0"/>
      <w:marTop w:val="0"/>
      <w:marBottom w:val="0"/>
      <w:divBdr>
        <w:top w:val="none" w:sz="0" w:space="0" w:color="auto"/>
        <w:left w:val="none" w:sz="0" w:space="0" w:color="auto"/>
        <w:bottom w:val="none" w:sz="0" w:space="0" w:color="auto"/>
        <w:right w:val="none" w:sz="0" w:space="0" w:color="auto"/>
      </w:divBdr>
    </w:div>
    <w:div w:id="2077507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6.xml"/><Relationship Id="rId21" Type="http://schemas.openxmlformats.org/officeDocument/2006/relationships/chart" Target="charts/chart9.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63" Type="http://schemas.openxmlformats.org/officeDocument/2006/relationships/chart" Target="charts/chart50.xml"/><Relationship Id="rId68" Type="http://schemas.openxmlformats.org/officeDocument/2006/relationships/hyperlink" Target="http://www.centralbanknews.info/"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12.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chart" Target="charts/chart45.xml"/><Relationship Id="rId66" Type="http://schemas.openxmlformats.org/officeDocument/2006/relationships/chart" Target="charts/chart53.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3.xml"/><Relationship Id="rId49" Type="http://schemas.openxmlformats.org/officeDocument/2006/relationships/chart" Target="charts/chart36.xml"/><Relationship Id="rId57" Type="http://schemas.openxmlformats.org/officeDocument/2006/relationships/chart" Target="charts/chart44.xml"/><Relationship Id="rId61" Type="http://schemas.openxmlformats.org/officeDocument/2006/relationships/chart" Target="charts/chart48.xm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chart" Target="charts/chart47.xml"/><Relationship Id="rId65" Type="http://schemas.openxmlformats.org/officeDocument/2006/relationships/chart" Target="charts/chart5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image" Target="media/image4.png"/><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64" Type="http://schemas.openxmlformats.org/officeDocument/2006/relationships/chart" Target="charts/chart51.xml"/><Relationship Id="rId69" Type="http://schemas.openxmlformats.org/officeDocument/2006/relationships/chart" Target="charts/chart55.xml"/><Relationship Id="rId8" Type="http://schemas.openxmlformats.org/officeDocument/2006/relationships/endnotes" Target="endnotes.xml"/><Relationship Id="rId51" Type="http://schemas.openxmlformats.org/officeDocument/2006/relationships/chart" Target="charts/chart38.xm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chart" Target="charts/chart46.xml"/><Relationship Id="rId67" Type="http://schemas.openxmlformats.org/officeDocument/2006/relationships/chart" Target="charts/chart54.xml"/><Relationship Id="rId20" Type="http://schemas.openxmlformats.org/officeDocument/2006/relationships/chart" Target="charts/chart8.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chart" Target="charts/chart49.xml"/><Relationship Id="rId7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imf.org/en/Publications/FM/Issues/2021/03/29/fiscal-monitor-april-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8.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9.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0.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1.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2.xm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7.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28.xlsx"/><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30.xlsx"/><Relationship Id="rId1" Type="http://schemas.openxmlformats.org/officeDocument/2006/relationships/themeOverride" Target="../theme/themeOverride20.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31.xlsx"/><Relationship Id="rId1" Type="http://schemas.openxmlformats.org/officeDocument/2006/relationships/themeOverride" Target="../theme/themeOverride21.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21.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33.xlsx"/><Relationship Id="rId1" Type="http://schemas.openxmlformats.org/officeDocument/2006/relationships/themeOverride" Target="../theme/themeOverride22.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34.xlsx"/><Relationship Id="rId1" Type="http://schemas.openxmlformats.org/officeDocument/2006/relationships/themeOverride" Target="../theme/themeOverride2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2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25.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37.xlsx"/><Relationship Id="rId1" Type="http://schemas.openxmlformats.org/officeDocument/2006/relationships/themeOverride" Target="../theme/themeOverride26.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38.xlsx"/><Relationship Id="rId1" Type="http://schemas.openxmlformats.org/officeDocument/2006/relationships/themeOverride" Target="../theme/themeOverride27.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2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29.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Microsoft_Excel_Worksheet41.xlsx"/><Relationship Id="rId1" Type="http://schemas.openxmlformats.org/officeDocument/2006/relationships/themeOverride" Target="../theme/themeOverride30.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Microsoft_Excel_Worksheet42.xlsx"/><Relationship Id="rId1" Type="http://schemas.openxmlformats.org/officeDocument/2006/relationships/themeOverride" Target="../theme/themeOverride31.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Microsoft_Excel_Worksheet43.xlsx"/><Relationship Id="rId1" Type="http://schemas.openxmlformats.org/officeDocument/2006/relationships/themeOverride" Target="../theme/themeOverride32.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package" Target="../embeddings/Microsoft_Excel_Worksheet44.xlsx"/><Relationship Id="rId1" Type="http://schemas.openxmlformats.org/officeDocument/2006/relationships/themeOverride" Target="../theme/themeOverride3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3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3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3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37.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38.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package" Target="../embeddings/Microsoft_Excel_Worksheet50.xlsx"/><Relationship Id="rId1" Type="http://schemas.openxmlformats.org/officeDocument/2006/relationships/themeOverride" Target="../theme/themeOverride3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40.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41.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42.xml"/></Relationships>
</file>

<file path=word/charts/_rels/chart55.xml.rels><?xml version="1.0" encoding="UTF-8" standalone="yes"?>
<Relationships xmlns="http://schemas.openxmlformats.org/package/2006/relationships"><Relationship Id="rId1" Type="http://schemas.openxmlformats.org/officeDocument/2006/relationships/oleObject" Target="file:///\\172.20.215.254\Share\macroeconomic\Narine\2021\07\FanChart\FanChart_MTEF_2022-2024_5.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84258002232482"/>
          <c:y val="7.1301466104615782E-2"/>
          <c:w val="0.83276495610462564"/>
          <c:h val="0.67818924149632864"/>
        </c:manualLayout>
      </c:layout>
      <c:barChart>
        <c:barDir val="col"/>
        <c:grouping val="clustered"/>
        <c:varyColors val="0"/>
        <c:ser>
          <c:idx val="1"/>
          <c:order val="1"/>
          <c:tx>
            <c:strRef>
              <c:f>Sheet1!$C$1</c:f>
              <c:strCache>
                <c:ptCount val="1"/>
                <c:pt idx="0">
                  <c:v>ՌԴ</c:v>
                </c:pt>
              </c:strCache>
            </c:strRef>
          </c:tx>
          <c:spPr>
            <a:solidFill>
              <a:schemeClr val="accent2"/>
            </a:solidFill>
            <a:ln>
              <a:no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Sheet1!$C$2:$C$7</c:f>
              <c:numCache>
                <c:formatCode>#\,##0.0;"–"#\,##0.0</c:formatCode>
                <c:ptCount val="5"/>
                <c:pt idx="0">
                  <c:v>2.5</c:v>
                </c:pt>
                <c:pt idx="1">
                  <c:v>2</c:v>
                </c:pt>
                <c:pt idx="2">
                  <c:v>-3.1</c:v>
                </c:pt>
                <c:pt idx="3">
                  <c:v>3.8</c:v>
                </c:pt>
                <c:pt idx="4">
                  <c:v>3.8</c:v>
                </c:pt>
              </c:numCache>
            </c:numRef>
          </c:val>
          <c:extLst>
            <c:ext xmlns:c16="http://schemas.microsoft.com/office/drawing/2014/chart" uri="{C3380CC4-5D6E-409C-BE32-E72D297353CC}">
              <c16:uniqueId val="{00000000-56DE-44E3-872A-54DC325EE740}"/>
            </c:ext>
          </c:extLst>
        </c:ser>
        <c:ser>
          <c:idx val="2"/>
          <c:order val="2"/>
          <c:tx>
            <c:strRef>
              <c:f>Sheet1!$D$1</c:f>
              <c:strCache>
                <c:ptCount val="1"/>
                <c:pt idx="0">
                  <c:v>Եվրոգոտի</c:v>
                </c:pt>
              </c:strCache>
            </c:strRef>
          </c:tx>
          <c:spPr>
            <a:solidFill>
              <a:schemeClr val="accent3"/>
            </a:solidFill>
            <a:ln>
              <a:no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Sheet1!$D$2:$D$7</c:f>
              <c:numCache>
                <c:formatCode>#\,##0.0;"–"#\,##0.0</c:formatCode>
                <c:ptCount val="5"/>
                <c:pt idx="0">
                  <c:v>1.9245307253744466</c:v>
                </c:pt>
                <c:pt idx="1">
                  <c:v>1.3</c:v>
                </c:pt>
                <c:pt idx="2">
                  <c:v>-6.6</c:v>
                </c:pt>
                <c:pt idx="3">
                  <c:v>4.4000000000000004</c:v>
                </c:pt>
                <c:pt idx="4">
                  <c:v>3.8</c:v>
                </c:pt>
              </c:numCache>
            </c:numRef>
          </c:val>
          <c:extLst>
            <c:ext xmlns:c16="http://schemas.microsoft.com/office/drawing/2014/chart" uri="{C3380CC4-5D6E-409C-BE32-E72D297353CC}">
              <c16:uniqueId val="{00000001-56DE-44E3-872A-54DC325EE740}"/>
            </c:ext>
          </c:extLst>
        </c:ser>
        <c:ser>
          <c:idx val="3"/>
          <c:order val="3"/>
          <c:tx>
            <c:strRef>
              <c:f>Sheet1!$E$1</c:f>
              <c:strCache>
                <c:ptCount val="1"/>
                <c:pt idx="0">
                  <c:v>Չինաստան</c:v>
                </c:pt>
              </c:strCache>
            </c:strRef>
          </c:tx>
          <c:spPr>
            <a:solidFill>
              <a:schemeClr val="accent4"/>
            </a:solidFill>
            <a:ln>
              <a:no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Sheet1!$E$2:$E$7</c:f>
              <c:numCache>
                <c:formatCode>#\,##0.0;"–"#\,##0.0</c:formatCode>
                <c:ptCount val="5"/>
                <c:pt idx="0">
                  <c:v>6.7</c:v>
                </c:pt>
                <c:pt idx="1">
                  <c:v>5.8</c:v>
                </c:pt>
                <c:pt idx="2">
                  <c:v>2.2999999999999998</c:v>
                </c:pt>
                <c:pt idx="3">
                  <c:v>8.4</c:v>
                </c:pt>
                <c:pt idx="4">
                  <c:v>5.6</c:v>
                </c:pt>
              </c:numCache>
            </c:numRef>
          </c:val>
          <c:extLst>
            <c:ext xmlns:c16="http://schemas.microsoft.com/office/drawing/2014/chart" uri="{C3380CC4-5D6E-409C-BE32-E72D297353CC}">
              <c16:uniqueId val="{00000002-56DE-44E3-872A-54DC325EE740}"/>
            </c:ext>
          </c:extLst>
        </c:ser>
        <c:ser>
          <c:idx val="4"/>
          <c:order val="4"/>
          <c:tx>
            <c:strRef>
              <c:f>Sheet1!$F$1</c:f>
              <c:strCache>
                <c:ptCount val="1"/>
                <c:pt idx="0">
                  <c:v>ԱՄՆ</c:v>
                </c:pt>
              </c:strCache>
            </c:strRef>
          </c:tx>
          <c:spPr>
            <a:solidFill>
              <a:schemeClr val="accent5"/>
            </a:solidFill>
            <a:ln>
              <a:no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Sheet1!$F$2:$F$7</c:f>
              <c:numCache>
                <c:formatCode>#\,##0.0;"–"#\,##0.0</c:formatCode>
                <c:ptCount val="5"/>
                <c:pt idx="0">
                  <c:v>2.9</c:v>
                </c:pt>
                <c:pt idx="1">
                  <c:v>2.2000000000000002</c:v>
                </c:pt>
                <c:pt idx="2">
                  <c:v>-3.5</c:v>
                </c:pt>
                <c:pt idx="3">
                  <c:v>6.4</c:v>
                </c:pt>
                <c:pt idx="4">
                  <c:v>3.5</c:v>
                </c:pt>
              </c:numCache>
            </c:numRef>
          </c:val>
          <c:extLst>
            <c:ext xmlns:c16="http://schemas.microsoft.com/office/drawing/2014/chart" uri="{C3380CC4-5D6E-409C-BE32-E72D297353CC}">
              <c16:uniqueId val="{00000003-56DE-44E3-872A-54DC325EE740}"/>
            </c:ext>
          </c:extLst>
        </c:ser>
        <c:dLbls>
          <c:showLegendKey val="0"/>
          <c:showVal val="0"/>
          <c:showCatName val="0"/>
          <c:showSerName val="0"/>
          <c:showPercent val="0"/>
          <c:showBubbleSize val="0"/>
        </c:dLbls>
        <c:gapWidth val="150"/>
        <c:axId val="98162944"/>
        <c:axId val="98164736"/>
      </c:barChart>
      <c:lineChart>
        <c:grouping val="standard"/>
        <c:varyColors val="0"/>
        <c:ser>
          <c:idx val="0"/>
          <c:order val="0"/>
          <c:tx>
            <c:strRef>
              <c:f>Sheet1!$B$1</c:f>
              <c:strCache>
                <c:ptCount val="1"/>
                <c:pt idx="0">
                  <c:v>Աշխարը</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5"/>
                <c:pt idx="0">
                  <c:v>2018</c:v>
                </c:pt>
                <c:pt idx="1">
                  <c:v>2019</c:v>
                </c:pt>
                <c:pt idx="2">
                  <c:v>2020</c:v>
                </c:pt>
                <c:pt idx="3">
                  <c:v>2021</c:v>
                </c:pt>
                <c:pt idx="4">
                  <c:v>2022</c:v>
                </c:pt>
              </c:numCache>
            </c:numRef>
          </c:cat>
          <c:val>
            <c:numRef>
              <c:f>Sheet1!$B$2:$B$7</c:f>
              <c:numCache>
                <c:formatCode>#\,##0.0;"–"#\,##0.0</c:formatCode>
                <c:ptCount val="5"/>
                <c:pt idx="0">
                  <c:v>3.5852566282283198</c:v>
                </c:pt>
                <c:pt idx="1">
                  <c:v>2.8161521911176002</c:v>
                </c:pt>
                <c:pt idx="2">
                  <c:v>-3.3</c:v>
                </c:pt>
                <c:pt idx="3">
                  <c:v>6</c:v>
                </c:pt>
                <c:pt idx="4">
                  <c:v>4.4000000000000004</c:v>
                </c:pt>
              </c:numCache>
            </c:numRef>
          </c:val>
          <c:smooth val="0"/>
          <c:extLst>
            <c:ext xmlns:c16="http://schemas.microsoft.com/office/drawing/2014/chart" uri="{C3380CC4-5D6E-409C-BE32-E72D297353CC}">
              <c16:uniqueId val="{00000004-56DE-44E3-872A-54DC325EE740}"/>
            </c:ext>
          </c:extLst>
        </c:ser>
        <c:dLbls>
          <c:showLegendKey val="0"/>
          <c:showVal val="0"/>
          <c:showCatName val="0"/>
          <c:showSerName val="0"/>
          <c:showPercent val="0"/>
          <c:showBubbleSize val="0"/>
        </c:dLbls>
        <c:marker val="1"/>
        <c:smooth val="0"/>
        <c:axId val="98162944"/>
        <c:axId val="98164736"/>
      </c:lineChart>
      <c:catAx>
        <c:axId val="981629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64736"/>
        <c:crosses val="autoZero"/>
        <c:auto val="1"/>
        <c:lblAlgn val="ctr"/>
        <c:lblOffset val="100"/>
        <c:noMultiLvlLbl val="0"/>
      </c:catAx>
      <c:valAx>
        <c:axId val="9816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layout/>
          <c:overlay val="0"/>
          <c:spPr>
            <a:noFill/>
            <a:ln>
              <a:noFill/>
            </a:ln>
            <a:effectLst/>
          </c:spPr>
        </c:title>
        <c:numFmt formatCode="#\,##0.0;&quot;–&quot;#\,##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62944"/>
        <c:crosses val="autoZero"/>
        <c:crossBetween val="between"/>
      </c:valAx>
      <c:spPr>
        <a:noFill/>
        <a:ln>
          <a:noFill/>
        </a:ln>
        <a:effectLst/>
      </c:spPr>
    </c:plotArea>
    <c:legend>
      <c:legendPos val="b"/>
      <c:layout>
        <c:manualLayout>
          <c:xMode val="edge"/>
          <c:yMode val="edge"/>
          <c:x val="9.0876097384378726E-2"/>
          <c:y val="0.83979280367731934"/>
          <c:w val="0.8424169184290029"/>
          <c:h val="0.1417672790901139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0763561962162"/>
          <c:y val="6.9204152249134954E-2"/>
          <c:w val="0.82538046941663157"/>
          <c:h val="0.67598635732030832"/>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Sheet1!$B$1:$J$1</c:f>
              <c:strCache>
                <c:ptCount val="9"/>
                <c:pt idx="0">
                  <c:v>2018</c:v>
                </c:pt>
                <c:pt idx="1">
                  <c:v>2019</c:v>
                </c:pt>
                <c:pt idx="2">
                  <c:v>2020</c:v>
                </c:pt>
                <c:pt idx="3">
                  <c:v>2021</c:v>
                </c:pt>
                <c:pt idx="4">
                  <c:v>2022</c:v>
                </c:pt>
                <c:pt idx="5">
                  <c:v>2023</c:v>
                </c:pt>
                <c:pt idx="6">
                  <c:v>2024</c:v>
                </c:pt>
                <c:pt idx="7">
                  <c:v>2025</c:v>
                </c:pt>
                <c:pt idx="8">
                  <c:v>2026</c:v>
                </c:pt>
              </c:strCache>
            </c:strRef>
          </c:cat>
          <c:val>
            <c:numRef>
              <c:f>Sheet1!$B$3:$J$3</c:f>
              <c:numCache>
                <c:formatCode>0.0</c:formatCode>
                <c:ptCount val="9"/>
                <c:pt idx="0">
                  <c:v>0.90972491062214333</c:v>
                </c:pt>
                <c:pt idx="1">
                  <c:v>2.1681570501698246</c:v>
                </c:pt>
                <c:pt idx="2">
                  <c:v>-0.31627508523269748</c:v>
                </c:pt>
                <c:pt idx="3">
                  <c:v>0.98374335318543205</c:v>
                </c:pt>
                <c:pt idx="4">
                  <c:v>1.7285207863257994</c:v>
                </c:pt>
                <c:pt idx="5">
                  <c:v>1.673684212446203</c:v>
                </c:pt>
                <c:pt idx="6">
                  <c:v>1.6720461697827451</c:v>
                </c:pt>
                <c:pt idx="7">
                  <c:v>1.6907980894438603</c:v>
                </c:pt>
                <c:pt idx="8">
                  <c:v>1.7181006052077528</c:v>
                </c:pt>
              </c:numCache>
            </c:numRef>
          </c:val>
          <c:extLst>
            <c:ext xmlns:c16="http://schemas.microsoft.com/office/drawing/2014/chart" uri="{C3380CC4-5D6E-409C-BE32-E72D297353CC}">
              <c16:uniqueId val="{00000000-8633-4869-BFCD-A54272786984}"/>
            </c:ext>
          </c:extLst>
        </c:ser>
        <c:ser>
          <c:idx val="2"/>
          <c:order val="2"/>
          <c:tx>
            <c:strRef>
              <c:f>Sheet1!$A$4</c:f>
              <c:strCache>
                <c:ptCount val="1"/>
                <c:pt idx="0">
                  <c:v>Գյուղատնտեսություն </c:v>
                </c:pt>
              </c:strCache>
            </c:strRef>
          </c:tx>
          <c:spPr>
            <a:solidFill>
              <a:schemeClr val="accent3"/>
            </a:solidFill>
            <a:ln>
              <a:noFill/>
            </a:ln>
            <a:effectLst/>
          </c:spPr>
          <c:invertIfNegative val="0"/>
          <c:cat>
            <c:strRef>
              <c:f>Sheet1!$B$1:$J$1</c:f>
              <c:strCache>
                <c:ptCount val="9"/>
                <c:pt idx="0">
                  <c:v>2018</c:v>
                </c:pt>
                <c:pt idx="1">
                  <c:v>2019</c:v>
                </c:pt>
                <c:pt idx="2">
                  <c:v>2020</c:v>
                </c:pt>
                <c:pt idx="3">
                  <c:v>2021</c:v>
                </c:pt>
                <c:pt idx="4">
                  <c:v>2022</c:v>
                </c:pt>
                <c:pt idx="5">
                  <c:v>2023</c:v>
                </c:pt>
                <c:pt idx="6">
                  <c:v>2024</c:v>
                </c:pt>
                <c:pt idx="7">
                  <c:v>2025</c:v>
                </c:pt>
                <c:pt idx="8">
                  <c:v>2026</c:v>
                </c:pt>
              </c:strCache>
            </c:strRef>
          </c:cat>
          <c:val>
            <c:numRef>
              <c:f>Sheet1!$B$4:$J$4</c:f>
              <c:numCache>
                <c:formatCode>0.0</c:formatCode>
                <c:ptCount val="9"/>
                <c:pt idx="0">
                  <c:v>-1.0346039485751573</c:v>
                </c:pt>
                <c:pt idx="1">
                  <c:v>-0.80865407601404704</c:v>
                </c:pt>
                <c:pt idx="2">
                  <c:v>-0.47255004025631075</c:v>
                </c:pt>
                <c:pt idx="3">
                  <c:v>0.34761614109702205</c:v>
                </c:pt>
                <c:pt idx="4">
                  <c:v>0.33893874859628675</c:v>
                </c:pt>
                <c:pt idx="5">
                  <c:v>0.38850277423294455</c:v>
                </c:pt>
                <c:pt idx="6">
                  <c:v>0.38633609209436481</c:v>
                </c:pt>
                <c:pt idx="7">
                  <c:v>0.39450749000880575</c:v>
                </c:pt>
                <c:pt idx="8">
                  <c:v>0.38344653234500747</c:v>
                </c:pt>
              </c:numCache>
            </c:numRef>
          </c:val>
          <c:extLst>
            <c:ext xmlns:c16="http://schemas.microsoft.com/office/drawing/2014/chart" uri="{C3380CC4-5D6E-409C-BE32-E72D297353CC}">
              <c16:uniqueId val="{00000001-8633-4869-BFCD-A54272786984}"/>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Sheet1!$B$1:$J$1</c:f>
              <c:strCache>
                <c:ptCount val="9"/>
                <c:pt idx="0">
                  <c:v>2018</c:v>
                </c:pt>
                <c:pt idx="1">
                  <c:v>2019</c:v>
                </c:pt>
                <c:pt idx="2">
                  <c:v>2020</c:v>
                </c:pt>
                <c:pt idx="3">
                  <c:v>2021</c:v>
                </c:pt>
                <c:pt idx="4">
                  <c:v>2022</c:v>
                </c:pt>
                <c:pt idx="5">
                  <c:v>2023</c:v>
                </c:pt>
                <c:pt idx="6">
                  <c:v>2024</c:v>
                </c:pt>
                <c:pt idx="7">
                  <c:v>2025</c:v>
                </c:pt>
                <c:pt idx="8">
                  <c:v>2026</c:v>
                </c:pt>
              </c:strCache>
            </c:strRef>
          </c:cat>
          <c:val>
            <c:numRef>
              <c:f>Sheet1!$B$5:$J$5</c:f>
              <c:numCache>
                <c:formatCode>0.0</c:formatCode>
                <c:ptCount val="9"/>
                <c:pt idx="0">
                  <c:v>4.3605339591297143E-2</c:v>
                </c:pt>
                <c:pt idx="1">
                  <c:v>0.42924919235971898</c:v>
                </c:pt>
                <c:pt idx="2">
                  <c:v>-0.42539272636721015</c:v>
                </c:pt>
                <c:pt idx="3">
                  <c:v>0.38204895482503132</c:v>
                </c:pt>
                <c:pt idx="4">
                  <c:v>0.63192461305162506</c:v>
                </c:pt>
                <c:pt idx="5">
                  <c:v>0.898385801608788</c:v>
                </c:pt>
                <c:pt idx="6">
                  <c:v>0.95280400388831743</c:v>
                </c:pt>
                <c:pt idx="7">
                  <c:v>1.0122985996918588</c:v>
                </c:pt>
                <c:pt idx="8">
                  <c:v>1.0846768861539235</c:v>
                </c:pt>
              </c:numCache>
            </c:numRef>
          </c:val>
          <c:extLst>
            <c:ext xmlns:c16="http://schemas.microsoft.com/office/drawing/2014/chart" uri="{C3380CC4-5D6E-409C-BE32-E72D297353CC}">
              <c16:uniqueId val="{00000002-8633-4869-BFCD-A54272786984}"/>
            </c:ext>
          </c:extLst>
        </c:ser>
        <c:ser>
          <c:idx val="4"/>
          <c:order val="4"/>
          <c:tx>
            <c:strRef>
              <c:f>Sheet1!$A$6</c:f>
              <c:strCache>
                <c:ptCount val="1"/>
                <c:pt idx="0">
                  <c:v>Ծառայություններ</c:v>
                </c:pt>
              </c:strCache>
            </c:strRef>
          </c:tx>
          <c:spPr>
            <a:solidFill>
              <a:schemeClr val="accent5"/>
            </a:solidFill>
            <a:ln>
              <a:noFill/>
            </a:ln>
            <a:effectLst/>
          </c:spPr>
          <c:invertIfNegative val="0"/>
          <c:cat>
            <c:strRef>
              <c:f>Sheet1!$B$1:$J$1</c:f>
              <c:strCache>
                <c:ptCount val="9"/>
                <c:pt idx="0">
                  <c:v>2018</c:v>
                </c:pt>
                <c:pt idx="1">
                  <c:v>2019</c:v>
                </c:pt>
                <c:pt idx="2">
                  <c:v>2020</c:v>
                </c:pt>
                <c:pt idx="3">
                  <c:v>2021</c:v>
                </c:pt>
                <c:pt idx="4">
                  <c:v>2022</c:v>
                </c:pt>
                <c:pt idx="5">
                  <c:v>2023</c:v>
                </c:pt>
                <c:pt idx="6">
                  <c:v>2024</c:v>
                </c:pt>
                <c:pt idx="7">
                  <c:v>2025</c:v>
                </c:pt>
                <c:pt idx="8">
                  <c:v>2026</c:v>
                </c:pt>
              </c:strCache>
            </c:strRef>
          </c:cat>
          <c:val>
            <c:numRef>
              <c:f>Sheet1!$B$6:$J$6</c:f>
              <c:numCache>
                <c:formatCode>0.0</c:formatCode>
                <c:ptCount val="9"/>
                <c:pt idx="0">
                  <c:v>4.453544523092539</c:v>
                </c:pt>
                <c:pt idx="1">
                  <c:v>5.0778366362224361</c:v>
                </c:pt>
                <c:pt idx="2">
                  <c:v>-5.0521420801893067</c:v>
                </c:pt>
                <c:pt idx="3">
                  <c:v>3.5790173800474792</c:v>
                </c:pt>
                <c:pt idx="4">
                  <c:v>3.640487097446846</c:v>
                </c:pt>
                <c:pt idx="5">
                  <c:v>3.330122846209751</c:v>
                </c:pt>
                <c:pt idx="6">
                  <c:v>3.2001689830026248</c:v>
                </c:pt>
                <c:pt idx="7">
                  <c:v>3.1013030943184985</c:v>
                </c:pt>
                <c:pt idx="8">
                  <c:v>3.0154372246090935</c:v>
                </c:pt>
              </c:numCache>
            </c:numRef>
          </c:val>
          <c:extLst>
            <c:ext xmlns:c16="http://schemas.microsoft.com/office/drawing/2014/chart" uri="{C3380CC4-5D6E-409C-BE32-E72D297353CC}">
              <c16:uniqueId val="{00000003-8633-4869-BFCD-A54272786984}"/>
            </c:ext>
          </c:extLst>
        </c:ser>
        <c:ser>
          <c:idx val="5"/>
          <c:order val="5"/>
          <c:tx>
            <c:strRef>
              <c:f>Sheet1!$A$7</c:f>
              <c:strCache>
                <c:ptCount val="1"/>
                <c:pt idx="0">
                  <c:v>Զուտ հարկեր</c:v>
                </c:pt>
              </c:strCache>
            </c:strRef>
          </c:tx>
          <c:spPr>
            <a:solidFill>
              <a:schemeClr val="accent6"/>
            </a:solidFill>
            <a:ln>
              <a:noFill/>
            </a:ln>
            <a:effectLst/>
          </c:spPr>
          <c:invertIfNegative val="0"/>
          <c:cat>
            <c:strRef>
              <c:f>Sheet1!$B$1:$J$1</c:f>
              <c:strCache>
                <c:ptCount val="9"/>
                <c:pt idx="0">
                  <c:v>2018</c:v>
                </c:pt>
                <c:pt idx="1">
                  <c:v>2019</c:v>
                </c:pt>
                <c:pt idx="2">
                  <c:v>2020</c:v>
                </c:pt>
                <c:pt idx="3">
                  <c:v>2021</c:v>
                </c:pt>
                <c:pt idx="4">
                  <c:v>2022</c:v>
                </c:pt>
                <c:pt idx="5">
                  <c:v>2023</c:v>
                </c:pt>
                <c:pt idx="6">
                  <c:v>2024</c:v>
                </c:pt>
                <c:pt idx="7">
                  <c:v>2025</c:v>
                </c:pt>
                <c:pt idx="8">
                  <c:v>2026</c:v>
                </c:pt>
              </c:strCache>
            </c:strRef>
          </c:cat>
          <c:val>
            <c:numRef>
              <c:f>Sheet1!$B$7:$J$7</c:f>
              <c:numCache>
                <c:formatCode>0.0</c:formatCode>
                <c:ptCount val="9"/>
                <c:pt idx="0">
                  <c:v>0.82246482352669925</c:v>
                </c:pt>
                <c:pt idx="1">
                  <c:v>0.75427447723755969</c:v>
                </c:pt>
                <c:pt idx="2">
                  <c:v>-1.1390376673817264</c:v>
                </c:pt>
                <c:pt idx="3">
                  <c:v>0.70757417084503182</c:v>
                </c:pt>
                <c:pt idx="4">
                  <c:v>0.76012875457942186</c:v>
                </c:pt>
                <c:pt idx="5">
                  <c:v>0.80930436550230633</c:v>
                </c:pt>
                <c:pt idx="6">
                  <c:v>0.78864475123195121</c:v>
                </c:pt>
                <c:pt idx="7">
                  <c:v>0.80109272653696173</c:v>
                </c:pt>
                <c:pt idx="8">
                  <c:v>0.79833875168421609</c:v>
                </c:pt>
              </c:numCache>
            </c:numRef>
          </c:val>
          <c:extLst>
            <c:ext xmlns:c16="http://schemas.microsoft.com/office/drawing/2014/chart" uri="{C3380CC4-5D6E-409C-BE32-E72D297353CC}">
              <c16:uniqueId val="{00000004-8633-4869-BFCD-A54272786984}"/>
            </c:ext>
          </c:extLst>
        </c:ser>
        <c:dLbls>
          <c:showLegendKey val="0"/>
          <c:showVal val="0"/>
          <c:showCatName val="0"/>
          <c:showSerName val="0"/>
          <c:showPercent val="0"/>
          <c:showBubbleSize val="0"/>
        </c:dLbls>
        <c:gapWidth val="150"/>
        <c:overlap val="100"/>
        <c:axId val="134169344"/>
        <c:axId val="134170880"/>
      </c:barChart>
      <c:lineChart>
        <c:grouping val="standard"/>
        <c:varyColors val="0"/>
        <c:ser>
          <c:idx val="0"/>
          <c:order val="0"/>
          <c:tx>
            <c:strRef>
              <c:f>Sheet1!$A$2</c:f>
              <c:strCache>
                <c:ptCount val="1"/>
                <c:pt idx="0">
                  <c:v>ՀՆԱ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6627474034881437E-2"/>
                  <c:y val="-3.77477194086190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633-4869-BFCD-A54272786984}"/>
                </c:ext>
              </c:extLst>
            </c:dLbl>
            <c:dLbl>
              <c:idx val="1"/>
              <c:layout>
                <c:manualLayout>
                  <c:x val="-4.7031158142269255E-2"/>
                  <c:y val="-4.40390059767222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633-4869-BFCD-A54272786984}"/>
                </c:ext>
              </c:extLst>
            </c:dLbl>
            <c:dLbl>
              <c:idx val="2"/>
              <c:layout>
                <c:manualLayout>
                  <c:x val="-1.9596315892612189E-2"/>
                  <c:y val="1.25825731362063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633-4869-BFCD-A54272786984}"/>
                </c:ext>
              </c:extLst>
            </c:dLbl>
            <c:dLbl>
              <c:idx val="3"/>
              <c:layout>
                <c:manualLayout>
                  <c:x val="-4.7031158142269325E-2"/>
                  <c:y val="-4.40390059767222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633-4869-BFCD-A54272786984}"/>
                </c:ext>
              </c:extLst>
            </c:dLbl>
            <c:dLbl>
              <c:idx val="4"/>
              <c:layout>
                <c:manualLayout>
                  <c:x val="-4.3111894963746886E-2"/>
                  <c:y val="-3.77477194086190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633-4869-BFCD-A54272786984}"/>
                </c:ext>
              </c:extLst>
            </c:dLbl>
            <c:dLbl>
              <c:idx val="5"/>
              <c:layout>
                <c:manualLayout>
                  <c:x val="-5.0950421320791764E-2"/>
                  <c:y val="-3.77477194086190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633-4869-BFCD-A54272786984}"/>
                </c:ext>
              </c:extLst>
            </c:dLbl>
            <c:dLbl>
              <c:idx val="6"/>
              <c:layout>
                <c:manualLayout>
                  <c:x val="-5.8788947677836566E-2"/>
                  <c:y val="-5.0330292544825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633-4869-BFCD-A54272786984}"/>
                </c:ext>
              </c:extLst>
            </c:dLbl>
            <c:dLbl>
              <c:idx val="7"/>
              <c:layout>
                <c:manualLayout>
                  <c:x val="-4.7031158142269394E-2"/>
                  <c:y val="-3.77477194086190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633-4869-BFCD-A54272786984}"/>
                </c:ext>
              </c:extLst>
            </c:dLbl>
            <c:dLbl>
              <c:idx val="8"/>
              <c:layout>
                <c:manualLayout>
                  <c:x val="-5.0950421320791695E-2"/>
                  <c:y val="-4.40390059767222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8633-4869-BFCD-A5427278698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Sheet1!$B$1:$J$1</c:f>
              <c:strCache>
                <c:ptCount val="9"/>
                <c:pt idx="0">
                  <c:v>2018</c:v>
                </c:pt>
                <c:pt idx="1">
                  <c:v>2019</c:v>
                </c:pt>
                <c:pt idx="2">
                  <c:v>2020</c:v>
                </c:pt>
                <c:pt idx="3">
                  <c:v>2021</c:v>
                </c:pt>
                <c:pt idx="4">
                  <c:v>2022</c:v>
                </c:pt>
                <c:pt idx="5">
                  <c:v>2023</c:v>
                </c:pt>
                <c:pt idx="6">
                  <c:v>2024</c:v>
                </c:pt>
                <c:pt idx="7">
                  <c:v>2025</c:v>
                </c:pt>
                <c:pt idx="8">
                  <c:v>2026</c:v>
                </c:pt>
              </c:strCache>
            </c:strRef>
          </c:cat>
          <c:val>
            <c:numRef>
              <c:f>Sheet1!$B$2:$J$2</c:f>
              <c:numCache>
                <c:formatCode>0.0</c:formatCode>
                <c:ptCount val="9"/>
                <c:pt idx="0">
                  <c:v>5.194735648257522</c:v>
                </c:pt>
                <c:pt idx="1">
                  <c:v>7.6208632799754925</c:v>
                </c:pt>
                <c:pt idx="2">
                  <c:v>-7.4053975994272516</c:v>
                </c:pt>
                <c:pt idx="3">
                  <c:v>5.9999999999999964</c:v>
                </c:pt>
                <c:pt idx="4">
                  <c:v>7.0999999999999792</c:v>
                </c:pt>
                <c:pt idx="5">
                  <c:v>7.0999999999999934</c:v>
                </c:pt>
                <c:pt idx="6">
                  <c:v>7.0000000000000036</c:v>
                </c:pt>
                <c:pt idx="7">
                  <c:v>6.9999999999999849</c:v>
                </c:pt>
                <c:pt idx="8">
                  <c:v>7</c:v>
                </c:pt>
              </c:numCache>
            </c:numRef>
          </c:val>
          <c:smooth val="0"/>
          <c:extLst>
            <c:ext xmlns:c16="http://schemas.microsoft.com/office/drawing/2014/chart" uri="{C3380CC4-5D6E-409C-BE32-E72D297353CC}">
              <c16:uniqueId val="{0000000E-8633-4869-BFCD-A54272786984}"/>
            </c:ext>
          </c:extLst>
        </c:ser>
        <c:dLbls>
          <c:showLegendKey val="0"/>
          <c:showVal val="0"/>
          <c:showCatName val="0"/>
          <c:showSerName val="0"/>
          <c:showPercent val="0"/>
          <c:showBubbleSize val="0"/>
        </c:dLbls>
        <c:marker val="1"/>
        <c:smooth val="0"/>
        <c:axId val="134169344"/>
        <c:axId val="134170880"/>
      </c:lineChart>
      <c:catAx>
        <c:axId val="13416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34170880"/>
        <c:crosses val="autoZero"/>
        <c:auto val="1"/>
        <c:lblAlgn val="ctr"/>
        <c:lblOffset val="100"/>
        <c:noMultiLvlLbl val="0"/>
      </c:catAx>
      <c:valAx>
        <c:axId val="1341708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34169344"/>
        <c:crosses val="autoZero"/>
        <c:crossBetween val="between"/>
      </c:valAx>
      <c:spPr>
        <a:noFill/>
        <a:ln>
          <a:noFill/>
        </a:ln>
        <a:effectLst/>
      </c:spPr>
    </c:plotArea>
    <c:legend>
      <c:legendPos val="b"/>
      <c:layout>
        <c:manualLayout>
          <c:xMode val="edge"/>
          <c:yMode val="edge"/>
          <c:x val="4.8775075955011786E-2"/>
          <c:y val="0.7829382289780622"/>
          <c:w val="0.91812659220066617"/>
          <c:h val="0.179314051613318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Sheet1!$A$3</c:f>
              <c:strCache>
                <c:ptCount val="1"/>
                <c:pt idx="0">
                  <c:v>Վերջնական սպառում</c:v>
                </c:pt>
              </c:strCache>
            </c:strRef>
          </c:tx>
          <c:spPr>
            <a:solidFill>
              <a:schemeClr val="accent2"/>
            </a:solidFill>
            <a:ln>
              <a:noFill/>
            </a:ln>
            <a:effectLst/>
          </c:spPr>
          <c:invertIfNegative val="0"/>
          <c:cat>
            <c:strRef>
              <c:f>Sheet1!$B$1:$J$1</c:f>
              <c:strCache>
                <c:ptCount val="9"/>
                <c:pt idx="0">
                  <c:v>2018</c:v>
                </c:pt>
                <c:pt idx="1">
                  <c:v>2019</c:v>
                </c:pt>
                <c:pt idx="2">
                  <c:v>2020</c:v>
                </c:pt>
                <c:pt idx="3">
                  <c:v>2021</c:v>
                </c:pt>
                <c:pt idx="4">
                  <c:v>2022</c:v>
                </c:pt>
                <c:pt idx="5">
                  <c:v>2023</c:v>
                </c:pt>
                <c:pt idx="6">
                  <c:v>2024</c:v>
                </c:pt>
                <c:pt idx="7">
                  <c:v>2025</c:v>
                </c:pt>
                <c:pt idx="8">
                  <c:v>2026</c:v>
                </c:pt>
              </c:strCache>
            </c:strRef>
          </c:cat>
          <c:val>
            <c:numRef>
              <c:f>Sheet1!$B$3:$J$3</c:f>
              <c:numCache>
                <c:formatCode>0.0</c:formatCode>
                <c:ptCount val="9"/>
                <c:pt idx="0">
                  <c:v>3.5092447105651088</c:v>
                </c:pt>
                <c:pt idx="1">
                  <c:v>10.680646817555598</c:v>
                </c:pt>
                <c:pt idx="2">
                  <c:v>-9.6964062213782558</c:v>
                </c:pt>
                <c:pt idx="3">
                  <c:v>6.3226555146162742</c:v>
                </c:pt>
                <c:pt idx="4">
                  <c:v>6.6914008137121463</c:v>
                </c:pt>
                <c:pt idx="5">
                  <c:v>6.6860393270515379</c:v>
                </c:pt>
                <c:pt idx="6">
                  <c:v>4.9081058820781145</c:v>
                </c:pt>
                <c:pt idx="7">
                  <c:v>4.0544095534136932</c:v>
                </c:pt>
                <c:pt idx="8">
                  <c:v>3.110569568968176</c:v>
                </c:pt>
              </c:numCache>
            </c:numRef>
          </c:val>
          <c:extLst>
            <c:ext xmlns:c16="http://schemas.microsoft.com/office/drawing/2014/chart" uri="{C3380CC4-5D6E-409C-BE32-E72D297353CC}">
              <c16:uniqueId val="{00000000-E535-4065-82C3-FDEEBCB16830}"/>
            </c:ext>
          </c:extLst>
        </c:ser>
        <c:ser>
          <c:idx val="2"/>
          <c:order val="2"/>
          <c:tx>
            <c:strRef>
              <c:f>Sheet1!$A$4</c:f>
              <c:strCache>
                <c:ptCount val="1"/>
                <c:pt idx="0">
                  <c:v>Ներդրումներ</c:v>
                </c:pt>
              </c:strCache>
            </c:strRef>
          </c:tx>
          <c:spPr>
            <a:solidFill>
              <a:schemeClr val="accent3"/>
            </a:solidFill>
            <a:ln>
              <a:noFill/>
            </a:ln>
            <a:effectLst/>
          </c:spPr>
          <c:invertIfNegative val="0"/>
          <c:cat>
            <c:strRef>
              <c:f>Sheet1!$B$1:$J$1</c:f>
              <c:strCache>
                <c:ptCount val="9"/>
                <c:pt idx="0">
                  <c:v>2018</c:v>
                </c:pt>
                <c:pt idx="1">
                  <c:v>2019</c:v>
                </c:pt>
                <c:pt idx="2">
                  <c:v>2020</c:v>
                </c:pt>
                <c:pt idx="3">
                  <c:v>2021</c:v>
                </c:pt>
                <c:pt idx="4">
                  <c:v>2022</c:v>
                </c:pt>
                <c:pt idx="5">
                  <c:v>2023</c:v>
                </c:pt>
                <c:pt idx="6">
                  <c:v>2024</c:v>
                </c:pt>
                <c:pt idx="7">
                  <c:v>2025</c:v>
                </c:pt>
                <c:pt idx="8">
                  <c:v>2026</c:v>
                </c:pt>
              </c:strCache>
            </c:strRef>
          </c:cat>
          <c:val>
            <c:numRef>
              <c:f>Sheet1!$B$4:$J$4</c:f>
              <c:numCache>
                <c:formatCode>0.0</c:formatCode>
                <c:ptCount val="9"/>
                <c:pt idx="0">
                  <c:v>0.84712204793201873</c:v>
                </c:pt>
                <c:pt idx="1">
                  <c:v>0.73660007839076713</c:v>
                </c:pt>
                <c:pt idx="2">
                  <c:v>-1.360141465150009</c:v>
                </c:pt>
                <c:pt idx="3">
                  <c:v>0.86013400627094394</c:v>
                </c:pt>
                <c:pt idx="4">
                  <c:v>2.2267601172757336</c:v>
                </c:pt>
                <c:pt idx="5">
                  <c:v>2.552279427764272</c:v>
                </c:pt>
                <c:pt idx="6">
                  <c:v>2.6166817035129171</c:v>
                </c:pt>
                <c:pt idx="7">
                  <c:v>2.7450324962287422</c:v>
                </c:pt>
                <c:pt idx="8">
                  <c:v>2.8060092628531561</c:v>
                </c:pt>
              </c:numCache>
            </c:numRef>
          </c:val>
          <c:extLst>
            <c:ext xmlns:c16="http://schemas.microsoft.com/office/drawing/2014/chart" uri="{C3380CC4-5D6E-409C-BE32-E72D297353CC}">
              <c16:uniqueId val="{00000001-E535-4065-82C3-FDEEBCB16830}"/>
            </c:ext>
          </c:extLst>
        </c:ser>
        <c:ser>
          <c:idx val="3"/>
          <c:order val="3"/>
          <c:tx>
            <c:strRef>
              <c:f>Sheet1!$A$5</c:f>
              <c:strCache>
                <c:ptCount val="1"/>
                <c:pt idx="0">
                  <c:v>Զուտ արտահանում</c:v>
                </c:pt>
              </c:strCache>
            </c:strRef>
          </c:tx>
          <c:spPr>
            <a:solidFill>
              <a:schemeClr val="accent4"/>
            </a:solidFill>
            <a:ln>
              <a:noFill/>
            </a:ln>
            <a:effectLst/>
          </c:spPr>
          <c:invertIfNegative val="0"/>
          <c:cat>
            <c:strRef>
              <c:f>Sheet1!$B$1:$J$1</c:f>
              <c:strCache>
                <c:ptCount val="9"/>
                <c:pt idx="0">
                  <c:v>2018</c:v>
                </c:pt>
                <c:pt idx="1">
                  <c:v>2019</c:v>
                </c:pt>
                <c:pt idx="2">
                  <c:v>2020</c:v>
                </c:pt>
                <c:pt idx="3">
                  <c:v>2021</c:v>
                </c:pt>
                <c:pt idx="4">
                  <c:v>2022</c:v>
                </c:pt>
                <c:pt idx="5">
                  <c:v>2023</c:v>
                </c:pt>
                <c:pt idx="6">
                  <c:v>2024</c:v>
                </c:pt>
                <c:pt idx="7">
                  <c:v>2025</c:v>
                </c:pt>
                <c:pt idx="8">
                  <c:v>2026</c:v>
                </c:pt>
              </c:strCache>
            </c:strRef>
          </c:cat>
          <c:val>
            <c:numRef>
              <c:f>Sheet1!$B$5:$J$5</c:f>
              <c:numCache>
                <c:formatCode>0.0</c:formatCode>
                <c:ptCount val="9"/>
                <c:pt idx="0">
                  <c:v>-4.6043797249248186</c:v>
                </c:pt>
                <c:pt idx="1">
                  <c:v>0.14555833743502422</c:v>
                </c:pt>
                <c:pt idx="2">
                  <c:v>3.9623231857555883</c:v>
                </c:pt>
                <c:pt idx="3">
                  <c:v>-1.1827895208872179</c:v>
                </c:pt>
                <c:pt idx="4">
                  <c:v>-1.8181609309878861</c:v>
                </c:pt>
                <c:pt idx="5">
                  <c:v>-2.1383187548158165</c:v>
                </c:pt>
                <c:pt idx="6">
                  <c:v>-0.52478758559103122</c:v>
                </c:pt>
                <c:pt idx="7">
                  <c:v>0.20055795035756463</c:v>
                </c:pt>
                <c:pt idx="8">
                  <c:v>1.0834211681786683</c:v>
                </c:pt>
              </c:numCache>
            </c:numRef>
          </c:val>
          <c:extLst>
            <c:ext xmlns:c16="http://schemas.microsoft.com/office/drawing/2014/chart" uri="{C3380CC4-5D6E-409C-BE32-E72D297353CC}">
              <c16:uniqueId val="{00000002-E535-4065-82C3-FDEEBCB16830}"/>
            </c:ext>
          </c:extLst>
        </c:ser>
        <c:dLbls>
          <c:showLegendKey val="0"/>
          <c:showVal val="0"/>
          <c:showCatName val="0"/>
          <c:showSerName val="0"/>
          <c:showPercent val="0"/>
          <c:showBubbleSize val="0"/>
        </c:dLbls>
        <c:gapWidth val="150"/>
        <c:overlap val="100"/>
        <c:axId val="134236800"/>
        <c:axId val="134238592"/>
      </c:barChart>
      <c:lineChart>
        <c:grouping val="standard"/>
        <c:varyColors val="0"/>
        <c:ser>
          <c:idx val="0"/>
          <c:order val="0"/>
          <c:tx>
            <c:strRef>
              <c:f>Sheet1!$A$2</c:f>
              <c:strCache>
                <c:ptCount val="1"/>
                <c:pt idx="0">
                  <c:v>ՀՆԱ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5360163312919212E-2"/>
                  <c:y val="-1.27584373496721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535-4065-82C3-FDEEBCB16830}"/>
                </c:ext>
              </c:extLst>
            </c:dLbl>
            <c:dLbl>
              <c:idx val="1"/>
              <c:layout>
                <c:manualLayout>
                  <c:x val="-4.6296296296296294E-3"/>
                  <c:y val="-2.67094017094017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535-4065-82C3-FDEEBCB16830}"/>
                </c:ext>
              </c:extLst>
            </c:dLbl>
            <c:dLbl>
              <c:idx val="2"/>
              <c:layout>
                <c:manualLayout>
                  <c:x val="-2.0833333333333419E-2"/>
                  <c:y val="4.27350427350427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535-4065-82C3-FDEEBCB16830}"/>
                </c:ext>
              </c:extLst>
            </c:dLbl>
            <c:dLbl>
              <c:idx val="3"/>
              <c:layout>
                <c:manualLayout>
                  <c:x val="-3.2407407407407406E-2"/>
                  <c:y val="-4.8076923076923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535-4065-82C3-FDEEBCB16830}"/>
                </c:ext>
              </c:extLst>
            </c:dLbl>
            <c:dLbl>
              <c:idx val="4"/>
              <c:layout>
                <c:manualLayout>
                  <c:x val="-3.0092592592592591E-2"/>
                  <c:y val="-5.34188034188034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535-4065-82C3-FDEEBCB16830}"/>
                </c:ext>
              </c:extLst>
            </c:dLbl>
            <c:dLbl>
              <c:idx val="5"/>
              <c:layout>
                <c:manualLayout>
                  <c:x val="-3.7037037037037125E-2"/>
                  <c:y val="-4.8076923076923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535-4065-82C3-FDEEBCB16830}"/>
                </c:ext>
              </c:extLst>
            </c:dLbl>
            <c:dLbl>
              <c:idx val="6"/>
              <c:layout>
                <c:manualLayout>
                  <c:x val="-3.0092592592592761E-2"/>
                  <c:y val="-4.27350427350427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535-4065-82C3-FDEEBCB16830}"/>
                </c:ext>
              </c:extLst>
            </c:dLbl>
            <c:dLbl>
              <c:idx val="7"/>
              <c:layout>
                <c:manualLayout>
                  <c:x val="-3.2407407407407406E-2"/>
                  <c:y val="-4.27350427350427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535-4065-82C3-FDEEBCB16830}"/>
                </c:ext>
              </c:extLst>
            </c:dLbl>
            <c:dLbl>
              <c:idx val="8"/>
              <c:layout>
                <c:manualLayout>
                  <c:x val="-3.2407407407407406E-2"/>
                  <c:y val="-4.27350427350427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E535-4065-82C3-FDEEBCB1683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Sheet1!$B$1:$J$1</c:f>
              <c:strCache>
                <c:ptCount val="9"/>
                <c:pt idx="0">
                  <c:v>2018</c:v>
                </c:pt>
                <c:pt idx="1">
                  <c:v>2019</c:v>
                </c:pt>
                <c:pt idx="2">
                  <c:v>2020</c:v>
                </c:pt>
                <c:pt idx="3">
                  <c:v>2021</c:v>
                </c:pt>
                <c:pt idx="4">
                  <c:v>2022</c:v>
                </c:pt>
                <c:pt idx="5">
                  <c:v>2023</c:v>
                </c:pt>
                <c:pt idx="6">
                  <c:v>2024</c:v>
                </c:pt>
                <c:pt idx="7">
                  <c:v>2025</c:v>
                </c:pt>
                <c:pt idx="8">
                  <c:v>2026</c:v>
                </c:pt>
              </c:strCache>
            </c:strRef>
          </c:cat>
          <c:val>
            <c:numRef>
              <c:f>Sheet1!$B$2:$J$2</c:f>
              <c:numCache>
                <c:formatCode>0.0</c:formatCode>
                <c:ptCount val="9"/>
                <c:pt idx="0">
                  <c:v>5.1947356482575344</c:v>
                </c:pt>
                <c:pt idx="1">
                  <c:v>7.620863279975481</c:v>
                </c:pt>
                <c:pt idx="2">
                  <c:v>-7.4053975994272463</c:v>
                </c:pt>
                <c:pt idx="3">
                  <c:v>6</c:v>
                </c:pt>
                <c:pt idx="4">
                  <c:v>7.0999999999999943</c:v>
                </c:pt>
                <c:pt idx="5">
                  <c:v>7.0999999999999943</c:v>
                </c:pt>
                <c:pt idx="6">
                  <c:v>7</c:v>
                </c:pt>
                <c:pt idx="7">
                  <c:v>7</c:v>
                </c:pt>
                <c:pt idx="8">
                  <c:v>7</c:v>
                </c:pt>
              </c:numCache>
            </c:numRef>
          </c:val>
          <c:smooth val="0"/>
          <c:extLst>
            <c:ext xmlns:c16="http://schemas.microsoft.com/office/drawing/2014/chart" uri="{C3380CC4-5D6E-409C-BE32-E72D297353CC}">
              <c16:uniqueId val="{0000000C-E535-4065-82C3-FDEEBCB16830}"/>
            </c:ext>
          </c:extLst>
        </c:ser>
        <c:dLbls>
          <c:showLegendKey val="0"/>
          <c:showVal val="0"/>
          <c:showCatName val="0"/>
          <c:showSerName val="0"/>
          <c:showPercent val="0"/>
          <c:showBubbleSize val="0"/>
        </c:dLbls>
        <c:marker val="1"/>
        <c:smooth val="0"/>
        <c:axId val="134236800"/>
        <c:axId val="134238592"/>
      </c:lineChart>
      <c:catAx>
        <c:axId val="13423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34238592"/>
        <c:crosses val="autoZero"/>
        <c:auto val="1"/>
        <c:lblAlgn val="ctr"/>
        <c:lblOffset val="100"/>
        <c:noMultiLvlLbl val="0"/>
      </c:catAx>
      <c:valAx>
        <c:axId val="134238592"/>
        <c:scaling>
          <c:orientation val="minMax"/>
          <c:max val="12"/>
          <c:min val="-1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34236800"/>
        <c:crosses val="autoZero"/>
        <c:crossBetween val="between"/>
      </c:valAx>
      <c:spPr>
        <a:noFill/>
        <a:ln>
          <a:noFill/>
        </a:ln>
        <a:effectLst/>
      </c:spPr>
    </c:plotArea>
    <c:legend>
      <c:legendPos val="b"/>
      <c:layout>
        <c:manualLayout>
          <c:xMode val="edge"/>
          <c:yMode val="edge"/>
          <c:x val="2.6131687242798358E-2"/>
          <c:y val="0.76955211788237077"/>
          <c:w val="0.92304526748971205"/>
          <c:h val="0.1918626731144137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15474917487166"/>
          <c:y val="7.2631231429514692E-2"/>
          <c:w val="0.84673335586138154"/>
          <c:h val="0.55203895155231708"/>
        </c:manualLayout>
      </c:layout>
      <c:barChart>
        <c:barDir val="col"/>
        <c:grouping val="clustered"/>
        <c:varyColors val="0"/>
        <c:ser>
          <c:idx val="0"/>
          <c:order val="0"/>
          <c:tx>
            <c:strRef>
              <c:f>Sheet1!$A$2</c:f>
              <c:strCache>
                <c:ptCount val="1"/>
                <c:pt idx="0">
                  <c:v>Արդյունաբերություն</c:v>
                </c:pt>
              </c:strCache>
            </c:strRef>
          </c:tx>
          <c:spPr>
            <a:solidFill>
              <a:schemeClr val="accent1"/>
            </a:solidFill>
            <a:ln>
              <a:noFill/>
            </a:ln>
            <a:effectLst/>
          </c:spPr>
          <c:invertIfNegative val="0"/>
          <c:cat>
            <c:strRef>
              <c:f>Sheet1!$B$1:$J$1</c:f>
              <c:strCache>
                <c:ptCount val="9"/>
                <c:pt idx="0">
                  <c:v>2018</c:v>
                </c:pt>
                <c:pt idx="1">
                  <c:v>2019</c:v>
                </c:pt>
                <c:pt idx="2">
                  <c:v>2020</c:v>
                </c:pt>
                <c:pt idx="3">
                  <c:v>2021</c:v>
                </c:pt>
                <c:pt idx="4">
                  <c:v>2022</c:v>
                </c:pt>
                <c:pt idx="5">
                  <c:v>2023</c:v>
                </c:pt>
                <c:pt idx="6">
                  <c:v>2024</c:v>
                </c:pt>
                <c:pt idx="7">
                  <c:v>2025</c:v>
                </c:pt>
                <c:pt idx="8">
                  <c:v>2026</c:v>
                </c:pt>
              </c:strCache>
            </c:strRef>
          </c:cat>
          <c:val>
            <c:numRef>
              <c:f>Sheet1!$B$2:$J$2</c:f>
              <c:numCache>
                <c:formatCode>0.0</c:formatCode>
                <c:ptCount val="9"/>
                <c:pt idx="0">
                  <c:v>18.152724119014625</c:v>
                </c:pt>
                <c:pt idx="1">
                  <c:v>18.62246328768363</c:v>
                </c:pt>
                <c:pt idx="2">
                  <c:v>20.076394962967974</c:v>
                </c:pt>
                <c:pt idx="3">
                  <c:v>19.868055015239065</c:v>
                </c:pt>
                <c:pt idx="4">
                  <c:v>20.164870029472333</c:v>
                </c:pt>
                <c:pt idx="5">
                  <c:v>20.390806948570059</c:v>
                </c:pt>
                <c:pt idx="6">
                  <c:v>20.619488895656826</c:v>
                </c:pt>
                <c:pt idx="7">
                  <c:v>20.8507355000941</c:v>
                </c:pt>
                <c:pt idx="8">
                  <c:v>21.092370191870895</c:v>
                </c:pt>
              </c:numCache>
            </c:numRef>
          </c:val>
          <c:extLst>
            <c:ext xmlns:c16="http://schemas.microsoft.com/office/drawing/2014/chart" uri="{C3380CC4-5D6E-409C-BE32-E72D297353CC}">
              <c16:uniqueId val="{00000000-85A2-4622-8B63-4411028FD8BD}"/>
            </c:ext>
          </c:extLst>
        </c:ser>
        <c:ser>
          <c:idx val="1"/>
          <c:order val="1"/>
          <c:tx>
            <c:strRef>
              <c:f>Sheet1!$A$3</c:f>
              <c:strCache>
                <c:ptCount val="1"/>
                <c:pt idx="0">
                  <c:v>Գյուղատնտեսություն </c:v>
                </c:pt>
              </c:strCache>
            </c:strRef>
          </c:tx>
          <c:spPr>
            <a:solidFill>
              <a:schemeClr val="accent2"/>
            </a:solidFill>
            <a:ln>
              <a:noFill/>
            </a:ln>
            <a:effectLst/>
          </c:spPr>
          <c:invertIfNegative val="0"/>
          <c:cat>
            <c:strRef>
              <c:f>Sheet1!$B$1:$J$1</c:f>
              <c:strCache>
                <c:ptCount val="9"/>
                <c:pt idx="0">
                  <c:v>2018</c:v>
                </c:pt>
                <c:pt idx="1">
                  <c:v>2019</c:v>
                </c:pt>
                <c:pt idx="2">
                  <c:v>2020</c:v>
                </c:pt>
                <c:pt idx="3">
                  <c:v>2021</c:v>
                </c:pt>
                <c:pt idx="4">
                  <c:v>2022</c:v>
                </c:pt>
                <c:pt idx="5">
                  <c:v>2023</c:v>
                </c:pt>
                <c:pt idx="6">
                  <c:v>2024</c:v>
                </c:pt>
                <c:pt idx="7">
                  <c:v>2025</c:v>
                </c:pt>
                <c:pt idx="8">
                  <c:v>2026</c:v>
                </c:pt>
              </c:strCache>
            </c:strRef>
          </c:cat>
          <c:val>
            <c:numRef>
              <c:f>Sheet1!$B$3:$J$3</c:f>
              <c:numCache>
                <c:formatCode>0.0</c:formatCode>
                <c:ptCount val="9"/>
                <c:pt idx="0">
                  <c:v>13.94231165541461</c:v>
                </c:pt>
                <c:pt idx="1">
                  <c:v>11.525610737958814</c:v>
                </c:pt>
                <c:pt idx="2">
                  <c:v>11.213423906355571</c:v>
                </c:pt>
                <c:pt idx="3">
                  <c:v>10.906641554200558</c:v>
                </c:pt>
                <c:pt idx="4">
                  <c:v>10.500074979268765</c:v>
                </c:pt>
                <c:pt idx="5">
                  <c:v>10.166739265641187</c:v>
                </c:pt>
                <c:pt idx="6">
                  <c:v>9.8626872502201426</c:v>
                </c:pt>
                <c:pt idx="7">
                  <c:v>9.5861633086251867</c:v>
                </c:pt>
                <c:pt idx="8">
                  <c:v>9.3173923747385015</c:v>
                </c:pt>
              </c:numCache>
            </c:numRef>
          </c:val>
          <c:extLst>
            <c:ext xmlns:c16="http://schemas.microsoft.com/office/drawing/2014/chart" uri="{C3380CC4-5D6E-409C-BE32-E72D297353CC}">
              <c16:uniqueId val="{00000001-85A2-4622-8B63-4411028FD8BD}"/>
            </c:ext>
          </c:extLst>
        </c:ser>
        <c:ser>
          <c:idx val="2"/>
          <c:order val="2"/>
          <c:tx>
            <c:strRef>
              <c:f>Sheet1!$A$4</c:f>
              <c:strCache>
                <c:ptCount val="1"/>
                <c:pt idx="0">
                  <c:v>Շինարարություն</c:v>
                </c:pt>
              </c:strCache>
            </c:strRef>
          </c:tx>
          <c:spPr>
            <a:solidFill>
              <a:schemeClr val="accent3"/>
            </a:solidFill>
            <a:ln>
              <a:noFill/>
            </a:ln>
            <a:effectLst/>
          </c:spPr>
          <c:invertIfNegative val="0"/>
          <c:cat>
            <c:strRef>
              <c:f>Sheet1!$B$1:$J$1</c:f>
              <c:strCache>
                <c:ptCount val="9"/>
                <c:pt idx="0">
                  <c:v>2018</c:v>
                </c:pt>
                <c:pt idx="1">
                  <c:v>2019</c:v>
                </c:pt>
                <c:pt idx="2">
                  <c:v>2020</c:v>
                </c:pt>
                <c:pt idx="3">
                  <c:v>2021</c:v>
                </c:pt>
                <c:pt idx="4">
                  <c:v>2022</c:v>
                </c:pt>
                <c:pt idx="5">
                  <c:v>2023</c:v>
                </c:pt>
                <c:pt idx="6">
                  <c:v>2024</c:v>
                </c:pt>
                <c:pt idx="7">
                  <c:v>2025</c:v>
                </c:pt>
                <c:pt idx="8">
                  <c:v>2026</c:v>
                </c:pt>
              </c:strCache>
            </c:strRef>
          </c:cat>
          <c:val>
            <c:numRef>
              <c:f>Sheet1!$B$4:$J$4</c:f>
              <c:numCache>
                <c:formatCode>0.0</c:formatCode>
                <c:ptCount val="9"/>
                <c:pt idx="0">
                  <c:v>6.6038337286110611</c:v>
                </c:pt>
                <c:pt idx="1">
                  <c:v>6.3491451696598507</c:v>
                </c:pt>
                <c:pt idx="2">
                  <c:v>6.9788311532488461</c:v>
                </c:pt>
                <c:pt idx="3">
                  <c:v>6.9442265170508293</c:v>
                </c:pt>
                <c:pt idx="4">
                  <c:v>7.0739039496754943</c:v>
                </c:pt>
                <c:pt idx="5">
                  <c:v>7.4437812803774799</c:v>
                </c:pt>
                <c:pt idx="6">
                  <c:v>7.8472759666035508</c:v>
                </c:pt>
                <c:pt idx="7">
                  <c:v>8.2799762301826263</c:v>
                </c:pt>
                <c:pt idx="8">
                  <c:v>8.7520122582584587</c:v>
                </c:pt>
              </c:numCache>
            </c:numRef>
          </c:val>
          <c:extLst>
            <c:ext xmlns:c16="http://schemas.microsoft.com/office/drawing/2014/chart" uri="{C3380CC4-5D6E-409C-BE32-E72D297353CC}">
              <c16:uniqueId val="{00000002-85A2-4622-8B63-4411028FD8BD}"/>
            </c:ext>
          </c:extLst>
        </c:ser>
        <c:ser>
          <c:idx val="3"/>
          <c:order val="3"/>
          <c:tx>
            <c:strRef>
              <c:f>Sheet1!$A$5</c:f>
              <c:strCache>
                <c:ptCount val="1"/>
                <c:pt idx="0">
                  <c:v>Ծառայություններ</c:v>
                </c:pt>
              </c:strCache>
            </c:strRef>
          </c:tx>
          <c:spPr>
            <a:solidFill>
              <a:schemeClr val="accent4"/>
            </a:solidFill>
            <a:ln>
              <a:noFill/>
            </a:ln>
            <a:effectLst/>
          </c:spPr>
          <c:invertIfNegative val="0"/>
          <c:cat>
            <c:strRef>
              <c:f>Sheet1!$B$1:$J$1</c:f>
              <c:strCache>
                <c:ptCount val="9"/>
                <c:pt idx="0">
                  <c:v>2018</c:v>
                </c:pt>
                <c:pt idx="1">
                  <c:v>2019</c:v>
                </c:pt>
                <c:pt idx="2">
                  <c:v>2020</c:v>
                </c:pt>
                <c:pt idx="3">
                  <c:v>2021</c:v>
                </c:pt>
                <c:pt idx="4">
                  <c:v>2022</c:v>
                </c:pt>
                <c:pt idx="5">
                  <c:v>2023</c:v>
                </c:pt>
                <c:pt idx="6">
                  <c:v>2024</c:v>
                </c:pt>
                <c:pt idx="7">
                  <c:v>2025</c:v>
                </c:pt>
                <c:pt idx="8">
                  <c:v>2026</c:v>
                </c:pt>
              </c:strCache>
            </c:strRef>
          </c:cat>
          <c:val>
            <c:numRef>
              <c:f>Sheet1!$B$5:$J$5</c:f>
              <c:numCache>
                <c:formatCode>0.0</c:formatCode>
                <c:ptCount val="9"/>
                <c:pt idx="0">
                  <c:v>50.67754631051519</c:v>
                </c:pt>
                <c:pt idx="1">
                  <c:v>52.112404130880442</c:v>
                </c:pt>
                <c:pt idx="2">
                  <c:v>50.845593502888654</c:v>
                </c:pt>
                <c:pt idx="3">
                  <c:v>51.343972531071827</c:v>
                </c:pt>
                <c:pt idx="4">
                  <c:v>51.33936473251044</c:v>
                </c:pt>
                <c:pt idx="5">
                  <c:v>51.045273182745277</c:v>
                </c:pt>
                <c:pt idx="6">
                  <c:v>50.696674921259735</c:v>
                </c:pt>
                <c:pt idx="7">
                  <c:v>50.278484126708634</c:v>
                </c:pt>
                <c:pt idx="8">
                  <c:v>49.807403132072643</c:v>
                </c:pt>
              </c:numCache>
            </c:numRef>
          </c:val>
          <c:extLst>
            <c:ext xmlns:c16="http://schemas.microsoft.com/office/drawing/2014/chart" uri="{C3380CC4-5D6E-409C-BE32-E72D297353CC}">
              <c16:uniqueId val="{00000003-85A2-4622-8B63-4411028FD8BD}"/>
            </c:ext>
          </c:extLst>
        </c:ser>
        <c:ser>
          <c:idx val="4"/>
          <c:order val="4"/>
          <c:tx>
            <c:strRef>
              <c:f>Sheet1!$A$6</c:f>
              <c:strCache>
                <c:ptCount val="1"/>
                <c:pt idx="0">
                  <c:v>Զուտ հարկեր</c:v>
                </c:pt>
              </c:strCache>
            </c:strRef>
          </c:tx>
          <c:spPr>
            <a:solidFill>
              <a:schemeClr val="accent5"/>
            </a:solidFill>
            <a:ln>
              <a:noFill/>
            </a:ln>
            <a:effectLst/>
          </c:spPr>
          <c:invertIfNegative val="0"/>
          <c:cat>
            <c:strRef>
              <c:f>Sheet1!$B$1:$J$1</c:f>
              <c:strCache>
                <c:ptCount val="9"/>
                <c:pt idx="0">
                  <c:v>2018</c:v>
                </c:pt>
                <c:pt idx="1">
                  <c:v>2019</c:v>
                </c:pt>
                <c:pt idx="2">
                  <c:v>2020</c:v>
                </c:pt>
                <c:pt idx="3">
                  <c:v>2021</c:v>
                </c:pt>
                <c:pt idx="4">
                  <c:v>2022</c:v>
                </c:pt>
                <c:pt idx="5">
                  <c:v>2023</c:v>
                </c:pt>
                <c:pt idx="6">
                  <c:v>2024</c:v>
                </c:pt>
                <c:pt idx="7">
                  <c:v>2025</c:v>
                </c:pt>
                <c:pt idx="8">
                  <c:v>2026</c:v>
                </c:pt>
              </c:strCache>
            </c:strRef>
          </c:cat>
          <c:val>
            <c:numRef>
              <c:f>Sheet1!$B$6:$J$6</c:f>
              <c:numCache>
                <c:formatCode>0.0</c:formatCode>
                <c:ptCount val="9"/>
                <c:pt idx="0">
                  <c:v>10.623584186444511</c:v>
                </c:pt>
                <c:pt idx="1">
                  <c:v>11.390376673817263</c:v>
                </c:pt>
                <c:pt idx="2">
                  <c:v>10.885756474538951</c:v>
                </c:pt>
                <c:pt idx="3">
                  <c:v>10.937104382437719</c:v>
                </c:pt>
                <c:pt idx="4">
                  <c:v>10.921786309072964</c:v>
                </c:pt>
                <c:pt idx="5">
                  <c:v>10.953399322665987</c:v>
                </c:pt>
                <c:pt idx="6">
                  <c:v>10.973872966259753</c:v>
                </c:pt>
                <c:pt idx="7">
                  <c:v>11.004640834389454</c:v>
                </c:pt>
                <c:pt idx="8">
                  <c:v>11.030822043059505</c:v>
                </c:pt>
              </c:numCache>
            </c:numRef>
          </c:val>
          <c:extLst>
            <c:ext xmlns:c16="http://schemas.microsoft.com/office/drawing/2014/chart" uri="{C3380CC4-5D6E-409C-BE32-E72D297353CC}">
              <c16:uniqueId val="{00000004-85A2-4622-8B63-4411028FD8BD}"/>
            </c:ext>
          </c:extLst>
        </c:ser>
        <c:dLbls>
          <c:showLegendKey val="0"/>
          <c:showVal val="0"/>
          <c:showCatName val="0"/>
          <c:showSerName val="0"/>
          <c:showPercent val="0"/>
          <c:showBubbleSize val="0"/>
        </c:dLbls>
        <c:gapWidth val="219"/>
        <c:overlap val="-27"/>
        <c:axId val="134265088"/>
        <c:axId val="134279168"/>
      </c:barChart>
      <c:catAx>
        <c:axId val="13426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34279168"/>
        <c:crosses val="autoZero"/>
        <c:auto val="1"/>
        <c:lblAlgn val="ctr"/>
        <c:lblOffset val="100"/>
        <c:noMultiLvlLbl val="0"/>
      </c:catAx>
      <c:valAx>
        <c:axId val="134279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34265088"/>
        <c:crosses val="autoZero"/>
        <c:crossBetween val="between"/>
      </c:valAx>
      <c:spPr>
        <a:noFill/>
        <a:ln>
          <a:noFill/>
        </a:ln>
        <a:effectLst/>
      </c:spPr>
    </c:plotArea>
    <c:legend>
      <c:legendPos val="b"/>
      <c:layout>
        <c:manualLayout>
          <c:xMode val="edge"/>
          <c:yMode val="edge"/>
          <c:x val="2.2169142437442241E-2"/>
          <c:y val="0.75898337072342681"/>
          <c:w val="0.93214582745058105"/>
          <c:h val="0.2013995939513833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87075330536953"/>
          <c:y val="7.5187969924812026E-2"/>
          <c:w val="0.80743869633118293"/>
          <c:h val="0.5053481951119746"/>
        </c:manualLayout>
      </c:layout>
      <c:barChart>
        <c:barDir val="col"/>
        <c:grouping val="clustered"/>
        <c:varyColors val="0"/>
        <c:ser>
          <c:idx val="0"/>
          <c:order val="0"/>
          <c:tx>
            <c:strRef>
              <c:f>Sheet1!$A$2</c:f>
              <c:strCache>
                <c:ptCount val="1"/>
                <c:pt idx="0">
                  <c:v>Վերջնական սպառում</c:v>
                </c:pt>
              </c:strCache>
            </c:strRef>
          </c:tx>
          <c:spPr>
            <a:solidFill>
              <a:schemeClr val="accent1"/>
            </a:solidFill>
            <a:ln>
              <a:noFill/>
            </a:ln>
            <a:effectLst/>
          </c:spPr>
          <c:invertIfNegative val="0"/>
          <c:cat>
            <c:strRef>
              <c:f>Sheet1!$B$1:$J$1</c:f>
              <c:strCache>
                <c:ptCount val="9"/>
                <c:pt idx="0">
                  <c:v>2018</c:v>
                </c:pt>
                <c:pt idx="1">
                  <c:v>2019</c:v>
                </c:pt>
                <c:pt idx="2">
                  <c:v>2020</c:v>
                </c:pt>
                <c:pt idx="3">
                  <c:v>2021</c:v>
                </c:pt>
                <c:pt idx="4">
                  <c:v>2022</c:v>
                </c:pt>
                <c:pt idx="5">
                  <c:v>2023</c:v>
                </c:pt>
                <c:pt idx="6">
                  <c:v>2024</c:v>
                </c:pt>
                <c:pt idx="7">
                  <c:v>2025</c:v>
                </c:pt>
                <c:pt idx="8">
                  <c:v>2026</c:v>
                </c:pt>
              </c:strCache>
            </c:strRef>
          </c:cat>
          <c:val>
            <c:numRef>
              <c:f>Sheet1!$B$2:$J$2</c:f>
              <c:numCache>
                <c:formatCode>0.0</c:formatCode>
                <c:ptCount val="9"/>
                <c:pt idx="0">
                  <c:v>91.28757963722731</c:v>
                </c:pt>
                <c:pt idx="1">
                  <c:v>96.004021993844162</c:v>
                </c:pt>
                <c:pt idx="2">
                  <c:v>91.422990776868645</c:v>
                </c:pt>
                <c:pt idx="3">
                  <c:v>93.111748905926433</c:v>
                </c:pt>
                <c:pt idx="4">
                  <c:v>93.379505397443779</c:v>
                </c:pt>
                <c:pt idx="5">
                  <c:v>92.675817506301641</c:v>
                </c:pt>
                <c:pt idx="6">
                  <c:v>91.010602987712957</c:v>
                </c:pt>
                <c:pt idx="7">
                  <c:v>88.619982057486297</c:v>
                </c:pt>
                <c:pt idx="8">
                  <c:v>85.759813067914621</c:v>
                </c:pt>
              </c:numCache>
            </c:numRef>
          </c:val>
          <c:extLst>
            <c:ext xmlns:c16="http://schemas.microsoft.com/office/drawing/2014/chart" uri="{C3380CC4-5D6E-409C-BE32-E72D297353CC}">
              <c16:uniqueId val="{00000000-B4E8-46CA-A59F-C218A7B5191D}"/>
            </c:ext>
          </c:extLst>
        </c:ser>
        <c:ser>
          <c:idx val="1"/>
          <c:order val="1"/>
          <c:tx>
            <c:strRef>
              <c:f>Sheet1!$A$3</c:f>
              <c:strCache>
                <c:ptCount val="1"/>
                <c:pt idx="0">
                  <c:v>Հիմնական միջոցների համախառն  կուտակում</c:v>
                </c:pt>
              </c:strCache>
            </c:strRef>
          </c:tx>
          <c:spPr>
            <a:solidFill>
              <a:schemeClr val="accent2"/>
            </a:solidFill>
            <a:ln>
              <a:noFill/>
            </a:ln>
            <a:effectLst/>
          </c:spPr>
          <c:invertIfNegative val="0"/>
          <c:cat>
            <c:strRef>
              <c:f>Sheet1!$B$1:$J$1</c:f>
              <c:strCache>
                <c:ptCount val="9"/>
                <c:pt idx="0">
                  <c:v>2018</c:v>
                </c:pt>
                <c:pt idx="1">
                  <c:v>2019</c:v>
                </c:pt>
                <c:pt idx="2">
                  <c:v>2020</c:v>
                </c:pt>
                <c:pt idx="3">
                  <c:v>2021</c:v>
                </c:pt>
                <c:pt idx="4">
                  <c:v>2022</c:v>
                </c:pt>
                <c:pt idx="5">
                  <c:v>2023</c:v>
                </c:pt>
                <c:pt idx="6">
                  <c:v>2024</c:v>
                </c:pt>
                <c:pt idx="7">
                  <c:v>2025</c:v>
                </c:pt>
                <c:pt idx="8">
                  <c:v>2026</c:v>
                </c:pt>
              </c:strCache>
            </c:strRef>
          </c:cat>
          <c:val>
            <c:numRef>
              <c:f>Sheet1!$B$3:$J$3</c:f>
              <c:numCache>
                <c:formatCode>0.0</c:formatCode>
                <c:ptCount val="9"/>
                <c:pt idx="0">
                  <c:v>16.740910872517414</c:v>
                </c:pt>
                <c:pt idx="1">
                  <c:v>15.815598431976859</c:v>
                </c:pt>
                <c:pt idx="2">
                  <c:v>16.571815993690116</c:v>
                </c:pt>
                <c:pt idx="3">
                  <c:v>16.540871389335603</c:v>
                </c:pt>
                <c:pt idx="4">
                  <c:v>17.74113160680605</c:v>
                </c:pt>
                <c:pt idx="5">
                  <c:v>18.563487963583359</c:v>
                </c:pt>
                <c:pt idx="6">
                  <c:v>19.439279861632738</c:v>
                </c:pt>
                <c:pt idx="7">
                  <c:v>20.391401512116566</c:v>
                </c:pt>
                <c:pt idx="8">
                  <c:v>21.456062334841754</c:v>
                </c:pt>
              </c:numCache>
            </c:numRef>
          </c:val>
          <c:extLst>
            <c:ext xmlns:c16="http://schemas.microsoft.com/office/drawing/2014/chart" uri="{C3380CC4-5D6E-409C-BE32-E72D297353CC}">
              <c16:uniqueId val="{00000001-B4E8-46CA-A59F-C218A7B5191D}"/>
            </c:ext>
          </c:extLst>
        </c:ser>
        <c:ser>
          <c:idx val="2"/>
          <c:order val="2"/>
          <c:tx>
            <c:strRef>
              <c:f>Sheet1!$A$4</c:f>
              <c:strCache>
                <c:ptCount val="1"/>
                <c:pt idx="0">
                  <c:v>Ապրանքների և ծառայությունների արտահանում </c:v>
                </c:pt>
              </c:strCache>
            </c:strRef>
          </c:tx>
          <c:spPr>
            <a:solidFill>
              <a:schemeClr val="accent3"/>
            </a:solidFill>
            <a:ln>
              <a:noFill/>
            </a:ln>
            <a:effectLst/>
          </c:spPr>
          <c:invertIfNegative val="0"/>
          <c:cat>
            <c:strRef>
              <c:f>Sheet1!$B$1:$J$1</c:f>
              <c:strCache>
                <c:ptCount val="9"/>
                <c:pt idx="0">
                  <c:v>2018</c:v>
                </c:pt>
                <c:pt idx="1">
                  <c:v>2019</c:v>
                </c:pt>
                <c:pt idx="2">
                  <c:v>2020</c:v>
                </c:pt>
                <c:pt idx="3">
                  <c:v>2021</c:v>
                </c:pt>
                <c:pt idx="4">
                  <c:v>2022</c:v>
                </c:pt>
                <c:pt idx="5">
                  <c:v>2023</c:v>
                </c:pt>
                <c:pt idx="6">
                  <c:v>2024</c:v>
                </c:pt>
                <c:pt idx="7">
                  <c:v>2025</c:v>
                </c:pt>
                <c:pt idx="8">
                  <c:v>2026</c:v>
                </c:pt>
              </c:strCache>
            </c:strRef>
          </c:cat>
          <c:val>
            <c:numRef>
              <c:f>Sheet1!$B$4:$J$4</c:f>
              <c:numCache>
                <c:formatCode>0.0</c:formatCode>
                <c:ptCount val="9"/>
                <c:pt idx="0">
                  <c:v>39.392894028607309</c:v>
                </c:pt>
                <c:pt idx="1">
                  <c:v>41.35080136208493</c:v>
                </c:pt>
                <c:pt idx="2">
                  <c:v>30.237914415310925</c:v>
                </c:pt>
                <c:pt idx="3">
                  <c:v>33.426249904322148</c:v>
                </c:pt>
                <c:pt idx="4">
                  <c:v>37.435158958050096</c:v>
                </c:pt>
                <c:pt idx="5">
                  <c:v>40.943897705682687</c:v>
                </c:pt>
                <c:pt idx="6">
                  <c:v>43.813450388563503</c:v>
                </c:pt>
                <c:pt idx="7">
                  <c:v>46.864754185485921</c:v>
                </c:pt>
                <c:pt idx="8">
                  <c:v>50.128776399654427</c:v>
                </c:pt>
              </c:numCache>
            </c:numRef>
          </c:val>
          <c:extLst>
            <c:ext xmlns:c16="http://schemas.microsoft.com/office/drawing/2014/chart" uri="{C3380CC4-5D6E-409C-BE32-E72D297353CC}">
              <c16:uniqueId val="{00000002-B4E8-46CA-A59F-C218A7B5191D}"/>
            </c:ext>
          </c:extLst>
        </c:ser>
        <c:ser>
          <c:idx val="3"/>
          <c:order val="3"/>
          <c:tx>
            <c:strRef>
              <c:f>Sheet1!$A$5</c:f>
              <c:strCache>
                <c:ptCount val="1"/>
                <c:pt idx="0">
                  <c:v>Ապրանքների և ծառայությունների ներմուծում </c:v>
                </c:pt>
              </c:strCache>
            </c:strRef>
          </c:tx>
          <c:spPr>
            <a:solidFill>
              <a:schemeClr val="accent4"/>
            </a:solidFill>
            <a:ln>
              <a:noFill/>
            </a:ln>
            <a:effectLst/>
          </c:spPr>
          <c:invertIfNegative val="0"/>
          <c:cat>
            <c:strRef>
              <c:f>Sheet1!$B$1:$J$1</c:f>
              <c:strCache>
                <c:ptCount val="9"/>
                <c:pt idx="0">
                  <c:v>2018</c:v>
                </c:pt>
                <c:pt idx="1">
                  <c:v>2019</c:v>
                </c:pt>
                <c:pt idx="2">
                  <c:v>2020</c:v>
                </c:pt>
                <c:pt idx="3">
                  <c:v>2021</c:v>
                </c:pt>
                <c:pt idx="4">
                  <c:v>2022</c:v>
                </c:pt>
                <c:pt idx="5">
                  <c:v>2023</c:v>
                </c:pt>
                <c:pt idx="6">
                  <c:v>2024</c:v>
                </c:pt>
                <c:pt idx="7">
                  <c:v>2025</c:v>
                </c:pt>
                <c:pt idx="8">
                  <c:v>2026</c:v>
                </c:pt>
              </c:strCache>
            </c:strRef>
          </c:cat>
          <c:val>
            <c:numRef>
              <c:f>Sheet1!$B$5:$J$5</c:f>
              <c:numCache>
                <c:formatCode>0.0</c:formatCode>
                <c:ptCount val="9"/>
                <c:pt idx="0">
                  <c:v>53.080212992604729</c:v>
                </c:pt>
                <c:pt idx="1">
                  <c:v>54.763352766785822</c:v>
                </c:pt>
                <c:pt idx="2">
                  <c:v>39.608460770296468</c:v>
                </c:pt>
                <c:pt idx="3">
                  <c:v>43.078870199584159</c:v>
                </c:pt>
                <c:pt idx="4">
                  <c:v>48.555795962299939</c:v>
                </c:pt>
                <c:pt idx="5">
                  <c:v>52.183203175567684</c:v>
                </c:pt>
                <c:pt idx="6">
                  <c:v>54.263333237909208</c:v>
                </c:pt>
                <c:pt idx="7">
                  <c:v>55.87613775508877</c:v>
                </c:pt>
                <c:pt idx="8">
                  <c:v>57.344651802410851</c:v>
                </c:pt>
              </c:numCache>
            </c:numRef>
          </c:val>
          <c:extLst>
            <c:ext xmlns:c16="http://schemas.microsoft.com/office/drawing/2014/chart" uri="{C3380CC4-5D6E-409C-BE32-E72D297353CC}">
              <c16:uniqueId val="{00000003-B4E8-46CA-A59F-C218A7B5191D}"/>
            </c:ext>
          </c:extLst>
        </c:ser>
        <c:dLbls>
          <c:showLegendKey val="0"/>
          <c:showVal val="0"/>
          <c:showCatName val="0"/>
          <c:showSerName val="0"/>
          <c:showPercent val="0"/>
          <c:showBubbleSize val="0"/>
        </c:dLbls>
        <c:gapWidth val="150"/>
        <c:axId val="134434816"/>
        <c:axId val="134436352"/>
      </c:barChart>
      <c:catAx>
        <c:axId val="13443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34436352"/>
        <c:crosses val="autoZero"/>
        <c:auto val="1"/>
        <c:lblAlgn val="ctr"/>
        <c:lblOffset val="100"/>
        <c:noMultiLvlLbl val="0"/>
      </c:catAx>
      <c:valAx>
        <c:axId val="13443635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434816"/>
        <c:crosses val="autoZero"/>
        <c:crossBetween val="between"/>
      </c:valAx>
      <c:spPr>
        <a:noFill/>
        <a:ln>
          <a:noFill/>
        </a:ln>
        <a:effectLst/>
      </c:spPr>
    </c:plotArea>
    <c:legend>
      <c:legendPos val="b"/>
      <c:layout>
        <c:manualLayout>
          <c:xMode val="edge"/>
          <c:yMode val="edge"/>
          <c:x val="0.10142549938267062"/>
          <c:y val="0.69809096829403505"/>
          <c:w val="0.79714867417273771"/>
          <c:h val="0.2608974117469765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84003234163631"/>
          <c:y val="6.9708491761723695E-2"/>
          <c:w val="0.8450480726946169"/>
          <c:h val="0.68629931239583641"/>
        </c:manualLayout>
      </c:layout>
      <c:barChart>
        <c:barDir val="col"/>
        <c:grouping val="stacked"/>
        <c:varyColors val="0"/>
        <c:ser>
          <c:idx val="1"/>
          <c:order val="1"/>
          <c:tx>
            <c:strRef>
              <c:f>Sheet1!$C$1</c:f>
              <c:strCache>
                <c:ptCount val="1"/>
                <c:pt idx="0">
                  <c:v>Պետական ներդրումներ</c:v>
                </c:pt>
              </c:strCache>
            </c:strRef>
          </c:tx>
          <c:spPr>
            <a:solidFill>
              <a:schemeClr val="accent2"/>
            </a:solidFill>
            <a:ln>
              <a:noFill/>
            </a:ln>
            <a:effectLst/>
          </c:spPr>
          <c:invertIfNegative val="0"/>
          <c:cat>
            <c:numRef>
              <c:f>Sheet1!$A$2:$A$10</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Sheet1!$C$2:$C$10</c:f>
              <c:numCache>
                <c:formatCode>0</c:formatCode>
                <c:ptCount val="9"/>
                <c:pt idx="0">
                  <c:v>1.9643999999999551</c:v>
                </c:pt>
                <c:pt idx="1">
                  <c:v>19.130600000000015</c:v>
                </c:pt>
                <c:pt idx="2">
                  <c:v>29.68301151440005</c:v>
                </c:pt>
                <c:pt idx="3">
                  <c:v>21.229115754099979</c:v>
                </c:pt>
                <c:pt idx="4">
                  <c:v>138.37570466932016</c:v>
                </c:pt>
                <c:pt idx="5">
                  <c:v>53.623462818088683</c:v>
                </c:pt>
                <c:pt idx="6">
                  <c:v>82.756576347245186</c:v>
                </c:pt>
                <c:pt idx="7">
                  <c:v>110.25176323838008</c:v>
                </c:pt>
                <c:pt idx="8">
                  <c:v>164.16758560580058</c:v>
                </c:pt>
              </c:numCache>
            </c:numRef>
          </c:val>
          <c:extLst>
            <c:ext xmlns:c16="http://schemas.microsoft.com/office/drawing/2014/chart" uri="{C3380CC4-5D6E-409C-BE32-E72D297353CC}">
              <c16:uniqueId val="{00000000-46E2-46E9-95AB-C746767F03D8}"/>
            </c:ext>
          </c:extLst>
        </c:ser>
        <c:ser>
          <c:idx val="2"/>
          <c:order val="2"/>
          <c:tx>
            <c:strRef>
              <c:f>Sheet1!$D$1</c:f>
              <c:strCache>
                <c:ptCount val="1"/>
                <c:pt idx="0">
                  <c:v>Մասնավոր ներդրումներ</c:v>
                </c:pt>
              </c:strCache>
            </c:strRef>
          </c:tx>
          <c:spPr>
            <a:solidFill>
              <a:schemeClr val="accent3"/>
            </a:solidFill>
            <a:ln>
              <a:noFill/>
            </a:ln>
            <a:effectLst/>
          </c:spPr>
          <c:invertIfNegative val="0"/>
          <c:cat>
            <c:numRef>
              <c:f>Sheet1!$A$2:$A$10</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Sheet1!$D$2:$D$10</c:f>
              <c:numCache>
                <c:formatCode>0</c:formatCode>
                <c:ptCount val="9"/>
                <c:pt idx="0">
                  <c:v>23.299399999999991</c:v>
                </c:pt>
                <c:pt idx="1">
                  <c:v>8.4284000000000106</c:v>
                </c:pt>
                <c:pt idx="2">
                  <c:v>-40.13451151440006</c:v>
                </c:pt>
                <c:pt idx="3">
                  <c:v>92.400618008326092</c:v>
                </c:pt>
                <c:pt idx="4">
                  <c:v>91.004063634338081</c:v>
                </c:pt>
                <c:pt idx="5">
                  <c:v>172.60901778777964</c:v>
                </c:pt>
                <c:pt idx="6">
                  <c:v>180.63384387760607</c:v>
                </c:pt>
                <c:pt idx="7">
                  <c:v>200.39231355250968</c:v>
                </c:pt>
                <c:pt idx="8">
                  <c:v>206.23682930831819</c:v>
                </c:pt>
              </c:numCache>
            </c:numRef>
          </c:val>
          <c:extLst>
            <c:ext xmlns:c16="http://schemas.microsoft.com/office/drawing/2014/chart" uri="{C3380CC4-5D6E-409C-BE32-E72D297353CC}">
              <c16:uniqueId val="{00000001-46E2-46E9-95AB-C746767F03D8}"/>
            </c:ext>
          </c:extLst>
        </c:ser>
        <c:dLbls>
          <c:showLegendKey val="0"/>
          <c:showVal val="0"/>
          <c:showCatName val="0"/>
          <c:showSerName val="0"/>
          <c:showPercent val="0"/>
          <c:showBubbleSize val="0"/>
        </c:dLbls>
        <c:gapWidth val="219"/>
        <c:overlap val="100"/>
        <c:axId val="134509312"/>
        <c:axId val="134510848"/>
      </c:barChart>
      <c:lineChart>
        <c:grouping val="standard"/>
        <c:varyColors val="0"/>
        <c:ser>
          <c:idx val="0"/>
          <c:order val="0"/>
          <c:tx>
            <c:strRef>
              <c:f>Sheet1!$B$1</c:f>
              <c:strCache>
                <c:ptCount val="1"/>
                <c:pt idx="0">
                  <c:v>Ընդհանուր ներդրումներ</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7031158142269255E-2"/>
                  <c:y val="-4.43599493029151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6E2-46E9-95AB-C746767F03D8}"/>
                </c:ext>
              </c:extLst>
            </c:dLbl>
            <c:dLbl>
              <c:idx val="1"/>
              <c:layout>
                <c:manualLayout>
                  <c:x val="-5.0950421320791695E-2"/>
                  <c:y val="-5.70342205323195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6E2-46E9-95AB-C746767F03D8}"/>
                </c:ext>
              </c:extLst>
            </c:dLbl>
            <c:dLbl>
              <c:idx val="2"/>
              <c:layout>
                <c:manualLayout>
                  <c:x val="-5.4869684499314168E-2"/>
                  <c:y val="-6.33713561470215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6E2-46E9-95AB-C746767F03D8}"/>
                </c:ext>
              </c:extLst>
            </c:dLbl>
            <c:dLbl>
              <c:idx val="3"/>
              <c:layout>
                <c:manualLayout>
                  <c:x val="-6.662747403488152E-2"/>
                  <c:y val="-5.70342205323194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6E2-46E9-95AB-C746767F03D8}"/>
                </c:ext>
              </c:extLst>
            </c:dLbl>
            <c:dLbl>
              <c:idx val="4"/>
              <c:layout>
                <c:manualLayout>
                  <c:x val="-5.8788947677836635E-2"/>
                  <c:y val="-5.06970849176172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6E2-46E9-95AB-C746767F03D8}"/>
                </c:ext>
              </c:extLst>
            </c:dLbl>
            <c:dLbl>
              <c:idx val="5"/>
              <c:layout>
                <c:manualLayout>
                  <c:x val="-6.662747403488159E-2"/>
                  <c:y val="-5.70342205323193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6E2-46E9-95AB-C746767F03D8}"/>
                </c:ext>
              </c:extLst>
            </c:dLbl>
            <c:dLbl>
              <c:idx val="6"/>
              <c:layout>
                <c:manualLayout>
                  <c:x val="-6.2708210856358998E-2"/>
                  <c:y val="-5.70342205323193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6E2-46E9-95AB-C746767F03D8}"/>
                </c:ext>
              </c:extLst>
            </c:dLbl>
            <c:dLbl>
              <c:idx val="7"/>
              <c:layout>
                <c:manualLayout>
                  <c:x val="-6.6627474034881437E-2"/>
                  <c:y val="-5.06970849176172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6E2-46E9-95AB-C746767F03D8}"/>
                </c:ext>
              </c:extLst>
            </c:dLbl>
            <c:dLbl>
              <c:idx val="8"/>
              <c:layout>
                <c:manualLayout>
                  <c:x val="-4.7031158142269255E-2"/>
                  <c:y val="-3.80228136882129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6E2-46E9-95AB-C746767F03D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Sheet1!$B$2:$B$10</c:f>
              <c:numCache>
                <c:formatCode>0</c:formatCode>
                <c:ptCount val="9"/>
                <c:pt idx="0">
                  <c:v>25.26380000000006</c:v>
                </c:pt>
                <c:pt idx="1">
                  <c:v>27.559000000000083</c:v>
                </c:pt>
                <c:pt idx="2">
                  <c:v>-10.451500000000124</c:v>
                </c:pt>
                <c:pt idx="3">
                  <c:v>113.62973376242599</c:v>
                </c:pt>
                <c:pt idx="4">
                  <c:v>229.37976830365824</c:v>
                </c:pt>
                <c:pt idx="5">
                  <c:v>226.23248060586843</c:v>
                </c:pt>
                <c:pt idx="6">
                  <c:v>263.39042022485114</c:v>
                </c:pt>
                <c:pt idx="7">
                  <c:v>310.64407679088959</c:v>
                </c:pt>
                <c:pt idx="8">
                  <c:v>370.40441491411912</c:v>
                </c:pt>
              </c:numCache>
            </c:numRef>
          </c:val>
          <c:smooth val="0"/>
          <c:extLst>
            <c:ext xmlns:c16="http://schemas.microsoft.com/office/drawing/2014/chart" uri="{C3380CC4-5D6E-409C-BE32-E72D297353CC}">
              <c16:uniqueId val="{0000000B-46E2-46E9-95AB-C746767F03D8}"/>
            </c:ext>
          </c:extLst>
        </c:ser>
        <c:dLbls>
          <c:showLegendKey val="0"/>
          <c:showVal val="0"/>
          <c:showCatName val="0"/>
          <c:showSerName val="0"/>
          <c:showPercent val="0"/>
          <c:showBubbleSize val="0"/>
        </c:dLbls>
        <c:marker val="1"/>
        <c:smooth val="0"/>
        <c:axId val="134509312"/>
        <c:axId val="134510848"/>
      </c:lineChart>
      <c:catAx>
        <c:axId val="13450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34510848"/>
        <c:crosses val="autoZero"/>
        <c:auto val="1"/>
        <c:lblAlgn val="ctr"/>
        <c:lblOffset val="100"/>
        <c:noMultiLvlLbl val="0"/>
      </c:catAx>
      <c:valAx>
        <c:axId val="134510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34509312"/>
        <c:crosses val="autoZero"/>
        <c:crossBetween val="between"/>
      </c:valAx>
      <c:spPr>
        <a:noFill/>
        <a:ln>
          <a:noFill/>
        </a:ln>
        <a:effectLst/>
      </c:spPr>
    </c:plotArea>
    <c:legend>
      <c:legendPos val="b"/>
      <c:layout>
        <c:manualLayout>
          <c:xMode val="edge"/>
          <c:yMode val="edge"/>
          <c:x val="3.4254360180286089E-2"/>
          <c:y val="0.80036775346047528"/>
          <c:w val="0.93541054281795022"/>
          <c:h val="0.1996322465395247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743444452621"/>
          <c:y val="6.8450528935905419E-2"/>
          <c:w val="0.83756600518393143"/>
          <c:h val="0.5778238905575509"/>
        </c:manualLayout>
      </c:layout>
      <c:barChart>
        <c:barDir val="col"/>
        <c:grouping val="stacked"/>
        <c:varyColors val="0"/>
        <c:ser>
          <c:idx val="1"/>
          <c:order val="1"/>
          <c:tx>
            <c:strRef>
              <c:f>Sheet1!$C$1</c:f>
              <c:strCache>
                <c:ptCount val="1"/>
                <c:pt idx="0">
                  <c:v>Պետական ներդրումներ</c:v>
                </c:pt>
              </c:strCache>
            </c:strRef>
          </c:tx>
          <c:spPr>
            <a:solidFill>
              <a:schemeClr val="accent2"/>
            </a:solidFill>
            <a:ln>
              <a:noFill/>
            </a:ln>
            <a:effectLst/>
          </c:spPr>
          <c:invertIfNegative val="0"/>
          <c:cat>
            <c:numRef>
              <c:f>Sheet1!$A$2:$A$10</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Sheet1!$C$2:$C$10</c:f>
              <c:numCache>
                <c:formatCode>0.0</c:formatCode>
                <c:ptCount val="9"/>
                <c:pt idx="0">
                  <c:v>2.6842754717472803</c:v>
                </c:pt>
                <c:pt idx="1">
                  <c:v>2.7607445502680292</c:v>
                </c:pt>
                <c:pt idx="2">
                  <c:v>3.4024399920791546</c:v>
                </c:pt>
                <c:pt idx="3">
                  <c:v>3.365553206155615</c:v>
                </c:pt>
                <c:pt idx="4">
                  <c:v>4.7995492270624984</c:v>
                </c:pt>
                <c:pt idx="5">
                  <c:v>4.9337317005680257</c:v>
                </c:pt>
                <c:pt idx="6">
                  <c:v>5.3000000000000096</c:v>
                </c:pt>
                <c:pt idx="7">
                  <c:v>5.8000000000000114</c:v>
                </c:pt>
                <c:pt idx="8">
                  <c:v>6.6000000000000139</c:v>
                </c:pt>
              </c:numCache>
            </c:numRef>
          </c:val>
          <c:extLst>
            <c:ext xmlns:c16="http://schemas.microsoft.com/office/drawing/2014/chart" uri="{C3380CC4-5D6E-409C-BE32-E72D297353CC}">
              <c16:uniqueId val="{00000000-B79C-4F0E-9752-1746CF5FDBC9}"/>
            </c:ext>
          </c:extLst>
        </c:ser>
        <c:ser>
          <c:idx val="2"/>
          <c:order val="2"/>
          <c:tx>
            <c:strRef>
              <c:f>Sheet1!$D$1</c:f>
              <c:strCache>
                <c:ptCount val="1"/>
                <c:pt idx="0">
                  <c:v>Մասնավոր ներդրումներ</c:v>
                </c:pt>
              </c:strCache>
            </c:strRef>
          </c:tx>
          <c:spPr>
            <a:solidFill>
              <a:schemeClr val="accent3"/>
            </a:solidFill>
            <a:ln>
              <a:noFill/>
            </a:ln>
            <a:effectLst/>
          </c:spPr>
          <c:invertIfNegative val="0"/>
          <c:cat>
            <c:numRef>
              <c:f>Sheet1!$A$2:$A$10</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Sheet1!$D$2:$D$10</c:f>
              <c:numCache>
                <c:formatCode>0.0</c:formatCode>
                <c:ptCount val="9"/>
                <c:pt idx="0">
                  <c:v>14.056635400770128</c:v>
                </c:pt>
                <c:pt idx="1">
                  <c:v>13.054853881708823</c:v>
                </c:pt>
                <c:pt idx="2">
                  <c:v>13.169376001610949</c:v>
                </c:pt>
                <c:pt idx="3">
                  <c:v>13.175318183179986</c:v>
                </c:pt>
                <c:pt idx="4">
                  <c:v>12.941582379743554</c:v>
                </c:pt>
                <c:pt idx="5">
                  <c:v>13.629756263015333</c:v>
                </c:pt>
                <c:pt idx="6">
                  <c:v>14.139279861632728</c:v>
                </c:pt>
                <c:pt idx="7">
                  <c:v>14.591401512116553</c:v>
                </c:pt>
                <c:pt idx="8">
                  <c:v>14.856062334841742</c:v>
                </c:pt>
              </c:numCache>
            </c:numRef>
          </c:val>
          <c:extLst>
            <c:ext xmlns:c16="http://schemas.microsoft.com/office/drawing/2014/chart" uri="{C3380CC4-5D6E-409C-BE32-E72D297353CC}">
              <c16:uniqueId val="{00000001-B79C-4F0E-9752-1746CF5FDBC9}"/>
            </c:ext>
          </c:extLst>
        </c:ser>
        <c:dLbls>
          <c:showLegendKey val="0"/>
          <c:showVal val="0"/>
          <c:showCatName val="0"/>
          <c:showSerName val="0"/>
          <c:showPercent val="0"/>
          <c:showBubbleSize val="0"/>
        </c:dLbls>
        <c:gapWidth val="219"/>
        <c:overlap val="100"/>
        <c:axId val="134571904"/>
        <c:axId val="134573440"/>
      </c:barChart>
      <c:lineChart>
        <c:grouping val="standard"/>
        <c:varyColors val="0"/>
        <c:ser>
          <c:idx val="0"/>
          <c:order val="0"/>
          <c:tx>
            <c:strRef>
              <c:f>Sheet1!$B$1</c:f>
              <c:strCache>
                <c:ptCount val="1"/>
                <c:pt idx="0">
                  <c:v>Ընդհանուր ներդրումներ</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6458982346832812E-2"/>
                  <c:y val="-4.978220286247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79C-4F0E-9752-1746CF5FDBC9}"/>
                </c:ext>
              </c:extLst>
            </c:dLbl>
            <c:dLbl>
              <c:idx val="1"/>
              <c:layout>
                <c:manualLayout>
                  <c:x val="-5.39979231568017E-2"/>
                  <c:y val="-4.978220286247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79C-4F0E-9752-1746CF5FDBC9}"/>
                </c:ext>
              </c:extLst>
            </c:dLbl>
            <c:dLbl>
              <c:idx val="2"/>
              <c:layout>
                <c:manualLayout>
                  <c:x val="-5.39979231568017E-2"/>
                  <c:y val="-4.978220286247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79C-4F0E-9752-1746CF5FDBC9}"/>
                </c:ext>
              </c:extLst>
            </c:dLbl>
            <c:dLbl>
              <c:idx val="3"/>
              <c:layout>
                <c:manualLayout>
                  <c:x val="-6.6458982346832812E-2"/>
                  <c:y val="-4.978220286247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79C-4F0E-9752-1746CF5FDBC9}"/>
                </c:ext>
              </c:extLst>
            </c:dLbl>
            <c:dLbl>
              <c:idx val="4"/>
              <c:layout>
                <c:manualLayout>
                  <c:x val="-6.6458982346832812E-2"/>
                  <c:y val="-4.97822028624766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79C-4F0E-9752-1746CF5FDBC9}"/>
                </c:ext>
              </c:extLst>
            </c:dLbl>
            <c:dLbl>
              <c:idx val="5"/>
              <c:layout>
                <c:manualLayout>
                  <c:x val="-5.3997923156801658E-2"/>
                  <c:y val="-3.73366521468574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79C-4F0E-9752-1746CF5FDBC9}"/>
                </c:ext>
              </c:extLst>
            </c:dLbl>
            <c:dLbl>
              <c:idx val="6"/>
              <c:layout>
                <c:manualLayout>
                  <c:x val="-6.6458982346832896E-2"/>
                  <c:y val="-3.73366521468574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79C-4F0E-9752-1746CF5FDBC9}"/>
                </c:ext>
              </c:extLst>
            </c:dLbl>
            <c:dLbl>
              <c:idx val="7"/>
              <c:layout>
                <c:manualLayout>
                  <c:x val="-5.8151609553478867E-2"/>
                  <c:y val="-4.978220286247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79C-4F0E-9752-1746CF5FDBC9}"/>
                </c:ext>
              </c:extLst>
            </c:dLbl>
            <c:dLbl>
              <c:idx val="8"/>
              <c:layout>
                <c:manualLayout>
                  <c:x val="-2.4922118380062457E-2"/>
                  <c:y val="-4.355942750466709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79C-4F0E-9752-1746CF5FDB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Sheet1!$B$2:$B$10</c:f>
              <c:numCache>
                <c:formatCode>0.0</c:formatCode>
                <c:ptCount val="9"/>
                <c:pt idx="0">
                  <c:v>16.740910872517407</c:v>
                </c:pt>
                <c:pt idx="1">
                  <c:v>15.815598431976854</c:v>
                </c:pt>
                <c:pt idx="2">
                  <c:v>16.571815993690105</c:v>
                </c:pt>
                <c:pt idx="3">
                  <c:v>16.540871389335599</c:v>
                </c:pt>
                <c:pt idx="4">
                  <c:v>17.74113160680605</c:v>
                </c:pt>
                <c:pt idx="5">
                  <c:v>18.563487963583363</c:v>
                </c:pt>
                <c:pt idx="6">
                  <c:v>19.439279861632738</c:v>
                </c:pt>
                <c:pt idx="7">
                  <c:v>20.391401512116563</c:v>
                </c:pt>
                <c:pt idx="8">
                  <c:v>21.456062334841754</c:v>
                </c:pt>
              </c:numCache>
            </c:numRef>
          </c:val>
          <c:smooth val="0"/>
          <c:extLst>
            <c:ext xmlns:c16="http://schemas.microsoft.com/office/drawing/2014/chart" uri="{C3380CC4-5D6E-409C-BE32-E72D297353CC}">
              <c16:uniqueId val="{0000000B-B79C-4F0E-9752-1746CF5FDBC9}"/>
            </c:ext>
          </c:extLst>
        </c:ser>
        <c:dLbls>
          <c:showLegendKey val="0"/>
          <c:showVal val="0"/>
          <c:showCatName val="0"/>
          <c:showSerName val="0"/>
          <c:showPercent val="0"/>
          <c:showBubbleSize val="0"/>
        </c:dLbls>
        <c:marker val="1"/>
        <c:smooth val="0"/>
        <c:axId val="134571904"/>
        <c:axId val="134573440"/>
      </c:lineChart>
      <c:catAx>
        <c:axId val="13457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34573440"/>
        <c:crosses val="autoZero"/>
        <c:auto val="1"/>
        <c:lblAlgn val="ctr"/>
        <c:lblOffset val="100"/>
        <c:noMultiLvlLbl val="0"/>
      </c:catAx>
      <c:valAx>
        <c:axId val="134573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34571904"/>
        <c:crosses val="autoZero"/>
        <c:crossBetween val="between"/>
      </c:valAx>
      <c:spPr>
        <a:noFill/>
        <a:ln>
          <a:noFill/>
        </a:ln>
        <a:effectLst/>
      </c:spPr>
    </c:plotArea>
    <c:legend>
      <c:legendPos val="b"/>
      <c:layout>
        <c:manualLayout>
          <c:xMode val="edge"/>
          <c:yMode val="edge"/>
          <c:x val="3.9626168224299062E-2"/>
          <c:y val="0.76709130465155739"/>
          <c:w val="0.93736240913810998"/>
          <c:h val="0.1955719888626089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y-AM" sz="1200" dirty="0"/>
              <a:t>Իրական</a:t>
            </a:r>
            <a:r>
              <a:rPr lang="hy-AM" sz="1200" baseline="0" dirty="0"/>
              <a:t> աճեր</a:t>
            </a:r>
            <a:endParaRPr lang="en-US" sz="1200" dirty="0"/>
          </a:p>
        </c:rich>
      </c:tx>
      <c:layout>
        <c:manualLayout>
          <c:xMode val="edge"/>
          <c:yMode val="edge"/>
          <c:x val="0.28587681600429754"/>
          <c:y val="0"/>
        </c:manualLayout>
      </c:layout>
      <c:overlay val="0"/>
    </c:title>
    <c:autoTitleDeleted val="0"/>
    <c:plotArea>
      <c:layout>
        <c:manualLayout>
          <c:layoutTarget val="inner"/>
          <c:xMode val="edge"/>
          <c:yMode val="edge"/>
          <c:x val="0.19814498975890502"/>
          <c:y val="2.3346912562447846E-2"/>
          <c:w val="0.75046825626633318"/>
          <c:h val="0.78231284772159171"/>
        </c:manualLayout>
      </c:layout>
      <c:lineChart>
        <c:grouping val="standard"/>
        <c:varyColors val="0"/>
        <c:ser>
          <c:idx val="0"/>
          <c:order val="0"/>
          <c:tx>
            <c:strRef>
              <c:f>Sheet1!$B$1</c:f>
              <c:strCache>
                <c:ptCount val="1"/>
                <c:pt idx="0">
                  <c:v>Ապրանքների արտահանում</c:v>
                </c:pt>
              </c:strCache>
            </c:strRef>
          </c:tx>
          <c:spPr>
            <a:ln>
              <a:solidFill>
                <a:srgbClr val="FF0000"/>
              </a:solidFill>
            </a:ln>
            <a:effectLst/>
          </c:spPr>
          <c:marker>
            <c:spPr>
              <a:solidFill>
                <a:srgbClr val="FF0000"/>
              </a:solidFill>
              <a:ln>
                <a:solidFill>
                  <a:srgbClr val="FF0000"/>
                </a:solidFill>
              </a:ln>
            </c:spPr>
          </c:marker>
          <c:dPt>
            <c:idx val="3"/>
            <c:bubble3D val="0"/>
            <c:spPr>
              <a:ln>
                <a:solidFill>
                  <a:srgbClr val="FF0000"/>
                </a:solidFill>
              </a:ln>
              <a:effectLst/>
            </c:spPr>
            <c:extLst>
              <c:ext xmlns:c16="http://schemas.microsoft.com/office/drawing/2014/chart" uri="{C3380CC4-5D6E-409C-BE32-E72D297353CC}">
                <c16:uniqueId val="{00000001-BD57-4D13-B26F-106F5109F9D3}"/>
              </c:ext>
            </c:extLst>
          </c:dPt>
          <c:dPt>
            <c:idx val="4"/>
            <c:bubble3D val="0"/>
            <c:spPr>
              <a:ln>
                <a:solidFill>
                  <a:srgbClr val="FF0000"/>
                </a:solidFill>
              </a:ln>
              <a:effectLst/>
            </c:spPr>
            <c:extLst>
              <c:ext xmlns:c16="http://schemas.microsoft.com/office/drawing/2014/chart" uri="{C3380CC4-5D6E-409C-BE32-E72D297353CC}">
                <c16:uniqueId val="{00000003-BD57-4D13-B26F-106F5109F9D3}"/>
              </c:ext>
            </c:extLst>
          </c:dPt>
          <c:dPt>
            <c:idx val="5"/>
            <c:bubble3D val="0"/>
            <c:spPr>
              <a:ln>
                <a:solidFill>
                  <a:srgbClr val="FF0000"/>
                </a:solidFill>
              </a:ln>
              <a:effectLst/>
            </c:spPr>
            <c:extLst>
              <c:ext xmlns:c16="http://schemas.microsoft.com/office/drawing/2014/chart" uri="{C3380CC4-5D6E-409C-BE32-E72D297353CC}">
                <c16:uniqueId val="{00000005-BD57-4D13-B26F-106F5109F9D3}"/>
              </c:ext>
            </c:extLst>
          </c:dPt>
          <c:dPt>
            <c:idx val="6"/>
            <c:bubble3D val="0"/>
            <c:spPr>
              <a:ln>
                <a:solidFill>
                  <a:srgbClr val="FF0000"/>
                </a:solidFill>
              </a:ln>
              <a:effectLst/>
            </c:spPr>
            <c:extLst>
              <c:ext xmlns:c16="http://schemas.microsoft.com/office/drawing/2014/chart" uri="{C3380CC4-5D6E-409C-BE32-E72D297353CC}">
                <c16:uniqueId val="{00000007-BD57-4D13-B26F-106F5109F9D3}"/>
              </c:ext>
            </c:extLst>
          </c:dPt>
          <c:dPt>
            <c:idx val="7"/>
            <c:bubble3D val="0"/>
            <c:spPr>
              <a:ln>
                <a:solidFill>
                  <a:srgbClr val="FF0000"/>
                </a:solidFill>
              </a:ln>
              <a:effectLst/>
            </c:spPr>
            <c:extLst>
              <c:ext xmlns:c16="http://schemas.microsoft.com/office/drawing/2014/chart" uri="{C3380CC4-5D6E-409C-BE32-E72D297353CC}">
                <c16:uniqueId val="{00000009-BD57-4D13-B26F-106F5109F9D3}"/>
              </c:ext>
            </c:extLst>
          </c:dPt>
          <c:dPt>
            <c:idx val="8"/>
            <c:bubble3D val="0"/>
            <c:spPr>
              <a:ln>
                <a:solidFill>
                  <a:srgbClr val="FF0000"/>
                </a:solidFill>
              </a:ln>
              <a:effectLst/>
            </c:spPr>
            <c:extLst>
              <c:ext xmlns:c16="http://schemas.microsoft.com/office/drawing/2014/chart" uri="{C3380CC4-5D6E-409C-BE32-E72D297353CC}">
                <c16:uniqueId val="{0000000B-BD57-4D13-B26F-106F5109F9D3}"/>
              </c:ext>
            </c:extLst>
          </c:dPt>
          <c:cat>
            <c:numRef>
              <c:f>Sheet1!$A$2:$A$15</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Sheet1!$B$2:$B$15</c:f>
              <c:numCache>
                <c:formatCode>#\,##0.0</c:formatCode>
                <c:ptCount val="9"/>
                <c:pt idx="0">
                  <c:v>7.5519347455409047</c:v>
                </c:pt>
                <c:pt idx="1">
                  <c:v>22.014993279206038</c:v>
                </c:pt>
                <c:pt idx="2">
                  <c:v>-19.48641102202366</c:v>
                </c:pt>
                <c:pt idx="3">
                  <c:v>6.304487977171064</c:v>
                </c:pt>
                <c:pt idx="4">
                  <c:v>22.565478522227238</c:v>
                </c:pt>
                <c:pt idx="5">
                  <c:v>14.285472250262359</c:v>
                </c:pt>
                <c:pt idx="6">
                  <c:v>15.189509371074905</c:v>
                </c:pt>
                <c:pt idx="7">
                  <c:v>15.1674910067306</c:v>
                </c:pt>
                <c:pt idx="8">
                  <c:v>15.167255394780028</c:v>
                </c:pt>
              </c:numCache>
            </c:numRef>
          </c:val>
          <c:smooth val="0"/>
          <c:extLst>
            <c:ext xmlns:c16="http://schemas.microsoft.com/office/drawing/2014/chart" uri="{C3380CC4-5D6E-409C-BE32-E72D297353CC}">
              <c16:uniqueId val="{0000000C-BD57-4D13-B26F-106F5109F9D3}"/>
            </c:ext>
          </c:extLst>
        </c:ser>
        <c:ser>
          <c:idx val="1"/>
          <c:order val="1"/>
          <c:tx>
            <c:strRef>
              <c:f>Sheet1!$C$1</c:f>
              <c:strCache>
                <c:ptCount val="1"/>
                <c:pt idx="0">
                  <c:v>Արդյունաբերություն</c:v>
                </c:pt>
              </c:strCache>
            </c:strRef>
          </c:tx>
          <c:spPr>
            <a:ln>
              <a:solidFill>
                <a:schemeClr val="accent1"/>
              </a:solidFill>
            </a:ln>
          </c:spPr>
          <c:marker>
            <c:symbol val="none"/>
          </c:marker>
          <c:cat>
            <c:numRef>
              <c:f>Sheet1!$A$2:$A$15</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Sheet1!$C$2:$C$15</c:f>
              <c:numCache>
                <c:formatCode>#\,##0.0</c:formatCode>
                <c:ptCount val="9"/>
                <c:pt idx="0">
                  <c:v>4.9062997459697897</c:v>
                </c:pt>
                <c:pt idx="1">
                  <c:v>11.943976209602184</c:v>
                </c:pt>
                <c:pt idx="2">
                  <c:v>-1.6983525774588202</c:v>
                </c:pt>
                <c:pt idx="3">
                  <c:v>4.9000000000000057</c:v>
                </c:pt>
                <c:pt idx="4">
                  <c:v>8.7000000000000028</c:v>
                </c:pt>
                <c:pt idx="5">
                  <c:v>8.2999999999999972</c:v>
                </c:pt>
                <c:pt idx="6">
                  <c:v>8.2000000000000028</c:v>
                </c:pt>
                <c:pt idx="7">
                  <c:v>8.2000000000000028</c:v>
                </c:pt>
                <c:pt idx="8">
                  <c:v>8.2399999999999949</c:v>
                </c:pt>
              </c:numCache>
            </c:numRef>
          </c:val>
          <c:smooth val="0"/>
          <c:extLst>
            <c:ext xmlns:c16="http://schemas.microsoft.com/office/drawing/2014/chart" uri="{C3380CC4-5D6E-409C-BE32-E72D297353CC}">
              <c16:uniqueId val="{0000000D-BD57-4D13-B26F-106F5109F9D3}"/>
            </c:ext>
          </c:extLst>
        </c:ser>
        <c:ser>
          <c:idx val="2"/>
          <c:order val="2"/>
          <c:tx>
            <c:strRef>
              <c:f>Sheet1!$D$1</c:f>
              <c:strCache>
                <c:ptCount val="1"/>
                <c:pt idx="0">
                  <c:v>Ապրանքների և ծառայությունների արտահանում</c:v>
                </c:pt>
              </c:strCache>
            </c:strRef>
          </c:tx>
          <c:spPr>
            <a:ln>
              <a:solidFill>
                <a:srgbClr val="00B050"/>
              </a:solidFill>
            </a:ln>
          </c:spPr>
          <c:marker>
            <c:symbol val="none"/>
          </c:marker>
          <c:cat>
            <c:numRef>
              <c:f>Sheet1!$A$2:$A$15</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Sheet1!$D$2:$D$15</c:f>
              <c:numCache>
                <c:formatCode>#\,##0.0</c:formatCode>
                <c:ptCount val="9"/>
                <c:pt idx="0">
                  <c:v>5</c:v>
                </c:pt>
                <c:pt idx="1">
                  <c:v>16</c:v>
                </c:pt>
                <c:pt idx="2">
                  <c:v>-32.400000000000006</c:v>
                </c:pt>
                <c:pt idx="3">
                  <c:v>6.9875263293627654</c:v>
                </c:pt>
                <c:pt idx="4">
                  <c:v>21.691712654094815</c:v>
                </c:pt>
                <c:pt idx="5">
                  <c:v>15.784790641515343</c:v>
                </c:pt>
                <c:pt idx="6">
                  <c:v>14.985987682387105</c:v>
                </c:pt>
                <c:pt idx="7">
                  <c:v>14.985535337360318</c:v>
                </c:pt>
                <c:pt idx="8">
                  <c:v>14.986038858380368</c:v>
                </c:pt>
              </c:numCache>
            </c:numRef>
          </c:val>
          <c:smooth val="0"/>
          <c:extLst>
            <c:ext xmlns:c16="http://schemas.microsoft.com/office/drawing/2014/chart" uri="{C3380CC4-5D6E-409C-BE32-E72D297353CC}">
              <c16:uniqueId val="{0000000E-BD57-4D13-B26F-106F5109F9D3}"/>
            </c:ext>
          </c:extLst>
        </c:ser>
        <c:dLbls>
          <c:showLegendKey val="0"/>
          <c:showVal val="0"/>
          <c:showCatName val="0"/>
          <c:showSerName val="0"/>
          <c:showPercent val="0"/>
          <c:showBubbleSize val="0"/>
        </c:dLbls>
        <c:marker val="1"/>
        <c:smooth val="0"/>
        <c:axId val="134089728"/>
        <c:axId val="134095616"/>
      </c:lineChart>
      <c:catAx>
        <c:axId val="134089728"/>
        <c:scaling>
          <c:orientation val="minMax"/>
        </c:scaling>
        <c:delete val="0"/>
        <c:axPos val="b"/>
        <c:numFmt formatCode="General" sourceLinked="1"/>
        <c:majorTickMark val="out"/>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34095616"/>
        <c:crosses val="autoZero"/>
        <c:auto val="1"/>
        <c:lblAlgn val="ctr"/>
        <c:lblOffset val="100"/>
        <c:noMultiLvlLbl val="0"/>
      </c:catAx>
      <c:valAx>
        <c:axId val="134095616"/>
        <c:scaling>
          <c:orientation val="minMax"/>
        </c:scaling>
        <c:delete val="0"/>
        <c:axPos val="l"/>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dirty="0"/>
                  <a:t>%</a:t>
                </a:r>
              </a:p>
            </c:rich>
          </c:tx>
          <c:layout/>
          <c:overlay val="0"/>
          <c:spPr>
            <a:noFill/>
            <a:ln>
              <a:noFill/>
            </a:ln>
            <a:effectLst/>
          </c:spPr>
        </c:title>
        <c:numFmt formatCode="#\,##0.0" sourceLinked="1"/>
        <c:majorTickMark val="out"/>
        <c:minorTickMark val="none"/>
        <c:tickLblPos val="nextTo"/>
        <c:spPr>
          <a:noFill/>
          <a:ln w="9525"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34089728"/>
        <c:crosses val="autoZero"/>
        <c:crossBetween val="between"/>
      </c:valAx>
      <c:spPr>
        <a:noFill/>
        <a:ln>
          <a:noFill/>
        </a:ln>
        <a:effectLst/>
      </c:spPr>
    </c:plotArea>
    <c:legend>
      <c:legendPos val="r"/>
      <c:layout>
        <c:manualLayout>
          <c:xMode val="edge"/>
          <c:yMode val="edge"/>
          <c:x val="9.3228029275796723E-2"/>
          <c:y val="0.80605711549505177"/>
          <c:w val="0.89329178263593179"/>
          <c:h val="0.16503220427236093"/>
        </c:manualLayout>
      </c:layout>
      <c:overlay val="0"/>
      <c:txPr>
        <a:bodyPr/>
        <a:lstStyle/>
        <a:p>
          <a:pPr>
            <a:defRPr sz="700"/>
          </a:pPr>
          <a:endParaRPr lang="en-US"/>
        </a:p>
      </c:txPr>
    </c:legend>
    <c:plotVisOnly val="1"/>
    <c:dispBlanksAs val="gap"/>
    <c:showDLblsOverMax val="0"/>
  </c:chart>
  <c:spPr>
    <a:noFill/>
    <a:ln>
      <a:solidFill>
        <a:schemeClr val="accent1"/>
      </a:solidFill>
    </a:ln>
    <a:effectLst/>
  </c:spPr>
  <c:txPr>
    <a:bodyPr/>
    <a:lstStyle/>
    <a:p>
      <a:pPr>
        <a:defRPr/>
      </a:pPr>
      <a:endParaRPr lang="en-US"/>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y-AM" sz="1200" dirty="0"/>
              <a:t>Կշիռը ՀՆԱ-ում</a:t>
            </a:r>
            <a:endParaRPr lang="en-US" sz="1200" dirty="0"/>
          </a:p>
        </c:rich>
      </c:tx>
      <c:layout>
        <c:manualLayout>
          <c:xMode val="edge"/>
          <c:yMode val="edge"/>
          <c:x val="0.37480442161685457"/>
          <c:y val="8.5491392632347299E-3"/>
        </c:manualLayout>
      </c:layout>
      <c:overlay val="0"/>
    </c:title>
    <c:autoTitleDeleted val="0"/>
    <c:plotArea>
      <c:layout>
        <c:manualLayout>
          <c:layoutTarget val="inner"/>
          <c:xMode val="edge"/>
          <c:yMode val="edge"/>
          <c:x val="0.16724849967553565"/>
          <c:y val="3.5998046614054244E-2"/>
          <c:w val="0.79580594717176545"/>
          <c:h val="0.73768511758877819"/>
        </c:manualLayout>
      </c:layout>
      <c:barChart>
        <c:barDir val="col"/>
        <c:grouping val="stacked"/>
        <c:varyColors val="0"/>
        <c:ser>
          <c:idx val="1"/>
          <c:order val="1"/>
          <c:tx>
            <c:strRef>
              <c:f>Sheet1!$C$1</c:f>
              <c:strCache>
                <c:ptCount val="1"/>
                <c:pt idx="0">
                  <c:v>  Ապրանքների արտահանում</c:v>
                </c:pt>
              </c:strCache>
            </c:strRef>
          </c:tx>
          <c:spPr>
            <a:solidFill>
              <a:schemeClr val="accent1">
                <a:lumMod val="75000"/>
              </a:schemeClr>
            </a:solidFill>
          </c:spPr>
          <c:invertIfNegative val="0"/>
          <c:cat>
            <c:numRef>
              <c:f>Sheet1!$A$2:$A$13</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Sheet1!$C$2:$C$13</c:f>
              <c:numCache>
                <c:formatCode>0.0</c:formatCode>
                <c:ptCount val="9"/>
                <c:pt idx="0">
                  <c:v>21.862148814491526</c:v>
                </c:pt>
                <c:pt idx="1">
                  <c:v>24.138756468583765</c:v>
                </c:pt>
                <c:pt idx="2">
                  <c:v>21.023385617495599</c:v>
                </c:pt>
                <c:pt idx="3">
                  <c:v>23.091735584930895</c:v>
                </c:pt>
                <c:pt idx="4">
                  <c:v>26.046992314322281</c:v>
                </c:pt>
                <c:pt idx="5">
                  <c:v>28.119216337543168</c:v>
                </c:pt>
                <c:pt idx="6">
                  <c:v>30.143494246093873</c:v>
                </c:pt>
                <c:pt idx="7">
                  <c:v>32.293847144167081</c:v>
                </c:pt>
                <c:pt idx="8">
                  <c:v>34.597274088828897</c:v>
                </c:pt>
              </c:numCache>
            </c:numRef>
          </c:val>
          <c:extLst>
            <c:ext xmlns:c16="http://schemas.microsoft.com/office/drawing/2014/chart" uri="{C3380CC4-5D6E-409C-BE32-E72D297353CC}">
              <c16:uniqueId val="{00000000-4B25-4EE4-BFCA-CD6EB4FE901A}"/>
            </c:ext>
          </c:extLst>
        </c:ser>
        <c:ser>
          <c:idx val="2"/>
          <c:order val="2"/>
          <c:tx>
            <c:strRef>
              <c:f>Sheet1!$D$1</c:f>
              <c:strCache>
                <c:ptCount val="1"/>
                <c:pt idx="0">
                  <c:v>Ծառայությունների արտահանում</c:v>
                </c:pt>
              </c:strCache>
            </c:strRef>
          </c:tx>
          <c:spPr>
            <a:solidFill>
              <a:srgbClr val="00B050"/>
            </a:solidFill>
          </c:spPr>
          <c:invertIfNegative val="0"/>
          <c:cat>
            <c:numRef>
              <c:f>Sheet1!$A$2:$A$13</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Sheet1!$D$2:$D$13</c:f>
              <c:numCache>
                <c:formatCode>0.0</c:formatCode>
                <c:ptCount val="9"/>
                <c:pt idx="0">
                  <c:v>17.805459701081439</c:v>
                </c:pt>
                <c:pt idx="1">
                  <c:v>17.846711074758701</c:v>
                </c:pt>
                <c:pt idx="2">
                  <c:v>8.7409127544549925</c:v>
                </c:pt>
                <c:pt idx="3">
                  <c:v>9.8109324139060163</c:v>
                </c:pt>
                <c:pt idx="4">
                  <c:v>10.801944290726681</c:v>
                </c:pt>
                <c:pt idx="5">
                  <c:v>12.183199343880776</c:v>
                </c:pt>
                <c:pt idx="6">
                  <c:v>12.983923047810265</c:v>
                </c:pt>
                <c:pt idx="7">
                  <c:v>13.837161210148587</c:v>
                </c:pt>
                <c:pt idx="8">
                  <c:v>14.74636105508047</c:v>
                </c:pt>
              </c:numCache>
            </c:numRef>
          </c:val>
          <c:extLst>
            <c:ext xmlns:c16="http://schemas.microsoft.com/office/drawing/2014/chart" uri="{C3380CC4-5D6E-409C-BE32-E72D297353CC}">
              <c16:uniqueId val="{00000001-4B25-4EE4-BFCA-CD6EB4FE901A}"/>
            </c:ext>
          </c:extLst>
        </c:ser>
        <c:dLbls>
          <c:showLegendKey val="0"/>
          <c:showVal val="0"/>
          <c:showCatName val="0"/>
          <c:showSerName val="0"/>
          <c:showPercent val="0"/>
          <c:showBubbleSize val="0"/>
        </c:dLbls>
        <c:gapWidth val="219"/>
        <c:overlap val="100"/>
        <c:axId val="134135168"/>
        <c:axId val="134136960"/>
      </c:barChart>
      <c:lineChart>
        <c:grouping val="standard"/>
        <c:varyColors val="0"/>
        <c:ser>
          <c:idx val="0"/>
          <c:order val="0"/>
          <c:tx>
            <c:strRef>
              <c:f>Sheet1!$B$1</c:f>
              <c:strCache>
                <c:ptCount val="1"/>
                <c:pt idx="0">
                  <c:v>  Ապրանքների և ծառայությունների արտահանում</c:v>
                </c:pt>
              </c:strCache>
            </c:strRef>
          </c:tx>
          <c:spPr>
            <a:ln>
              <a:solidFill>
                <a:srgbClr val="FF0000"/>
              </a:solidFill>
            </a:ln>
            <a:effectLst/>
          </c:spPr>
          <c:marker>
            <c:spPr>
              <a:solidFill>
                <a:srgbClr val="FF0000"/>
              </a:solidFill>
              <a:ln>
                <a:solidFill>
                  <a:srgbClr val="FF0000"/>
                </a:solidFill>
              </a:ln>
            </c:spPr>
          </c:marker>
          <c:dPt>
            <c:idx val="0"/>
            <c:bubble3D val="0"/>
            <c:spPr>
              <a:ln>
                <a:solidFill>
                  <a:srgbClr val="FF0000"/>
                </a:solidFill>
              </a:ln>
              <a:effectLst/>
            </c:spPr>
            <c:extLst>
              <c:ext xmlns:c16="http://schemas.microsoft.com/office/drawing/2014/chart" uri="{C3380CC4-5D6E-409C-BE32-E72D297353CC}">
                <c16:uniqueId val="{00000003-4B25-4EE4-BFCA-CD6EB4FE901A}"/>
              </c:ext>
            </c:extLst>
          </c:dPt>
          <c:dPt>
            <c:idx val="1"/>
            <c:bubble3D val="0"/>
            <c:extLst>
              <c:ext xmlns:c16="http://schemas.microsoft.com/office/drawing/2014/chart" uri="{C3380CC4-5D6E-409C-BE32-E72D297353CC}">
                <c16:uniqueId val="{00000004-4B25-4EE4-BFCA-CD6EB4FE901A}"/>
              </c:ext>
            </c:extLst>
          </c:dPt>
          <c:dPt>
            <c:idx val="2"/>
            <c:bubble3D val="0"/>
            <c:extLst>
              <c:ext xmlns:c16="http://schemas.microsoft.com/office/drawing/2014/chart" uri="{C3380CC4-5D6E-409C-BE32-E72D297353CC}">
                <c16:uniqueId val="{00000005-4B25-4EE4-BFCA-CD6EB4FE901A}"/>
              </c:ext>
            </c:extLst>
          </c:dPt>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Sheet1!$B$2:$B$13</c:f>
              <c:numCache>
                <c:formatCode>0.0</c:formatCode>
                <c:ptCount val="9"/>
                <c:pt idx="0">
                  <c:v>39.667608515572965</c:v>
                </c:pt>
                <c:pt idx="1">
                  <c:v>41.985467543342466</c:v>
                </c:pt>
                <c:pt idx="2">
                  <c:v>29.764298371950591</c:v>
                </c:pt>
                <c:pt idx="3">
                  <c:v>32.902667998836911</c:v>
                </c:pt>
                <c:pt idx="4">
                  <c:v>36.848936605048962</c:v>
                </c:pt>
                <c:pt idx="5">
                  <c:v>40.302415681423945</c:v>
                </c:pt>
                <c:pt idx="6">
                  <c:v>43.127417293904138</c:v>
                </c:pt>
                <c:pt idx="7">
                  <c:v>46.131008354315668</c:v>
                </c:pt>
                <c:pt idx="8">
                  <c:v>49.343635143909367</c:v>
                </c:pt>
              </c:numCache>
            </c:numRef>
          </c:val>
          <c:smooth val="0"/>
          <c:extLst>
            <c:ext xmlns:c16="http://schemas.microsoft.com/office/drawing/2014/chart" uri="{C3380CC4-5D6E-409C-BE32-E72D297353CC}">
              <c16:uniqueId val="{00000006-4B25-4EE4-BFCA-CD6EB4FE901A}"/>
            </c:ext>
          </c:extLst>
        </c:ser>
        <c:ser>
          <c:idx val="3"/>
          <c:order val="3"/>
          <c:tx>
            <c:strRef>
              <c:f>Sheet1!$E$1</c:f>
              <c:strCache>
                <c:ptCount val="1"/>
                <c:pt idx="0">
                  <c:v>Թիրախ</c:v>
                </c:pt>
              </c:strCache>
            </c:strRef>
          </c:tx>
          <c:spPr>
            <a:ln>
              <a:solidFill>
                <a:schemeClr val="tx1"/>
              </a:solidFill>
              <a:prstDash val="dash"/>
            </a:ln>
          </c:spPr>
          <c:marker>
            <c:symbol val="none"/>
          </c:marker>
          <c:cat>
            <c:numRef>
              <c:f>Sheet1!$A$2:$A$13</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Sheet1!$E$2:$E$13</c:f>
              <c:numCache>
                <c:formatCode>General</c:formatCode>
                <c:ptCount val="9"/>
                <c:pt idx="4" formatCode="0.0">
                  <c:v>49.343635143909367</c:v>
                </c:pt>
                <c:pt idx="5" formatCode="0.0">
                  <c:v>49.343635143909367</c:v>
                </c:pt>
                <c:pt idx="6" formatCode="0.0">
                  <c:v>49.343635143909367</c:v>
                </c:pt>
                <c:pt idx="7" formatCode="0.0">
                  <c:v>49.343635143909367</c:v>
                </c:pt>
                <c:pt idx="8" formatCode="0.0">
                  <c:v>49.343635143909367</c:v>
                </c:pt>
              </c:numCache>
            </c:numRef>
          </c:val>
          <c:smooth val="0"/>
          <c:extLst>
            <c:ext xmlns:c16="http://schemas.microsoft.com/office/drawing/2014/chart" uri="{C3380CC4-5D6E-409C-BE32-E72D297353CC}">
              <c16:uniqueId val="{00000007-4B25-4EE4-BFCA-CD6EB4FE901A}"/>
            </c:ext>
          </c:extLst>
        </c:ser>
        <c:dLbls>
          <c:showLegendKey val="0"/>
          <c:showVal val="0"/>
          <c:showCatName val="0"/>
          <c:showSerName val="0"/>
          <c:showPercent val="0"/>
          <c:showBubbleSize val="0"/>
        </c:dLbls>
        <c:marker val="1"/>
        <c:smooth val="0"/>
        <c:axId val="134135168"/>
        <c:axId val="134136960"/>
      </c:lineChart>
      <c:catAx>
        <c:axId val="134135168"/>
        <c:scaling>
          <c:orientation val="minMax"/>
        </c:scaling>
        <c:delete val="0"/>
        <c:axPos val="b"/>
        <c:numFmt formatCode="General"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134136960"/>
        <c:crosses val="autoZero"/>
        <c:auto val="1"/>
        <c:lblAlgn val="ctr"/>
        <c:lblOffset val="100"/>
        <c:noMultiLvlLbl val="0"/>
      </c:catAx>
      <c:valAx>
        <c:axId val="134136960"/>
        <c:scaling>
          <c:orientation val="minMax"/>
          <c:max val="56"/>
        </c:scaling>
        <c:delete val="0"/>
        <c:axPos val="l"/>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dirty="0"/>
                  <a:t>%</a:t>
                </a:r>
              </a:p>
            </c:rich>
          </c:tx>
          <c:layout/>
          <c:overlay val="0"/>
          <c:spPr>
            <a:noFill/>
            <a:ln>
              <a:noFill/>
            </a:ln>
            <a:effectLst/>
          </c:spPr>
        </c:title>
        <c:numFmt formatCode="0.0" sourceLinked="1"/>
        <c:majorTickMark val="none"/>
        <c:minorTickMark val="none"/>
        <c:tickLblPos val="nextTo"/>
        <c:spPr>
          <a:noFill/>
          <a:ln w="9525"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134135168"/>
        <c:crosses val="autoZero"/>
        <c:crossBetween val="between"/>
      </c:valAx>
      <c:spPr>
        <a:noFill/>
        <a:ln>
          <a:noFill/>
        </a:ln>
        <a:effectLst/>
      </c:spPr>
    </c:plotArea>
    <c:legend>
      <c:legendPos val="r"/>
      <c:legendEntry>
        <c:idx val="3"/>
        <c:delete val="1"/>
      </c:legendEntry>
      <c:layout>
        <c:manualLayout>
          <c:xMode val="edge"/>
          <c:yMode val="edge"/>
          <c:x val="7.1254507820668764E-2"/>
          <c:y val="0.84220094383897393"/>
          <c:w val="0.88288349509782194"/>
          <c:h val="0.13397266256453044"/>
        </c:manualLayout>
      </c:layout>
      <c:overlay val="0"/>
      <c:txPr>
        <a:bodyPr/>
        <a:lstStyle/>
        <a:p>
          <a:pPr>
            <a:defRPr sz="700"/>
          </a:pPr>
          <a:endParaRPr lang="en-US"/>
        </a:p>
      </c:txPr>
    </c:legend>
    <c:plotVisOnly val="1"/>
    <c:dispBlanksAs val="gap"/>
    <c:showDLblsOverMax val="0"/>
  </c:chart>
  <c:spPr>
    <a:noFill/>
    <a:ln>
      <a:solidFill>
        <a:schemeClr val="accent1"/>
      </a:solidFill>
    </a:ln>
    <a:effectLst/>
  </c:spPr>
  <c:txPr>
    <a:bodyPr/>
    <a:lstStyle/>
    <a:p>
      <a:pPr>
        <a:defRPr/>
      </a:pPr>
      <a:endParaRPr lang="en-US"/>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Կառավարության պարտք, % ՀՆԱ-ում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5.0012906851027952E-2"/>
                  <c:y val="-6.05118224502745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3E8-4E03-83CB-77CCDDD5ED7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Sheet1!$B$2:$B$10</c:f>
              <c:numCache>
                <c:formatCode>0.0</c:formatCode>
                <c:ptCount val="9"/>
                <c:pt idx="0">
                  <c:v>51.235639506393618</c:v>
                </c:pt>
                <c:pt idx="1">
                  <c:v>50.085896386249637</c:v>
                </c:pt>
                <c:pt idx="2">
                  <c:v>63.476258231461003</c:v>
                </c:pt>
                <c:pt idx="3">
                  <c:v>62.299070370467071</c:v>
                </c:pt>
                <c:pt idx="4">
                  <c:v>61.530749625836457</c:v>
                </c:pt>
                <c:pt idx="5">
                  <c:v>59.199870142868427</c:v>
                </c:pt>
                <c:pt idx="6">
                  <c:v>56.791337612384439</c:v>
                </c:pt>
                <c:pt idx="7">
                  <c:v>54.351875840149368</c:v>
                </c:pt>
                <c:pt idx="8">
                  <c:v>52.144390676734496</c:v>
                </c:pt>
              </c:numCache>
            </c:numRef>
          </c:val>
          <c:smooth val="0"/>
          <c:extLst>
            <c:ext xmlns:c16="http://schemas.microsoft.com/office/drawing/2014/chart" uri="{C3380CC4-5D6E-409C-BE32-E72D297353CC}">
              <c16:uniqueId val="{00000001-53E8-4E03-83CB-77CCDDD5ED75}"/>
            </c:ext>
          </c:extLst>
        </c:ser>
        <c:dLbls>
          <c:showLegendKey val="0"/>
          <c:showVal val="0"/>
          <c:showCatName val="0"/>
          <c:showSerName val="0"/>
          <c:showPercent val="0"/>
          <c:showBubbleSize val="0"/>
        </c:dLbls>
        <c:marker val="1"/>
        <c:smooth val="0"/>
        <c:axId val="144374784"/>
        <c:axId val="144392960"/>
      </c:lineChart>
      <c:lineChart>
        <c:grouping val="standard"/>
        <c:varyColors val="0"/>
        <c:ser>
          <c:idx val="1"/>
          <c:order val="1"/>
          <c:tx>
            <c:strRef>
              <c:f>Sheet1!$C$1</c:f>
              <c:strCache>
                <c:ptCount val="1"/>
                <c:pt idx="0">
                  <c:v>Պակասուրդ, % ՀՆԱ-ում  (աջ առանցք)</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3.7886220899812875E-2"/>
                  <c:y val="-4.195030969298394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3E8-4E03-83CB-77CCDDD5ED7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Sheet1!$C$2:$C$10</c:f>
              <c:numCache>
                <c:formatCode>0.0</c:formatCode>
                <c:ptCount val="9"/>
                <c:pt idx="0">
                  <c:v>1.7515672931246962</c:v>
                </c:pt>
                <c:pt idx="1">
                  <c:v>0.97754175944701427</c:v>
                </c:pt>
                <c:pt idx="2">
                  <c:v>5.4029424566760298</c:v>
                </c:pt>
                <c:pt idx="3">
                  <c:v>4.6331295036140752</c:v>
                </c:pt>
                <c:pt idx="4">
                  <c:v>3.1</c:v>
                </c:pt>
                <c:pt idx="5">
                  <c:v>3</c:v>
                </c:pt>
                <c:pt idx="6">
                  <c:v>2.8</c:v>
                </c:pt>
                <c:pt idx="7">
                  <c:v>2.5</c:v>
                </c:pt>
                <c:pt idx="8">
                  <c:v>2.5</c:v>
                </c:pt>
              </c:numCache>
            </c:numRef>
          </c:val>
          <c:smooth val="0"/>
          <c:extLst>
            <c:ext xmlns:c16="http://schemas.microsoft.com/office/drawing/2014/chart" uri="{C3380CC4-5D6E-409C-BE32-E72D297353CC}">
              <c16:uniqueId val="{00000003-53E8-4E03-83CB-77CCDDD5ED75}"/>
            </c:ext>
          </c:extLst>
        </c:ser>
        <c:dLbls>
          <c:showLegendKey val="0"/>
          <c:showVal val="0"/>
          <c:showCatName val="0"/>
          <c:showSerName val="0"/>
          <c:showPercent val="0"/>
          <c:showBubbleSize val="0"/>
        </c:dLbls>
        <c:marker val="1"/>
        <c:smooth val="0"/>
        <c:axId val="144404480"/>
        <c:axId val="144394496"/>
      </c:lineChart>
      <c:catAx>
        <c:axId val="14437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4392960"/>
        <c:crosses val="autoZero"/>
        <c:auto val="1"/>
        <c:lblAlgn val="ctr"/>
        <c:lblOffset val="100"/>
        <c:noMultiLvlLbl val="0"/>
      </c:catAx>
      <c:valAx>
        <c:axId val="144392960"/>
        <c:scaling>
          <c:orientation val="minMax"/>
          <c:min val="4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4374784"/>
        <c:crosses val="autoZero"/>
        <c:crossBetween val="between"/>
      </c:valAx>
      <c:valAx>
        <c:axId val="144394496"/>
        <c:scaling>
          <c:orientation val="minMax"/>
          <c:max val="10"/>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4404480"/>
        <c:crosses val="max"/>
        <c:crossBetween val="between"/>
      </c:valAx>
      <c:catAx>
        <c:axId val="144404480"/>
        <c:scaling>
          <c:orientation val="minMax"/>
        </c:scaling>
        <c:delete val="1"/>
        <c:axPos val="b"/>
        <c:numFmt formatCode="General" sourceLinked="1"/>
        <c:majorTickMark val="none"/>
        <c:minorTickMark val="none"/>
        <c:tickLblPos val="nextTo"/>
        <c:crossAx val="144394496"/>
        <c:crosses val="autoZero"/>
        <c:auto val="1"/>
        <c:lblAlgn val="ctr"/>
        <c:lblOffset val="100"/>
        <c:noMultiLvlLbl val="0"/>
      </c:catAx>
      <c:spPr>
        <a:noFill/>
        <a:ln>
          <a:noFill/>
        </a:ln>
        <a:effectLst/>
      </c:spPr>
    </c:plotArea>
    <c:legend>
      <c:legendPos val="b"/>
      <c:layout>
        <c:manualLayout>
          <c:xMode val="edge"/>
          <c:yMode val="edge"/>
          <c:x val="5.0000040853044249E-2"/>
          <c:y val="0.90758909270850519"/>
          <c:w val="0.89999991829391146"/>
          <c:h val="7.91804773025202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latin typeface="GHEA Grapalat" panose="02000506050000020003" pitchFamily="50" charset="0"/>
        </a:defRPr>
      </a:pPr>
      <a:endParaRPr lang="en-US"/>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36057777074967"/>
          <c:y val="4.7786268129590456E-2"/>
          <c:w val="0.68701162029146357"/>
          <c:h val="0.68218254896355779"/>
        </c:manualLayout>
      </c:layout>
      <c:barChart>
        <c:barDir val="col"/>
        <c:grouping val="clustered"/>
        <c:varyColors val="0"/>
        <c:ser>
          <c:idx val="1"/>
          <c:order val="0"/>
          <c:tx>
            <c:strRef>
              <c:f>Sheet1!$B$1</c:f>
              <c:strCache>
                <c:ptCount val="1"/>
                <c:pt idx="0">
                  <c:v>Հարկային եկամուտներ, մլրդ դրամ</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2020</c:v>
                </c:pt>
                <c:pt idx="1">
                  <c:v>2021</c:v>
                </c:pt>
                <c:pt idx="2">
                  <c:v>2022</c:v>
                </c:pt>
                <c:pt idx="3">
                  <c:v>2023</c:v>
                </c:pt>
                <c:pt idx="4">
                  <c:v>2024</c:v>
                </c:pt>
                <c:pt idx="5">
                  <c:v>2025</c:v>
                </c:pt>
                <c:pt idx="6">
                  <c:v>2026</c:v>
                </c:pt>
              </c:numCache>
            </c:numRef>
          </c:cat>
          <c:val>
            <c:numRef>
              <c:f>Sheet1!$B$2:$B$8</c:f>
              <c:numCache>
                <c:formatCode>0.0</c:formatCode>
                <c:ptCount val="7"/>
                <c:pt idx="0">
                  <c:v>1385.2054762</c:v>
                </c:pt>
                <c:pt idx="1">
                  <c:v>1540.4571544838022</c:v>
                </c:pt>
                <c:pt idx="2">
                  <c:v>1803.342002316341</c:v>
                </c:pt>
                <c:pt idx="3">
                  <c:v>2054.2731555501196</c:v>
                </c:pt>
                <c:pt idx="4">
                  <c:v>2358.3744079464323</c:v>
                </c:pt>
                <c:pt idx="5">
                  <c:v>2688.1240816603099</c:v>
                </c:pt>
                <c:pt idx="6">
                  <c:v>3062.2547989593299</c:v>
                </c:pt>
              </c:numCache>
            </c:numRef>
          </c:val>
          <c:extLst>
            <c:ext xmlns:c16="http://schemas.microsoft.com/office/drawing/2014/chart" uri="{C3380CC4-5D6E-409C-BE32-E72D297353CC}">
              <c16:uniqueId val="{00000000-722E-44AE-9A8A-2EC91F92923C}"/>
            </c:ext>
          </c:extLst>
        </c:ser>
        <c:dLbls>
          <c:showLegendKey val="0"/>
          <c:showVal val="0"/>
          <c:showCatName val="0"/>
          <c:showSerName val="0"/>
          <c:showPercent val="0"/>
          <c:showBubbleSize val="0"/>
        </c:dLbls>
        <c:gapWidth val="219"/>
        <c:axId val="144445440"/>
        <c:axId val="144446976"/>
      </c:barChart>
      <c:lineChart>
        <c:grouping val="standard"/>
        <c:varyColors val="0"/>
        <c:ser>
          <c:idx val="2"/>
          <c:order val="1"/>
          <c:tx>
            <c:strRef>
              <c:f>Sheet1!$C$1</c:f>
              <c:strCache>
                <c:ptCount val="1"/>
                <c:pt idx="0">
                  <c:v>Հարկային եկամուտներ, % ՀՆԱ-ում (աջ առանցք)</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2020</c:v>
                </c:pt>
                <c:pt idx="1">
                  <c:v>2021</c:v>
                </c:pt>
                <c:pt idx="2">
                  <c:v>2022</c:v>
                </c:pt>
                <c:pt idx="3">
                  <c:v>2023</c:v>
                </c:pt>
                <c:pt idx="4">
                  <c:v>2024</c:v>
                </c:pt>
                <c:pt idx="5">
                  <c:v>2025</c:v>
                </c:pt>
                <c:pt idx="6">
                  <c:v>2026</c:v>
                </c:pt>
              </c:numCache>
            </c:numRef>
          </c:cat>
          <c:val>
            <c:numRef>
              <c:f>Sheet1!$C$2:$C$8</c:f>
              <c:numCache>
                <c:formatCode>0.0</c:formatCode>
                <c:ptCount val="7"/>
                <c:pt idx="0">
                  <c:v>22.408294171143979</c:v>
                </c:pt>
                <c:pt idx="1">
                  <c:v>22.389740321190217</c:v>
                </c:pt>
                <c:pt idx="2">
                  <c:v>23.396795321153689</c:v>
                </c:pt>
                <c:pt idx="3">
                  <c:v>23.928925321153752</c:v>
                </c:pt>
                <c:pt idx="4">
                  <c:v>24.687105321153751</c:v>
                </c:pt>
                <c:pt idx="5">
                  <c:v>25.287105321153756</c:v>
                </c:pt>
                <c:pt idx="6">
                  <c:v>25.887105321153758</c:v>
                </c:pt>
              </c:numCache>
            </c:numRef>
          </c:val>
          <c:smooth val="0"/>
          <c:extLst>
            <c:ext xmlns:c16="http://schemas.microsoft.com/office/drawing/2014/chart" uri="{C3380CC4-5D6E-409C-BE32-E72D297353CC}">
              <c16:uniqueId val="{00000001-722E-44AE-9A8A-2EC91F92923C}"/>
            </c:ext>
          </c:extLst>
        </c:ser>
        <c:dLbls>
          <c:showLegendKey val="0"/>
          <c:showVal val="0"/>
          <c:showCatName val="0"/>
          <c:showSerName val="0"/>
          <c:showPercent val="0"/>
          <c:showBubbleSize val="0"/>
        </c:dLbls>
        <c:marker val="1"/>
        <c:smooth val="0"/>
        <c:axId val="144462592"/>
        <c:axId val="144448512"/>
      </c:lineChart>
      <c:catAx>
        <c:axId val="14444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4446976"/>
        <c:crosses val="autoZero"/>
        <c:auto val="1"/>
        <c:lblAlgn val="ctr"/>
        <c:lblOffset val="100"/>
        <c:noMultiLvlLbl val="0"/>
      </c:catAx>
      <c:valAx>
        <c:axId val="14444697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4445440"/>
        <c:crosses val="autoZero"/>
        <c:crossBetween val="between"/>
      </c:valAx>
      <c:valAx>
        <c:axId val="144448512"/>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4462592"/>
        <c:crosses val="max"/>
        <c:crossBetween val="between"/>
      </c:valAx>
      <c:catAx>
        <c:axId val="144462592"/>
        <c:scaling>
          <c:orientation val="minMax"/>
        </c:scaling>
        <c:delete val="1"/>
        <c:axPos val="b"/>
        <c:numFmt formatCode="General" sourceLinked="1"/>
        <c:majorTickMark val="none"/>
        <c:minorTickMark val="none"/>
        <c:tickLblPos val="nextTo"/>
        <c:crossAx val="144448512"/>
        <c:crosses val="autoZero"/>
        <c:auto val="1"/>
        <c:lblAlgn val="ctr"/>
        <c:lblOffset val="100"/>
        <c:noMultiLvlLbl val="0"/>
      </c:catAx>
      <c:spPr>
        <a:noFill/>
        <a:ln>
          <a:noFill/>
        </a:ln>
        <a:effectLst/>
      </c:spPr>
    </c:plotArea>
    <c:legend>
      <c:legendPos val="b"/>
      <c:layout>
        <c:manualLayout>
          <c:xMode val="edge"/>
          <c:yMode val="edge"/>
          <c:x val="9.9632772663012681E-2"/>
          <c:y val="0.80694299351194965"/>
          <c:w val="0.79288115391780012"/>
          <c:h val="0.193057006488050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latin typeface="GHEA Grapalat" panose="02000506050000020003" pitchFamily="50"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05234719560396"/>
          <c:y val="7.0512820512820512E-2"/>
          <c:w val="0.71293878587757176"/>
          <c:h val="0.63414496264890174"/>
        </c:manualLayout>
      </c:layout>
      <c:lineChart>
        <c:grouping val="standard"/>
        <c:varyColors val="0"/>
        <c:ser>
          <c:idx val="1"/>
          <c:order val="1"/>
          <c:tx>
            <c:strRef>
              <c:f>Sheet1!$C$1</c:f>
              <c:strCache>
                <c:ptCount val="1"/>
                <c:pt idx="0">
                  <c:v>Պղինձ</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Sheet1!$A$2:$A$8</c:f>
              <c:numCache>
                <c:formatCode>General</c:formatCode>
                <c:ptCount val="6"/>
                <c:pt idx="0">
                  <c:v>2018</c:v>
                </c:pt>
                <c:pt idx="1">
                  <c:v>2019</c:v>
                </c:pt>
                <c:pt idx="2">
                  <c:v>2020</c:v>
                </c:pt>
                <c:pt idx="3">
                  <c:v>2021</c:v>
                </c:pt>
                <c:pt idx="4">
                  <c:v>2022</c:v>
                </c:pt>
              </c:numCache>
            </c:numRef>
          </c:cat>
          <c:val>
            <c:numRef>
              <c:f>Sheet1!$C$2:$C$7</c:f>
              <c:numCache>
                <c:formatCode>0</c:formatCode>
                <c:ptCount val="5"/>
                <c:pt idx="0">
                  <c:v>6529.7983333333304</c:v>
                </c:pt>
                <c:pt idx="1">
                  <c:v>6010.1450000000004</c:v>
                </c:pt>
                <c:pt idx="2">
                  <c:v>6173.7708333333303</c:v>
                </c:pt>
                <c:pt idx="3">
                  <c:v>9686.0709999999999</c:v>
                </c:pt>
                <c:pt idx="4">
                  <c:v>9937.3160000000007</c:v>
                </c:pt>
              </c:numCache>
            </c:numRef>
          </c:val>
          <c:smooth val="0"/>
          <c:extLst>
            <c:ext xmlns:c16="http://schemas.microsoft.com/office/drawing/2014/chart" uri="{C3380CC4-5D6E-409C-BE32-E72D297353CC}">
              <c16:uniqueId val="{00000000-2260-4012-8DC5-208EDF6537E6}"/>
            </c:ext>
          </c:extLst>
        </c:ser>
        <c:dLbls>
          <c:showLegendKey val="0"/>
          <c:showVal val="0"/>
          <c:showCatName val="0"/>
          <c:showSerName val="0"/>
          <c:showPercent val="0"/>
          <c:showBubbleSize val="0"/>
        </c:dLbls>
        <c:marker val="1"/>
        <c:smooth val="0"/>
        <c:axId val="129568768"/>
        <c:axId val="129570688"/>
      </c:lineChart>
      <c:lineChart>
        <c:grouping val="standard"/>
        <c:varyColors val="0"/>
        <c:ser>
          <c:idx val="0"/>
          <c:order val="0"/>
          <c:tx>
            <c:strRef>
              <c:f>Sheet1!$B$1</c:f>
              <c:strCache>
                <c:ptCount val="1"/>
                <c:pt idx="0">
                  <c:v>Նավթ (աջ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Sheet1!$A$2:$A$8</c:f>
              <c:numCache>
                <c:formatCode>General</c:formatCode>
                <c:ptCount val="6"/>
                <c:pt idx="0">
                  <c:v>2018</c:v>
                </c:pt>
                <c:pt idx="1">
                  <c:v>2019</c:v>
                </c:pt>
                <c:pt idx="2">
                  <c:v>2020</c:v>
                </c:pt>
                <c:pt idx="3">
                  <c:v>2021</c:v>
                </c:pt>
                <c:pt idx="4">
                  <c:v>2022</c:v>
                </c:pt>
              </c:numCache>
            </c:numRef>
          </c:cat>
          <c:val>
            <c:numRef>
              <c:f>Sheet1!$B$2:$B$7</c:f>
              <c:numCache>
                <c:formatCode>0</c:formatCode>
                <c:ptCount val="5"/>
                <c:pt idx="0">
                  <c:v>71.071666666666701</c:v>
                </c:pt>
                <c:pt idx="1">
                  <c:v>64.031666666666695</c:v>
                </c:pt>
                <c:pt idx="2">
                  <c:v>42.3</c:v>
                </c:pt>
                <c:pt idx="3" formatCode="0.0">
                  <c:v>66.205600000000004</c:v>
                </c:pt>
                <c:pt idx="4" formatCode="0.0">
                  <c:v>64.278700000000001</c:v>
                </c:pt>
              </c:numCache>
            </c:numRef>
          </c:val>
          <c:smooth val="0"/>
          <c:extLst>
            <c:ext xmlns:c16="http://schemas.microsoft.com/office/drawing/2014/chart" uri="{C3380CC4-5D6E-409C-BE32-E72D297353CC}">
              <c16:uniqueId val="{00000001-2260-4012-8DC5-208EDF6537E6}"/>
            </c:ext>
          </c:extLst>
        </c:ser>
        <c:dLbls>
          <c:showLegendKey val="0"/>
          <c:showVal val="0"/>
          <c:showCatName val="0"/>
          <c:showSerName val="0"/>
          <c:showPercent val="0"/>
          <c:showBubbleSize val="0"/>
        </c:dLbls>
        <c:marker val="1"/>
        <c:smooth val="0"/>
        <c:axId val="129578880"/>
        <c:axId val="129576960"/>
      </c:lineChart>
      <c:catAx>
        <c:axId val="12956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70688"/>
        <c:crosses val="autoZero"/>
        <c:auto val="1"/>
        <c:lblAlgn val="ctr"/>
        <c:lblOffset val="100"/>
        <c:noMultiLvlLbl val="0"/>
      </c:catAx>
      <c:valAx>
        <c:axId val="129570688"/>
        <c:scaling>
          <c:orientation val="minMax"/>
          <c:min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0" i="0" baseline="0">
                    <a:effectLst/>
                  </a:rPr>
                  <a:t>($/mt) </a:t>
                </a:r>
                <a:endParaRPr lang="en-US" sz="900">
                  <a:effectLst/>
                </a:endParaRPr>
              </a:p>
            </c:rich>
          </c:tx>
          <c:layout>
            <c:manualLayout>
              <c:xMode val="edge"/>
              <c:yMode val="edge"/>
              <c:x val="1.9550342130987301E-3"/>
              <c:y val="0.28080027732382629"/>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68768"/>
        <c:crosses val="autoZero"/>
        <c:crossBetween val="between"/>
      </c:valAx>
      <c:valAx>
        <c:axId val="129576960"/>
        <c:scaling>
          <c:orientation val="minMax"/>
          <c:min val="3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($/bbl) </a:t>
                </a:r>
                <a:endParaRPr lang="en-US" sz="900">
                  <a:effectLst/>
                </a:endParaRPr>
              </a:p>
            </c:rich>
          </c:tx>
          <c:layout>
            <c:manualLayout>
              <c:xMode val="edge"/>
              <c:yMode val="edge"/>
              <c:x val="0.935609106263532"/>
              <c:y val="0.28816222491419341"/>
            </c:manualLayout>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78880"/>
        <c:crosses val="max"/>
        <c:crossBetween val="between"/>
      </c:valAx>
      <c:catAx>
        <c:axId val="129578880"/>
        <c:scaling>
          <c:orientation val="minMax"/>
        </c:scaling>
        <c:delete val="1"/>
        <c:axPos val="b"/>
        <c:numFmt formatCode="General" sourceLinked="1"/>
        <c:majorTickMark val="out"/>
        <c:minorTickMark val="none"/>
        <c:tickLblPos val="none"/>
        <c:crossAx val="12957696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451670936211975E-2"/>
          <c:y val="3.727085060510086E-2"/>
          <c:w val="0.88882984960790357"/>
          <c:h val="0.68744401999255056"/>
        </c:manualLayout>
      </c:layout>
      <c:lineChart>
        <c:grouping val="standard"/>
        <c:varyColors val="0"/>
        <c:ser>
          <c:idx val="0"/>
          <c:order val="0"/>
          <c:tx>
            <c:strRef>
              <c:f>Sheet1!$A$2</c:f>
              <c:strCache>
                <c:ptCount val="1"/>
                <c:pt idx="0">
                  <c:v>Ընթացիկ առաջնային ծախսեր</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2020</c:v>
                </c:pt>
                <c:pt idx="1">
                  <c:v>2021</c:v>
                </c:pt>
                <c:pt idx="2">
                  <c:v>2022</c:v>
                </c:pt>
                <c:pt idx="3">
                  <c:v>2023</c:v>
                </c:pt>
                <c:pt idx="4">
                  <c:v>2024</c:v>
                </c:pt>
                <c:pt idx="5">
                  <c:v>2025</c:v>
                </c:pt>
                <c:pt idx="6">
                  <c:v>2026</c:v>
                </c:pt>
              </c:strCache>
            </c:strRef>
          </c:cat>
          <c:val>
            <c:numRef>
              <c:f>Sheet1!$B$2:$H$2</c:f>
              <c:numCache>
                <c:formatCode>General</c:formatCode>
                <c:ptCount val="7"/>
                <c:pt idx="0">
                  <c:v>24.3</c:v>
                </c:pt>
                <c:pt idx="1">
                  <c:v>22.4</c:v>
                </c:pt>
                <c:pt idx="2">
                  <c:v>20.5</c:v>
                </c:pt>
                <c:pt idx="3">
                  <c:v>20.3</c:v>
                </c:pt>
                <c:pt idx="4">
                  <c:v>20.399999999999999</c:v>
                </c:pt>
                <c:pt idx="5">
                  <c:v>20.3</c:v>
                </c:pt>
                <c:pt idx="6">
                  <c:v>20.2</c:v>
                </c:pt>
              </c:numCache>
            </c:numRef>
          </c:val>
          <c:smooth val="0"/>
          <c:extLst>
            <c:ext xmlns:c16="http://schemas.microsoft.com/office/drawing/2014/chart" uri="{C3380CC4-5D6E-409C-BE32-E72D297353CC}">
              <c16:uniqueId val="{00000000-6BCB-4381-BAC2-2DC5C48DCC28}"/>
            </c:ext>
          </c:extLst>
        </c:ser>
        <c:ser>
          <c:idx val="1"/>
          <c:order val="1"/>
          <c:tx>
            <c:strRef>
              <c:f>Sheet1!$A$3</c:f>
              <c:strCache>
                <c:ptCount val="1"/>
                <c:pt idx="0">
                  <c:v>Կապիտալ ծախսեր</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2020</c:v>
                </c:pt>
                <c:pt idx="1">
                  <c:v>2021</c:v>
                </c:pt>
                <c:pt idx="2">
                  <c:v>2022</c:v>
                </c:pt>
                <c:pt idx="3">
                  <c:v>2023</c:v>
                </c:pt>
                <c:pt idx="4">
                  <c:v>2024</c:v>
                </c:pt>
                <c:pt idx="5">
                  <c:v>2025</c:v>
                </c:pt>
                <c:pt idx="6">
                  <c:v>2026</c:v>
                </c:pt>
              </c:strCache>
            </c:strRef>
          </c:cat>
          <c:val>
            <c:numRef>
              <c:f>Sheet1!$B$3:$H$3</c:f>
              <c:numCache>
                <c:formatCode>General</c:formatCode>
                <c:ptCount val="7"/>
                <c:pt idx="0">
                  <c:v>3.7</c:v>
                </c:pt>
                <c:pt idx="1">
                  <c:v>2.9</c:v>
                </c:pt>
                <c:pt idx="2">
                  <c:v>4.3</c:v>
                </c:pt>
                <c:pt idx="3">
                  <c:v>4.4000000000000004</c:v>
                </c:pt>
                <c:pt idx="4">
                  <c:v>4.8</c:v>
                </c:pt>
                <c:pt idx="5">
                  <c:v>5.3</c:v>
                </c:pt>
                <c:pt idx="6">
                  <c:v>6.1</c:v>
                </c:pt>
              </c:numCache>
            </c:numRef>
          </c:val>
          <c:smooth val="0"/>
          <c:extLst>
            <c:ext xmlns:c16="http://schemas.microsoft.com/office/drawing/2014/chart" uri="{C3380CC4-5D6E-409C-BE32-E72D297353CC}">
              <c16:uniqueId val="{00000001-6BCB-4381-BAC2-2DC5C48DCC28}"/>
            </c:ext>
          </c:extLst>
        </c:ser>
        <c:dLbls>
          <c:showLegendKey val="0"/>
          <c:showVal val="0"/>
          <c:showCatName val="0"/>
          <c:showSerName val="0"/>
          <c:showPercent val="0"/>
          <c:showBubbleSize val="0"/>
        </c:dLbls>
        <c:smooth val="0"/>
        <c:axId val="144538624"/>
        <c:axId val="144540416"/>
      </c:lineChart>
      <c:catAx>
        <c:axId val="14453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4540416"/>
        <c:crosses val="autoZero"/>
        <c:auto val="1"/>
        <c:lblAlgn val="ctr"/>
        <c:lblOffset val="100"/>
        <c:noMultiLvlLbl val="0"/>
      </c:catAx>
      <c:valAx>
        <c:axId val="1445404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4538624"/>
        <c:crosses val="autoZero"/>
        <c:crossBetween val="between"/>
      </c:valAx>
      <c:spPr>
        <a:noFill/>
        <a:ln>
          <a:noFill/>
        </a:ln>
        <a:effectLst/>
      </c:spPr>
    </c:plotArea>
    <c:legend>
      <c:legendPos val="b"/>
      <c:layout>
        <c:manualLayout>
          <c:xMode val="edge"/>
          <c:yMode val="edge"/>
          <c:x val="7.0550919642879031E-2"/>
          <c:y val="0.86359432793673063"/>
          <c:w val="0.81946663899553807"/>
          <c:h val="0.136405672063269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latin typeface="GHEA Grapalat" panose="02000506050000020003" pitchFamily="50" charset="0"/>
        </a:defRPr>
      </a:pPr>
      <a:endParaRPr lang="en-US"/>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90033979737642"/>
          <c:y val="6.6493995043935883E-2"/>
          <c:w val="0.86270095598017105"/>
          <c:h val="0.72872079514650834"/>
        </c:manualLayout>
      </c:layout>
      <c:barChart>
        <c:barDir val="col"/>
        <c:grouping val="stacked"/>
        <c:varyColors val="0"/>
        <c:ser>
          <c:idx val="1"/>
          <c:order val="1"/>
          <c:tx>
            <c:strRef>
              <c:f>Sheet1!$C$1</c:f>
              <c:strCache>
                <c:ptCount val="1"/>
                <c:pt idx="0">
                  <c:v>Զուտ հարկեր</c:v>
                </c:pt>
              </c:strCache>
            </c:strRef>
          </c:tx>
          <c:spPr>
            <a:solidFill>
              <a:schemeClr val="accent2"/>
            </a:solidFill>
            <a:ln>
              <a:noFill/>
            </a:ln>
            <a:effectLst/>
          </c:spPr>
          <c:invertIfNegative val="0"/>
          <c:cat>
            <c:strRef>
              <c:f>Sheet1!$A$2:$A$6</c:f>
              <c:strCache>
                <c:ptCount val="5"/>
                <c:pt idx="0">
                  <c:v>I եռ. -2020</c:v>
                </c:pt>
                <c:pt idx="1">
                  <c:v>I-II եռ. -2020</c:v>
                </c:pt>
                <c:pt idx="2">
                  <c:v>I-III եռ. -2020</c:v>
                </c:pt>
                <c:pt idx="3">
                  <c:v>I-IV եռ. -2020</c:v>
                </c:pt>
                <c:pt idx="4">
                  <c:v>I եռ. -2021</c:v>
                </c:pt>
              </c:strCache>
            </c:strRef>
          </c:cat>
          <c:val>
            <c:numRef>
              <c:f>Sheet1!$C$2:$C$6</c:f>
              <c:numCache>
                <c:formatCode>0.0</c:formatCode>
                <c:ptCount val="5"/>
                <c:pt idx="0">
                  <c:v>0.10513439319595831</c:v>
                </c:pt>
                <c:pt idx="1">
                  <c:v>-1.3395221221487805</c:v>
                </c:pt>
                <c:pt idx="2">
                  <c:v>-1.2439671159377241</c:v>
                </c:pt>
                <c:pt idx="3">
                  <c:v>-1.1492890620555209</c:v>
                </c:pt>
                <c:pt idx="4">
                  <c:v>-0.60592835516953336</c:v>
                </c:pt>
              </c:numCache>
            </c:numRef>
          </c:val>
          <c:extLst>
            <c:ext xmlns:c16="http://schemas.microsoft.com/office/drawing/2014/chart" uri="{C3380CC4-5D6E-409C-BE32-E72D297353CC}">
              <c16:uniqueId val="{00000000-5A54-4FA5-8CA7-325F64447F68}"/>
            </c:ext>
          </c:extLst>
        </c:ser>
        <c:ser>
          <c:idx val="2"/>
          <c:order val="2"/>
          <c:tx>
            <c:strRef>
              <c:f>Sheet1!$D$1</c:f>
              <c:strCache>
                <c:ptCount val="1"/>
                <c:pt idx="0">
                  <c:v>Արդյունաբերություն</c:v>
                </c:pt>
              </c:strCache>
            </c:strRef>
          </c:tx>
          <c:spPr>
            <a:solidFill>
              <a:schemeClr val="accent3"/>
            </a:solidFill>
            <a:ln>
              <a:noFill/>
            </a:ln>
            <a:effectLst/>
          </c:spPr>
          <c:invertIfNegative val="0"/>
          <c:cat>
            <c:strRef>
              <c:f>Sheet1!$A$2:$A$6</c:f>
              <c:strCache>
                <c:ptCount val="5"/>
                <c:pt idx="0">
                  <c:v>I եռ. -2020</c:v>
                </c:pt>
                <c:pt idx="1">
                  <c:v>I-II եռ. -2020</c:v>
                </c:pt>
                <c:pt idx="2">
                  <c:v>I-III եռ. -2020</c:v>
                </c:pt>
                <c:pt idx="3">
                  <c:v>I-IV եռ. -2020</c:v>
                </c:pt>
                <c:pt idx="4">
                  <c:v>I եռ. -2021</c:v>
                </c:pt>
              </c:strCache>
            </c:strRef>
          </c:cat>
          <c:val>
            <c:numRef>
              <c:f>Sheet1!$D$2:$D$6</c:f>
              <c:numCache>
                <c:formatCode>0.0</c:formatCode>
                <c:ptCount val="5"/>
                <c:pt idx="0">
                  <c:v>0.61375152498404462</c:v>
                </c:pt>
                <c:pt idx="1">
                  <c:v>-0.31986461436202185</c:v>
                </c:pt>
                <c:pt idx="2">
                  <c:v>-0.3814651100430656</c:v>
                </c:pt>
                <c:pt idx="3">
                  <c:v>-0.31349257135824771</c:v>
                </c:pt>
                <c:pt idx="4">
                  <c:v>-0.7230658472213114</c:v>
                </c:pt>
              </c:numCache>
            </c:numRef>
          </c:val>
          <c:extLst>
            <c:ext xmlns:c16="http://schemas.microsoft.com/office/drawing/2014/chart" uri="{C3380CC4-5D6E-409C-BE32-E72D297353CC}">
              <c16:uniqueId val="{00000001-5A54-4FA5-8CA7-325F64447F68}"/>
            </c:ext>
          </c:extLst>
        </c:ser>
        <c:ser>
          <c:idx val="3"/>
          <c:order val="3"/>
          <c:tx>
            <c:strRef>
              <c:f>Sheet1!$E$1</c:f>
              <c:strCache>
                <c:ptCount val="1"/>
                <c:pt idx="0">
                  <c:v>Գյուղատնտեսություն</c:v>
                </c:pt>
              </c:strCache>
            </c:strRef>
          </c:tx>
          <c:spPr>
            <a:solidFill>
              <a:schemeClr val="accent4"/>
            </a:solidFill>
            <a:ln>
              <a:noFill/>
            </a:ln>
            <a:effectLst/>
          </c:spPr>
          <c:invertIfNegative val="0"/>
          <c:cat>
            <c:strRef>
              <c:f>Sheet1!$A$2:$A$6</c:f>
              <c:strCache>
                <c:ptCount val="5"/>
                <c:pt idx="0">
                  <c:v>I եռ. -2020</c:v>
                </c:pt>
                <c:pt idx="1">
                  <c:v>I-II եռ. -2020</c:v>
                </c:pt>
                <c:pt idx="2">
                  <c:v>I-III եռ. -2020</c:v>
                </c:pt>
                <c:pt idx="3">
                  <c:v>I-IV եռ. -2020</c:v>
                </c:pt>
                <c:pt idx="4">
                  <c:v>I եռ. -2021</c:v>
                </c:pt>
              </c:strCache>
            </c:strRef>
          </c:cat>
          <c:val>
            <c:numRef>
              <c:f>Sheet1!$E$2:$E$6</c:f>
              <c:numCache>
                <c:formatCode>0.0</c:formatCode>
                <c:ptCount val="5"/>
                <c:pt idx="0">
                  <c:v>0.28597042474452383</c:v>
                </c:pt>
                <c:pt idx="1">
                  <c:v>0.13849542858424765</c:v>
                </c:pt>
                <c:pt idx="2">
                  <c:v>-0.19233652712748164</c:v>
                </c:pt>
                <c:pt idx="3">
                  <c:v>-0.47428700859768752</c:v>
                </c:pt>
                <c:pt idx="4">
                  <c:v>6.5639350520146272E-2</c:v>
                </c:pt>
              </c:numCache>
            </c:numRef>
          </c:val>
          <c:extLst>
            <c:ext xmlns:c16="http://schemas.microsoft.com/office/drawing/2014/chart" uri="{C3380CC4-5D6E-409C-BE32-E72D297353CC}">
              <c16:uniqueId val="{00000002-5A54-4FA5-8CA7-325F64447F68}"/>
            </c:ext>
          </c:extLst>
        </c:ser>
        <c:ser>
          <c:idx val="4"/>
          <c:order val="4"/>
          <c:tx>
            <c:strRef>
              <c:f>Sheet1!$F$1</c:f>
              <c:strCache>
                <c:ptCount val="1"/>
                <c:pt idx="0">
                  <c:v>Շինարարություն</c:v>
                </c:pt>
              </c:strCache>
            </c:strRef>
          </c:tx>
          <c:spPr>
            <a:solidFill>
              <a:schemeClr val="accent5"/>
            </a:solidFill>
            <a:ln>
              <a:noFill/>
            </a:ln>
            <a:effectLst/>
          </c:spPr>
          <c:invertIfNegative val="0"/>
          <c:cat>
            <c:strRef>
              <c:f>Sheet1!$A$2:$A$6</c:f>
              <c:strCache>
                <c:ptCount val="5"/>
                <c:pt idx="0">
                  <c:v>I եռ. -2020</c:v>
                </c:pt>
                <c:pt idx="1">
                  <c:v>I-II եռ. -2020</c:v>
                </c:pt>
                <c:pt idx="2">
                  <c:v>I-III եռ. -2020</c:v>
                </c:pt>
                <c:pt idx="3">
                  <c:v>I-IV եռ. -2020</c:v>
                </c:pt>
                <c:pt idx="4">
                  <c:v>I եռ. -2021</c:v>
                </c:pt>
              </c:strCache>
            </c:strRef>
          </c:cat>
          <c:val>
            <c:numRef>
              <c:f>Sheet1!$F$2:$F$6</c:f>
              <c:numCache>
                <c:formatCode>0.0</c:formatCode>
                <c:ptCount val="5"/>
                <c:pt idx="0">
                  <c:v>-0.52656625296272364</c:v>
                </c:pt>
                <c:pt idx="1">
                  <c:v>-1.4600274442612291</c:v>
                </c:pt>
                <c:pt idx="2">
                  <c:v>-1.104763552087904</c:v>
                </c:pt>
                <c:pt idx="3">
                  <c:v>-0.42846070196442121</c:v>
                </c:pt>
                <c:pt idx="4">
                  <c:v>0.11699841571084424</c:v>
                </c:pt>
              </c:numCache>
            </c:numRef>
          </c:val>
          <c:extLst>
            <c:ext xmlns:c16="http://schemas.microsoft.com/office/drawing/2014/chart" uri="{C3380CC4-5D6E-409C-BE32-E72D297353CC}">
              <c16:uniqueId val="{00000003-5A54-4FA5-8CA7-325F64447F68}"/>
            </c:ext>
          </c:extLst>
        </c:ser>
        <c:ser>
          <c:idx val="5"/>
          <c:order val="5"/>
          <c:tx>
            <c:strRef>
              <c:f>Sheet1!$G$1</c:f>
              <c:strCache>
                <c:ptCount val="1"/>
                <c:pt idx="0">
                  <c:v>Ծառայություններ</c:v>
                </c:pt>
              </c:strCache>
            </c:strRef>
          </c:tx>
          <c:spPr>
            <a:solidFill>
              <a:schemeClr val="accent6"/>
            </a:solidFill>
            <a:ln>
              <a:noFill/>
            </a:ln>
            <a:effectLst/>
          </c:spPr>
          <c:invertIfNegative val="0"/>
          <c:cat>
            <c:strRef>
              <c:f>Sheet1!$A$2:$A$6</c:f>
              <c:strCache>
                <c:ptCount val="5"/>
                <c:pt idx="0">
                  <c:v>I եռ. -2020</c:v>
                </c:pt>
                <c:pt idx="1">
                  <c:v>I-II եռ. -2020</c:v>
                </c:pt>
                <c:pt idx="2">
                  <c:v>I-III եռ. -2020</c:v>
                </c:pt>
                <c:pt idx="3">
                  <c:v>I-IV եռ. -2020</c:v>
                </c:pt>
                <c:pt idx="4">
                  <c:v>I եռ. -2021</c:v>
                </c:pt>
              </c:strCache>
            </c:strRef>
          </c:cat>
          <c:val>
            <c:numRef>
              <c:f>Sheet1!$G$2:$G$6</c:f>
              <c:numCache>
                <c:formatCode>0.0</c:formatCode>
                <c:ptCount val="5"/>
                <c:pt idx="0">
                  <c:v>3.7162969068174192</c:v>
                </c:pt>
                <c:pt idx="1">
                  <c:v>-2.5346965506532286</c:v>
                </c:pt>
                <c:pt idx="2">
                  <c:v>-3.9423436582872395</c:v>
                </c:pt>
                <c:pt idx="3">
                  <c:v>-5.0598792681469451</c:v>
                </c:pt>
                <c:pt idx="4">
                  <c:v>-2.1825354138815189</c:v>
                </c:pt>
              </c:numCache>
            </c:numRef>
          </c:val>
          <c:extLst>
            <c:ext xmlns:c16="http://schemas.microsoft.com/office/drawing/2014/chart" uri="{C3380CC4-5D6E-409C-BE32-E72D297353CC}">
              <c16:uniqueId val="{00000004-5A54-4FA5-8CA7-325F64447F68}"/>
            </c:ext>
          </c:extLst>
        </c:ser>
        <c:dLbls>
          <c:showLegendKey val="0"/>
          <c:showVal val="0"/>
          <c:showCatName val="0"/>
          <c:showSerName val="0"/>
          <c:showPercent val="0"/>
          <c:showBubbleSize val="0"/>
        </c:dLbls>
        <c:gapWidth val="219"/>
        <c:overlap val="100"/>
        <c:axId val="144628736"/>
        <c:axId val="144769792"/>
      </c:barChart>
      <c:lineChart>
        <c:grouping val="standard"/>
        <c:varyColors val="0"/>
        <c:ser>
          <c:idx val="0"/>
          <c:order val="0"/>
          <c:tx>
            <c:strRef>
              <c:f>Sheet1!$B$1</c:f>
              <c:strCache>
                <c:ptCount val="1"/>
                <c:pt idx="0">
                  <c:v>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5911489466957993E-2"/>
                  <c:y val="-4.54645714583347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A54-4FA5-8CA7-325F64447F68}"/>
                </c:ext>
              </c:extLst>
            </c:dLbl>
            <c:dLbl>
              <c:idx val="1"/>
              <c:layout>
                <c:manualLayout>
                  <c:x val="-5.5868409119017227E-2"/>
                  <c:y val="4.08167055045643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A54-4FA5-8CA7-325F64447F68}"/>
                </c:ext>
              </c:extLst>
            </c:dLbl>
            <c:dLbl>
              <c:idx val="2"/>
              <c:layout>
                <c:manualLayout>
                  <c:x val="-6.97180195407512E-2"/>
                  <c:y val="3.74207106769117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A54-4FA5-8CA7-325F64447F68}"/>
                </c:ext>
              </c:extLst>
            </c:dLbl>
            <c:dLbl>
              <c:idx val="3"/>
              <c:layout>
                <c:manualLayout>
                  <c:x val="-5.6629014305149106E-2"/>
                  <c:y val="3.16686255460517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A54-4FA5-8CA7-325F64447F68}"/>
                </c:ext>
              </c:extLst>
            </c:dLbl>
            <c:dLbl>
              <c:idx val="4"/>
              <c:layout>
                <c:manualLayout>
                  <c:x val="-4.2895178024212943E-2"/>
                  <c:y val="3.25722011236947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A54-4FA5-8CA7-325F64447F68}"/>
                </c:ext>
              </c:extLst>
            </c:dLbl>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 եռ. -2020</c:v>
                </c:pt>
                <c:pt idx="1">
                  <c:v>I-II եռ. -2020</c:v>
                </c:pt>
                <c:pt idx="2">
                  <c:v>I-III եռ. -2020</c:v>
                </c:pt>
                <c:pt idx="3">
                  <c:v>I-IV եռ. -2020</c:v>
                </c:pt>
                <c:pt idx="4">
                  <c:v>I եռ. -2021</c:v>
                </c:pt>
              </c:strCache>
            </c:strRef>
          </c:cat>
          <c:val>
            <c:numRef>
              <c:f>Sheet1!$B$2:$B$6</c:f>
              <c:numCache>
                <c:formatCode>0.0</c:formatCode>
                <c:ptCount val="5"/>
                <c:pt idx="0">
                  <c:v>4.194586996779222</c:v>
                </c:pt>
                <c:pt idx="1">
                  <c:v>-5.5156153028410131</c:v>
                </c:pt>
                <c:pt idx="2">
                  <c:v>-6.8648759634834144</c:v>
                </c:pt>
                <c:pt idx="3">
                  <c:v>-7.4254086121228227</c:v>
                </c:pt>
                <c:pt idx="4">
                  <c:v>-3.3288918500413729</c:v>
                </c:pt>
              </c:numCache>
            </c:numRef>
          </c:val>
          <c:smooth val="0"/>
          <c:extLst>
            <c:ext xmlns:c16="http://schemas.microsoft.com/office/drawing/2014/chart" uri="{C3380CC4-5D6E-409C-BE32-E72D297353CC}">
              <c16:uniqueId val="{0000000A-5A54-4FA5-8CA7-325F64447F68}"/>
            </c:ext>
          </c:extLst>
        </c:ser>
        <c:dLbls>
          <c:showLegendKey val="0"/>
          <c:showVal val="0"/>
          <c:showCatName val="0"/>
          <c:showSerName val="0"/>
          <c:showPercent val="0"/>
          <c:showBubbleSize val="0"/>
        </c:dLbls>
        <c:marker val="1"/>
        <c:smooth val="0"/>
        <c:axId val="144628736"/>
        <c:axId val="144769792"/>
      </c:lineChart>
      <c:catAx>
        <c:axId val="14462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144769792"/>
        <c:crosses val="autoZero"/>
        <c:auto val="1"/>
        <c:lblAlgn val="ctr"/>
        <c:lblOffset val="100"/>
        <c:noMultiLvlLbl val="0"/>
      </c:catAx>
      <c:valAx>
        <c:axId val="144769792"/>
        <c:scaling>
          <c:orientation val="minMax"/>
          <c:max val="5"/>
          <c:min val="-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144628736"/>
        <c:crosses val="autoZero"/>
        <c:crossBetween val="between"/>
        <c:majorUnit val="2"/>
        <c:minorUnit val="2"/>
      </c:valAx>
      <c:spPr>
        <a:noFill/>
        <a:ln>
          <a:noFill/>
        </a:ln>
        <a:effectLst/>
      </c:spPr>
    </c:plotArea>
    <c:legend>
      <c:legendPos val="b"/>
      <c:layout>
        <c:manualLayout>
          <c:xMode val="edge"/>
          <c:yMode val="edge"/>
          <c:x val="4.8648018769902046E-2"/>
          <c:y val="0.83925459317585294"/>
          <c:w val="0.95135189902732742"/>
          <c:h val="0.15626745406824169"/>
        </c:manualLayout>
      </c:layout>
      <c:overlay val="0"/>
      <c:spPr>
        <a:noFill/>
        <a:ln>
          <a:noFill/>
        </a:ln>
        <a:effectLst/>
      </c:spPr>
      <c:txPr>
        <a:bodyPr rot="0" vert="horz"/>
        <a:lstStyle/>
        <a:p>
          <a:pPr>
            <a:defRPr sz="6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rgbClr val="E7E6E6"/>
      </a:solidFill>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7611554748301"/>
          <c:y val="7.0365212113800715E-2"/>
          <c:w val="0.87260540551091115"/>
          <c:h val="0.65950464129861253"/>
        </c:manualLayout>
      </c:layout>
      <c:barChart>
        <c:barDir val="col"/>
        <c:grouping val="stacked"/>
        <c:varyColors val="0"/>
        <c:ser>
          <c:idx val="1"/>
          <c:order val="1"/>
          <c:tx>
            <c:strRef>
              <c:f>Sheet1!$C$1</c:f>
              <c:strCache>
                <c:ptCount val="1"/>
                <c:pt idx="0">
                  <c:v>Սպառում</c:v>
                </c:pt>
              </c:strCache>
            </c:strRef>
          </c:tx>
          <c:spPr>
            <a:solidFill>
              <a:schemeClr val="accent2"/>
            </a:solidFill>
            <a:ln>
              <a:noFill/>
            </a:ln>
            <a:effectLst/>
          </c:spPr>
          <c:invertIfNegative val="0"/>
          <c:cat>
            <c:strRef>
              <c:f>Sheet1!$A$2:$A$6</c:f>
              <c:strCache>
                <c:ptCount val="5"/>
                <c:pt idx="0">
                  <c:v>I եռ. -2020</c:v>
                </c:pt>
                <c:pt idx="1">
                  <c:v>I-II եռ. -2020</c:v>
                </c:pt>
                <c:pt idx="2">
                  <c:v>I-III եռ. -2020</c:v>
                </c:pt>
                <c:pt idx="3">
                  <c:v>I-IV եռ. -2020</c:v>
                </c:pt>
                <c:pt idx="4">
                  <c:v>I եռ. -2021</c:v>
                </c:pt>
              </c:strCache>
            </c:strRef>
          </c:cat>
          <c:val>
            <c:numRef>
              <c:f>Sheet1!$C$2:$C$6</c:f>
              <c:numCache>
                <c:formatCode>0.0</c:formatCode>
                <c:ptCount val="5"/>
                <c:pt idx="0">
                  <c:v>1.9182532030876893</c:v>
                </c:pt>
                <c:pt idx="1">
                  <c:v>-6.7118940924474257</c:v>
                </c:pt>
                <c:pt idx="2">
                  <c:v>-6.7161879233366655</c:v>
                </c:pt>
                <c:pt idx="3">
                  <c:v>-9.6621603376249023</c:v>
                </c:pt>
                <c:pt idx="4">
                  <c:v>-1.051751056489413</c:v>
                </c:pt>
              </c:numCache>
            </c:numRef>
          </c:val>
          <c:extLst>
            <c:ext xmlns:c16="http://schemas.microsoft.com/office/drawing/2014/chart" uri="{C3380CC4-5D6E-409C-BE32-E72D297353CC}">
              <c16:uniqueId val="{00000000-83B7-4344-8797-F2CBECF6E056}"/>
            </c:ext>
          </c:extLst>
        </c:ser>
        <c:ser>
          <c:idx val="2"/>
          <c:order val="2"/>
          <c:tx>
            <c:strRef>
              <c:f>Sheet1!$D$1</c:f>
              <c:strCache>
                <c:ptCount val="1"/>
                <c:pt idx="0">
                  <c:v>Հիմնական միջոցների համախառն կուտակում</c:v>
                </c:pt>
              </c:strCache>
            </c:strRef>
          </c:tx>
          <c:spPr>
            <a:solidFill>
              <a:schemeClr val="accent3"/>
            </a:solidFill>
            <a:ln>
              <a:noFill/>
            </a:ln>
            <a:effectLst/>
          </c:spPr>
          <c:invertIfNegative val="0"/>
          <c:cat>
            <c:strRef>
              <c:f>Sheet1!$A$2:$A$6</c:f>
              <c:strCache>
                <c:ptCount val="5"/>
                <c:pt idx="0">
                  <c:v>I եռ. -2020</c:v>
                </c:pt>
                <c:pt idx="1">
                  <c:v>I-II եռ. -2020</c:v>
                </c:pt>
                <c:pt idx="2">
                  <c:v>I-III եռ. -2020</c:v>
                </c:pt>
                <c:pt idx="3">
                  <c:v>I-IV եռ. -2020</c:v>
                </c:pt>
                <c:pt idx="4">
                  <c:v>I եռ. -2021</c:v>
                </c:pt>
              </c:strCache>
            </c:strRef>
          </c:cat>
          <c:val>
            <c:numRef>
              <c:f>Sheet1!$D$2:$D$6</c:f>
              <c:numCache>
                <c:formatCode>0.0</c:formatCode>
                <c:ptCount val="5"/>
                <c:pt idx="0">
                  <c:v>-0.81570423869976305</c:v>
                </c:pt>
                <c:pt idx="1">
                  <c:v>-2.4230908925865666</c:v>
                </c:pt>
                <c:pt idx="2">
                  <c:v>-1.9066487214759491</c:v>
                </c:pt>
                <c:pt idx="3">
                  <c:v>-1.3615586733604275</c:v>
                </c:pt>
                <c:pt idx="4">
                  <c:v>0.44598242734524018</c:v>
                </c:pt>
              </c:numCache>
            </c:numRef>
          </c:val>
          <c:extLst>
            <c:ext xmlns:c16="http://schemas.microsoft.com/office/drawing/2014/chart" uri="{C3380CC4-5D6E-409C-BE32-E72D297353CC}">
              <c16:uniqueId val="{00000001-83B7-4344-8797-F2CBECF6E056}"/>
            </c:ext>
          </c:extLst>
        </c:ser>
        <c:ser>
          <c:idx val="3"/>
          <c:order val="3"/>
          <c:tx>
            <c:strRef>
              <c:f>Sheet1!$E$1</c:f>
              <c:strCache>
                <c:ptCount val="1"/>
                <c:pt idx="0">
                  <c:v>Զուտ արտահանում</c:v>
                </c:pt>
              </c:strCache>
            </c:strRef>
          </c:tx>
          <c:spPr>
            <a:solidFill>
              <a:schemeClr val="accent4"/>
            </a:solidFill>
            <a:ln>
              <a:noFill/>
            </a:ln>
            <a:effectLst/>
          </c:spPr>
          <c:invertIfNegative val="0"/>
          <c:cat>
            <c:strRef>
              <c:f>Sheet1!$A$2:$A$6</c:f>
              <c:strCache>
                <c:ptCount val="5"/>
                <c:pt idx="0">
                  <c:v>I եռ. -2020</c:v>
                </c:pt>
                <c:pt idx="1">
                  <c:v>I-II եռ. -2020</c:v>
                </c:pt>
                <c:pt idx="2">
                  <c:v>I-III եռ. -2020</c:v>
                </c:pt>
                <c:pt idx="3">
                  <c:v>I-IV եռ. -2020</c:v>
                </c:pt>
                <c:pt idx="4">
                  <c:v>I եռ. -2021</c:v>
                </c:pt>
              </c:strCache>
            </c:strRef>
          </c:cat>
          <c:val>
            <c:numRef>
              <c:f>Sheet1!$E$2:$E$6</c:f>
              <c:numCache>
                <c:formatCode>0.0</c:formatCode>
                <c:ptCount val="5"/>
                <c:pt idx="0">
                  <c:v>4.2554870673089269</c:v>
                </c:pt>
                <c:pt idx="1">
                  <c:v>4.026472846402525</c:v>
                </c:pt>
                <c:pt idx="2">
                  <c:v>1.5778759157337081</c:v>
                </c:pt>
                <c:pt idx="3">
                  <c:v>3.9349455892546317</c:v>
                </c:pt>
                <c:pt idx="4">
                  <c:v>2.0699447743344273</c:v>
                </c:pt>
              </c:numCache>
            </c:numRef>
          </c:val>
          <c:extLst>
            <c:ext xmlns:c16="http://schemas.microsoft.com/office/drawing/2014/chart" uri="{C3380CC4-5D6E-409C-BE32-E72D297353CC}">
              <c16:uniqueId val="{00000002-83B7-4344-8797-F2CBECF6E056}"/>
            </c:ext>
          </c:extLst>
        </c:ser>
        <c:ser>
          <c:idx val="4"/>
          <c:order val="4"/>
          <c:tx>
            <c:strRef>
              <c:f>Sheet1!$F$1</c:f>
              <c:strCache>
                <c:ptCount val="1"/>
                <c:pt idx="0">
                  <c:v>Վիճակագրական շեղում</c:v>
                </c:pt>
              </c:strCache>
            </c:strRef>
          </c:tx>
          <c:invertIfNegative val="0"/>
          <c:cat>
            <c:strRef>
              <c:f>Sheet1!$A$2:$A$6</c:f>
              <c:strCache>
                <c:ptCount val="5"/>
                <c:pt idx="0">
                  <c:v>I եռ. -2020</c:v>
                </c:pt>
                <c:pt idx="1">
                  <c:v>I-II եռ. -2020</c:v>
                </c:pt>
                <c:pt idx="2">
                  <c:v>I-III եռ. -2020</c:v>
                </c:pt>
                <c:pt idx="3">
                  <c:v>I-IV եռ. -2020</c:v>
                </c:pt>
                <c:pt idx="4">
                  <c:v>I եռ. -2021</c:v>
                </c:pt>
              </c:strCache>
            </c:strRef>
          </c:cat>
          <c:val>
            <c:numRef>
              <c:f>Sheet1!$F$2:$F$6</c:f>
              <c:numCache>
                <c:formatCode>0.0</c:formatCode>
                <c:ptCount val="5"/>
                <c:pt idx="0">
                  <c:v>-1.1563553594279323</c:v>
                </c:pt>
                <c:pt idx="1">
                  <c:v>-0.40741748571471792</c:v>
                </c:pt>
                <c:pt idx="2">
                  <c:v>0.17515463489607197</c:v>
                </c:pt>
                <c:pt idx="3">
                  <c:v>-0.34275310575446305</c:v>
                </c:pt>
                <c:pt idx="4">
                  <c:v>-4.7907890484160482</c:v>
                </c:pt>
              </c:numCache>
            </c:numRef>
          </c:val>
          <c:extLst>
            <c:ext xmlns:c16="http://schemas.microsoft.com/office/drawing/2014/chart" uri="{C3380CC4-5D6E-409C-BE32-E72D297353CC}">
              <c16:uniqueId val="{00000003-83B7-4344-8797-F2CBECF6E056}"/>
            </c:ext>
          </c:extLst>
        </c:ser>
        <c:dLbls>
          <c:showLegendKey val="0"/>
          <c:showVal val="0"/>
          <c:showCatName val="0"/>
          <c:showSerName val="0"/>
          <c:showPercent val="0"/>
          <c:showBubbleSize val="0"/>
        </c:dLbls>
        <c:gapWidth val="150"/>
        <c:overlap val="100"/>
        <c:axId val="144835328"/>
        <c:axId val="144836864"/>
      </c:barChart>
      <c:lineChart>
        <c:grouping val="standard"/>
        <c:varyColors val="0"/>
        <c:ser>
          <c:idx val="0"/>
          <c:order val="0"/>
          <c:tx>
            <c:strRef>
              <c:f>Sheet1!$B$1</c:f>
              <c:strCache>
                <c:ptCount val="1"/>
                <c:pt idx="0">
                  <c:v>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6713559905268911E-2"/>
                  <c:y val="-1.12278890074030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3B7-4344-8797-F2CBECF6E056}"/>
                </c:ext>
              </c:extLst>
            </c:dLbl>
            <c:dLbl>
              <c:idx val="1"/>
              <c:layout>
                <c:manualLayout>
                  <c:x val="-2.8601977027207442E-2"/>
                  <c:y val="-2.37722082295694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3B7-4344-8797-F2CBECF6E056}"/>
                </c:ext>
              </c:extLst>
            </c:dLbl>
            <c:dLbl>
              <c:idx val="2"/>
              <c:layout>
                <c:manualLayout>
                  <c:x val="-1.0981451868644954E-2"/>
                  <c:y val="-2.68921302869928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3B7-4344-8797-F2CBECF6E056}"/>
                </c:ext>
              </c:extLst>
            </c:dLbl>
            <c:dLbl>
              <c:idx val="3"/>
              <c:layout>
                <c:manualLayout>
                  <c:x val="-4.8242684317432332E-4"/>
                  <c:y val="1.33724656290267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3B7-4344-8797-F2CBECF6E056}"/>
                </c:ext>
              </c:extLst>
            </c:dLbl>
            <c:dLbl>
              <c:idx val="4"/>
              <c:layout>
                <c:manualLayout>
                  <c:x val="-3.4247582805362851E-2"/>
                  <c:y val="1.53159457311149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3B7-4344-8797-F2CBECF6E056}"/>
                </c:ext>
              </c:extLst>
            </c:dLbl>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 եռ. -2020</c:v>
                </c:pt>
                <c:pt idx="1">
                  <c:v>I-II եռ. -2020</c:v>
                </c:pt>
                <c:pt idx="2">
                  <c:v>I-III եռ. -2020</c:v>
                </c:pt>
                <c:pt idx="3">
                  <c:v>I-IV եռ. -2020</c:v>
                </c:pt>
                <c:pt idx="4">
                  <c:v>I եռ. -2021</c:v>
                </c:pt>
              </c:strCache>
            </c:strRef>
          </c:cat>
          <c:val>
            <c:numRef>
              <c:f>Sheet1!$B$2:$B$6</c:f>
              <c:numCache>
                <c:formatCode>0.0</c:formatCode>
                <c:ptCount val="5"/>
                <c:pt idx="0">
                  <c:v>4.2016806722689211</c:v>
                </c:pt>
                <c:pt idx="1">
                  <c:v>-5.5159296243461853</c:v>
                </c:pt>
                <c:pt idx="2">
                  <c:v>-6.8698060941828345</c:v>
                </c:pt>
                <c:pt idx="3">
                  <c:v>-7.4315265274851612</c:v>
                </c:pt>
                <c:pt idx="4">
                  <c:v>-3.3266129032257936</c:v>
                </c:pt>
              </c:numCache>
            </c:numRef>
          </c:val>
          <c:smooth val="0"/>
          <c:extLst>
            <c:ext xmlns:c16="http://schemas.microsoft.com/office/drawing/2014/chart" uri="{C3380CC4-5D6E-409C-BE32-E72D297353CC}">
              <c16:uniqueId val="{00000009-83B7-4344-8797-F2CBECF6E056}"/>
            </c:ext>
          </c:extLst>
        </c:ser>
        <c:dLbls>
          <c:showLegendKey val="0"/>
          <c:showVal val="0"/>
          <c:showCatName val="0"/>
          <c:showSerName val="0"/>
          <c:showPercent val="0"/>
          <c:showBubbleSize val="0"/>
        </c:dLbls>
        <c:marker val="1"/>
        <c:smooth val="0"/>
        <c:axId val="144835328"/>
        <c:axId val="144836864"/>
      </c:lineChart>
      <c:catAx>
        <c:axId val="14483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144836864"/>
        <c:crosses val="autoZero"/>
        <c:auto val="1"/>
        <c:lblAlgn val="ctr"/>
        <c:lblOffset val="100"/>
        <c:noMultiLvlLbl val="0"/>
      </c:catAx>
      <c:valAx>
        <c:axId val="144836864"/>
        <c:scaling>
          <c:orientation val="minMax"/>
          <c:max val="7"/>
          <c:min val="-1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sz="700"/>
            </a:pPr>
            <a:endParaRPr lang="en-US"/>
          </a:p>
        </c:txPr>
        <c:crossAx val="144835328"/>
        <c:crosses val="autoZero"/>
        <c:crossBetween val="between"/>
        <c:majorUnit val="3"/>
      </c:valAx>
      <c:spPr>
        <a:noFill/>
        <a:ln w="25400">
          <a:noFill/>
        </a:ln>
        <a:effectLst/>
      </c:spPr>
    </c:plotArea>
    <c:legend>
      <c:legendPos val="b"/>
      <c:layout>
        <c:manualLayout>
          <c:xMode val="edge"/>
          <c:yMode val="edge"/>
          <c:x val="0"/>
          <c:y val="0.76134644084071024"/>
          <c:w val="0.97208671538165703"/>
          <c:h val="0.23865355915928974"/>
        </c:manualLayout>
      </c:layout>
      <c:overlay val="0"/>
      <c:spPr>
        <a:noFill/>
        <a:ln>
          <a:noFill/>
        </a:ln>
        <a:effectLst/>
      </c:spPr>
      <c:txPr>
        <a:bodyPr rot="0" vert="horz"/>
        <a:lstStyle/>
        <a:p>
          <a:pPr>
            <a:defRPr sz="6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rgbClr val="E7E6E6"/>
      </a:solidFill>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0.13604805675441231"/>
          <c:w val="0.87658476118247253"/>
          <c:h val="0.52148264912506548"/>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Sheet1!$B$1:$F$1</c:f>
              <c:strCache>
                <c:ptCount val="5"/>
                <c:pt idx="0">
                  <c:v>հունվար</c:v>
                </c:pt>
                <c:pt idx="1">
                  <c:v>հունվար - փետրվար</c:v>
                </c:pt>
                <c:pt idx="2">
                  <c:v>հունվար - մարտ</c:v>
                </c:pt>
                <c:pt idx="3">
                  <c:v>հունվար - ապրիլ</c:v>
                </c:pt>
                <c:pt idx="4">
                  <c:v>հունվար - մայիս</c:v>
                </c:pt>
              </c:strCache>
            </c:strRef>
          </c:cat>
          <c:val>
            <c:numRef>
              <c:f>Sheet1!$B$3:$F$3</c:f>
              <c:numCache>
                <c:formatCode>0.0</c:formatCode>
                <c:ptCount val="5"/>
                <c:pt idx="0">
                  <c:v>-10.799999999999997</c:v>
                </c:pt>
                <c:pt idx="1">
                  <c:v>-7.9000000000000057</c:v>
                </c:pt>
                <c:pt idx="2">
                  <c:v>-3.9000000000000057</c:v>
                </c:pt>
                <c:pt idx="3">
                  <c:v>0.90000000000000568</c:v>
                </c:pt>
                <c:pt idx="4">
                  <c:v>2.2999999999999972</c:v>
                </c:pt>
              </c:numCache>
            </c:numRef>
          </c:val>
          <c:extLst>
            <c:ext xmlns:c16="http://schemas.microsoft.com/office/drawing/2014/chart" uri="{C3380CC4-5D6E-409C-BE32-E72D297353CC}">
              <c16:uniqueId val="{00000000-BEAD-4CE9-BECA-1CE0D9DDF650}"/>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Sheet1!$B$1:$F$1</c:f>
              <c:strCache>
                <c:ptCount val="5"/>
                <c:pt idx="0">
                  <c:v>հունվար</c:v>
                </c:pt>
                <c:pt idx="1">
                  <c:v>հունվար - փետրվար</c:v>
                </c:pt>
                <c:pt idx="2">
                  <c:v>հունվար - մարտ</c:v>
                </c:pt>
                <c:pt idx="3">
                  <c:v>հունվար - ապրիլ</c:v>
                </c:pt>
                <c:pt idx="4">
                  <c:v>հունվար - մայիս</c:v>
                </c:pt>
              </c:strCache>
            </c:strRef>
          </c:cat>
          <c:val>
            <c:numRef>
              <c:f>Sheet1!$B$4:$F$4</c:f>
              <c:numCache>
                <c:formatCode>0.0</c:formatCode>
                <c:ptCount val="5"/>
                <c:pt idx="0">
                  <c:v>0</c:v>
                </c:pt>
                <c:pt idx="1">
                  <c:v>0</c:v>
                </c:pt>
                <c:pt idx="2">
                  <c:v>-1</c:v>
                </c:pt>
                <c:pt idx="3">
                  <c:v>0</c:v>
                </c:pt>
                <c:pt idx="4">
                  <c:v>0</c:v>
                </c:pt>
              </c:numCache>
            </c:numRef>
          </c:val>
          <c:extLst>
            <c:ext xmlns:c16="http://schemas.microsoft.com/office/drawing/2014/chart" uri="{C3380CC4-5D6E-409C-BE32-E72D297353CC}">
              <c16:uniqueId val="{00000001-BEAD-4CE9-BECA-1CE0D9DDF650}"/>
            </c:ext>
          </c:extLst>
        </c:ser>
        <c:ser>
          <c:idx val="3"/>
          <c:order val="3"/>
          <c:tx>
            <c:strRef>
              <c:f>Sheet1!$A$5</c:f>
              <c:strCache>
                <c:ptCount val="1"/>
                <c:pt idx="0">
                  <c:v>շինարարություն</c:v>
                </c:pt>
              </c:strCache>
            </c:strRef>
          </c:tx>
          <c:spPr>
            <a:solidFill>
              <a:srgbClr val="9C5BCD"/>
            </a:solidFill>
            <a:ln>
              <a:solidFill>
                <a:srgbClr val="9C5BCD"/>
              </a:solidFill>
            </a:ln>
            <a:effectLst/>
          </c:spPr>
          <c:invertIfNegative val="0"/>
          <c:cat>
            <c:strRef>
              <c:f>Sheet1!$B$1:$F$1</c:f>
              <c:strCache>
                <c:ptCount val="5"/>
                <c:pt idx="0">
                  <c:v>հունվար</c:v>
                </c:pt>
                <c:pt idx="1">
                  <c:v>հունվար - փետրվար</c:v>
                </c:pt>
                <c:pt idx="2">
                  <c:v>հունվար - մարտ</c:v>
                </c:pt>
                <c:pt idx="3">
                  <c:v>հունվար - ապրիլ</c:v>
                </c:pt>
                <c:pt idx="4">
                  <c:v>հունվար - մայիս</c:v>
                </c:pt>
              </c:strCache>
            </c:strRef>
          </c:cat>
          <c:val>
            <c:numRef>
              <c:f>Sheet1!$B$5:$F$5</c:f>
              <c:numCache>
                <c:formatCode>0.0</c:formatCode>
                <c:ptCount val="5"/>
                <c:pt idx="0">
                  <c:v>0.79999999999999716</c:v>
                </c:pt>
                <c:pt idx="1">
                  <c:v>1</c:v>
                </c:pt>
                <c:pt idx="2">
                  <c:v>4.7000000000000028</c:v>
                </c:pt>
                <c:pt idx="3">
                  <c:v>20.299999999999997</c:v>
                </c:pt>
                <c:pt idx="4">
                  <c:v>14.299999999999997</c:v>
                </c:pt>
              </c:numCache>
            </c:numRef>
          </c:val>
          <c:extLst>
            <c:ext xmlns:c16="http://schemas.microsoft.com/office/drawing/2014/chart" uri="{C3380CC4-5D6E-409C-BE32-E72D297353CC}">
              <c16:uniqueId val="{00000002-BEAD-4CE9-BECA-1CE0D9DDF650}"/>
            </c:ext>
          </c:extLst>
        </c:ser>
        <c:ser>
          <c:idx val="4"/>
          <c:order val="4"/>
          <c:tx>
            <c:strRef>
              <c:f>Sheet1!$A$6</c:f>
              <c:strCache>
                <c:ptCount val="1"/>
                <c:pt idx="0">
                  <c:v>ծառայություններ</c:v>
                </c:pt>
              </c:strCache>
            </c:strRef>
          </c:tx>
          <c:spPr>
            <a:solidFill>
              <a:srgbClr val="00B0F0"/>
            </a:solidFill>
            <a:ln>
              <a:solidFill>
                <a:srgbClr val="00B0F0"/>
              </a:solidFill>
            </a:ln>
          </c:spPr>
          <c:invertIfNegative val="0"/>
          <c:cat>
            <c:strRef>
              <c:f>Sheet1!$B$1:$F$1</c:f>
              <c:strCache>
                <c:ptCount val="5"/>
                <c:pt idx="0">
                  <c:v>հունվար</c:v>
                </c:pt>
                <c:pt idx="1">
                  <c:v>հունվար - փետրվար</c:v>
                </c:pt>
                <c:pt idx="2">
                  <c:v>հունվար - մարտ</c:v>
                </c:pt>
                <c:pt idx="3">
                  <c:v>հունվար - ապրիլ</c:v>
                </c:pt>
                <c:pt idx="4">
                  <c:v>հունվար - մայիս</c:v>
                </c:pt>
              </c:strCache>
            </c:strRef>
          </c:cat>
          <c:val>
            <c:numRef>
              <c:f>Sheet1!$B$6:$F$6</c:f>
              <c:numCache>
                <c:formatCode>0.0</c:formatCode>
                <c:ptCount val="5"/>
                <c:pt idx="0">
                  <c:v>-12.599999999999994</c:v>
                </c:pt>
                <c:pt idx="1">
                  <c:v>-12.5</c:v>
                </c:pt>
                <c:pt idx="2">
                  <c:v>-8.0999999999999943</c:v>
                </c:pt>
                <c:pt idx="3">
                  <c:v>-2.9000000000000057</c:v>
                </c:pt>
                <c:pt idx="4">
                  <c:v>0.90000000000000568</c:v>
                </c:pt>
              </c:numCache>
            </c:numRef>
          </c:val>
          <c:extLst>
            <c:ext xmlns:c16="http://schemas.microsoft.com/office/drawing/2014/chart" uri="{C3380CC4-5D6E-409C-BE32-E72D297353CC}">
              <c16:uniqueId val="{00000003-BEAD-4CE9-BECA-1CE0D9DDF650}"/>
            </c:ext>
          </c:extLst>
        </c:ser>
        <c:ser>
          <c:idx val="5"/>
          <c:order val="5"/>
          <c:tx>
            <c:strRef>
              <c:f>Sheet1!$A$7</c:f>
              <c:strCache>
                <c:ptCount val="1"/>
                <c:pt idx="0">
                  <c:v>առևտուր</c:v>
                </c:pt>
              </c:strCache>
            </c:strRef>
          </c:tx>
          <c:spPr>
            <a:solidFill>
              <a:srgbClr val="ED7D31"/>
            </a:solidFill>
            <a:ln>
              <a:solidFill>
                <a:srgbClr val="ED7D31"/>
              </a:solidFill>
            </a:ln>
          </c:spPr>
          <c:invertIfNegative val="0"/>
          <c:cat>
            <c:strRef>
              <c:f>Sheet1!$B$1:$F$1</c:f>
              <c:strCache>
                <c:ptCount val="5"/>
                <c:pt idx="0">
                  <c:v>հունվար</c:v>
                </c:pt>
                <c:pt idx="1">
                  <c:v>հունվար - փետրվար</c:v>
                </c:pt>
                <c:pt idx="2">
                  <c:v>հունվար - մարտ</c:v>
                </c:pt>
                <c:pt idx="3">
                  <c:v>հունվար - ապրիլ</c:v>
                </c:pt>
                <c:pt idx="4">
                  <c:v>հունվար - մայիս</c:v>
                </c:pt>
              </c:strCache>
            </c:strRef>
          </c:cat>
          <c:val>
            <c:numRef>
              <c:f>Sheet1!$B$7:$F$7</c:f>
              <c:numCache>
                <c:formatCode>0.0</c:formatCode>
                <c:ptCount val="5"/>
                <c:pt idx="0">
                  <c:v>-14.200000000000003</c:v>
                </c:pt>
                <c:pt idx="1">
                  <c:v>-10.846408716233185</c:v>
                </c:pt>
                <c:pt idx="2">
                  <c:v>-5.5999999999999943</c:v>
                </c:pt>
                <c:pt idx="3">
                  <c:v>4.7999999999999972</c:v>
                </c:pt>
                <c:pt idx="4">
                  <c:v>7.4000000000000057</c:v>
                </c:pt>
              </c:numCache>
            </c:numRef>
          </c:val>
          <c:extLst>
            <c:ext xmlns:c16="http://schemas.microsoft.com/office/drawing/2014/chart" uri="{C3380CC4-5D6E-409C-BE32-E72D297353CC}">
              <c16:uniqueId val="{00000004-BEAD-4CE9-BECA-1CE0D9DDF650}"/>
            </c:ext>
          </c:extLst>
        </c:ser>
        <c:dLbls>
          <c:showLegendKey val="0"/>
          <c:showVal val="0"/>
          <c:showCatName val="0"/>
          <c:showSerName val="0"/>
          <c:showPercent val="0"/>
          <c:showBubbleSize val="0"/>
        </c:dLbls>
        <c:gapWidth val="150"/>
        <c:axId val="144941440"/>
        <c:axId val="144942976"/>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solidFill>
                <a:srgbClr val="4472C4">
                  <a:lumMod val="75000"/>
                </a:srgbClr>
              </a:solidFill>
              <a:ln>
                <a:solidFill>
                  <a:srgbClr val="4472C4">
                    <a:lumMod val="75000"/>
                  </a:srgbClr>
                </a:solidFill>
              </a:ln>
            </c:spPr>
          </c:marker>
          <c:dLbls>
            <c:dLbl>
              <c:idx val="0"/>
              <c:layout>
                <c:manualLayout>
                  <c:x val="-7.4340432891392097E-2"/>
                  <c:y val="-3.9567668246725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EAD-4CE9-BECA-1CE0D9DDF650}"/>
                </c:ext>
              </c:extLst>
            </c:dLbl>
            <c:dLbl>
              <c:idx val="1"/>
              <c:layout>
                <c:manualLayout>
                  <c:x val="-7.8465072719619125E-2"/>
                  <c:y val="-3.9567668246725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EAD-4CE9-BECA-1CE0D9DDF650}"/>
                </c:ext>
              </c:extLst>
            </c:dLbl>
            <c:dLbl>
              <c:idx val="2"/>
              <c:layout>
                <c:manualLayout>
                  <c:x val="-7.428136961537081E-2"/>
                  <c:y val="5.83411350802677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EAD-4CE9-BECA-1CE0D9DDF650}"/>
                </c:ext>
              </c:extLst>
            </c:dLbl>
            <c:dLbl>
              <c:idx val="3"/>
              <c:layout>
                <c:manualLayout>
                  <c:x val="-6.1868292157636798E-2"/>
                  <c:y val="-4.06014407773496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EAD-4CE9-BECA-1CE0D9DDF650}"/>
                </c:ext>
              </c:extLst>
            </c:dLbl>
            <c:dLbl>
              <c:idx val="4"/>
              <c:layout>
                <c:manualLayout>
                  <c:x val="-6.5992931985864117E-2"/>
                  <c:y val="-4.06014407773496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EAD-4CE9-BECA-1CE0D9DDF650}"/>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հունվար</c:v>
                </c:pt>
                <c:pt idx="1">
                  <c:v>հունվար - փետրվար</c:v>
                </c:pt>
                <c:pt idx="2">
                  <c:v>հունվար - մարտ</c:v>
                </c:pt>
                <c:pt idx="3">
                  <c:v>հունվար - ապրիլ</c:v>
                </c:pt>
                <c:pt idx="4">
                  <c:v>հունվար - մայիս</c:v>
                </c:pt>
              </c:strCache>
            </c:strRef>
          </c:cat>
          <c:val>
            <c:numRef>
              <c:f>Sheet1!$B$2:$F$2</c:f>
              <c:numCache>
                <c:formatCode>0.0</c:formatCode>
                <c:ptCount val="5"/>
                <c:pt idx="0">
                  <c:v>-8.421859138140988</c:v>
                </c:pt>
                <c:pt idx="1">
                  <c:v>-7.3041081778423944</c:v>
                </c:pt>
                <c:pt idx="2">
                  <c:v>-3.4808321102379125</c:v>
                </c:pt>
                <c:pt idx="3">
                  <c:v>2.6251520430518553</c:v>
                </c:pt>
                <c:pt idx="4">
                  <c:v>4.2999999999999972</c:v>
                </c:pt>
              </c:numCache>
            </c:numRef>
          </c:val>
          <c:smooth val="0"/>
          <c:extLst>
            <c:ext xmlns:c16="http://schemas.microsoft.com/office/drawing/2014/chart" uri="{C3380CC4-5D6E-409C-BE32-E72D297353CC}">
              <c16:uniqueId val="{0000000A-BEAD-4CE9-BECA-1CE0D9DDF650}"/>
            </c:ext>
          </c:extLst>
        </c:ser>
        <c:dLbls>
          <c:showLegendKey val="0"/>
          <c:showVal val="0"/>
          <c:showCatName val="0"/>
          <c:showSerName val="0"/>
          <c:showPercent val="0"/>
          <c:showBubbleSize val="0"/>
        </c:dLbls>
        <c:marker val="1"/>
        <c:smooth val="0"/>
        <c:axId val="144966784"/>
        <c:axId val="144944512"/>
      </c:lineChart>
      <c:catAx>
        <c:axId val="1449414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4942976"/>
        <c:crosses val="autoZero"/>
        <c:auto val="1"/>
        <c:lblAlgn val="ctr"/>
        <c:lblOffset val="100"/>
        <c:noMultiLvlLbl val="0"/>
      </c:catAx>
      <c:valAx>
        <c:axId val="144942976"/>
        <c:scaling>
          <c:orientation val="minMax"/>
          <c:max val="30"/>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4941440"/>
        <c:crosses val="autoZero"/>
        <c:crossBetween val="between"/>
      </c:valAx>
      <c:valAx>
        <c:axId val="144944512"/>
        <c:scaling>
          <c:orientation val="minMax"/>
        </c:scaling>
        <c:delete val="0"/>
        <c:axPos val="r"/>
        <c:numFmt formatCode="0.0" sourceLinked="1"/>
        <c:majorTickMark val="out"/>
        <c:minorTickMark val="none"/>
        <c:tickLblPos val="nextTo"/>
        <c:crossAx val="144966784"/>
        <c:crosses val="max"/>
        <c:crossBetween val="between"/>
      </c:valAx>
      <c:catAx>
        <c:axId val="144966784"/>
        <c:scaling>
          <c:orientation val="minMax"/>
        </c:scaling>
        <c:delete val="1"/>
        <c:axPos val="b"/>
        <c:numFmt formatCode="General" sourceLinked="1"/>
        <c:majorTickMark val="out"/>
        <c:minorTickMark val="none"/>
        <c:tickLblPos val="none"/>
        <c:crossAx val="144944512"/>
        <c:crosses val="autoZero"/>
        <c:auto val="1"/>
        <c:lblAlgn val="ctr"/>
        <c:lblOffset val="100"/>
        <c:noMultiLvlLbl val="0"/>
      </c:catAx>
      <c:spPr>
        <a:no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Sheet1!$B$1:$F$1</c:f>
              <c:strCache>
                <c:ptCount val="5"/>
                <c:pt idx="0">
                  <c:v>հունվար</c:v>
                </c:pt>
                <c:pt idx="1">
                  <c:v>փետրվար</c:v>
                </c:pt>
                <c:pt idx="2">
                  <c:v>մարտ</c:v>
                </c:pt>
                <c:pt idx="3">
                  <c:v>ապրիլ</c:v>
                </c:pt>
                <c:pt idx="4">
                  <c:v>մայիս</c:v>
                </c:pt>
              </c:strCache>
            </c:strRef>
          </c:cat>
          <c:val>
            <c:numRef>
              <c:f>Sheet1!$B$3:$F$3</c:f>
              <c:numCache>
                <c:formatCode>0.0</c:formatCode>
                <c:ptCount val="5"/>
                <c:pt idx="0">
                  <c:v>-10.799999999999997</c:v>
                </c:pt>
                <c:pt idx="1">
                  <c:v>-5.0999999999999943</c:v>
                </c:pt>
                <c:pt idx="2">
                  <c:v>3.7999999999999972</c:v>
                </c:pt>
                <c:pt idx="3">
                  <c:v>16.900000000000006</c:v>
                </c:pt>
                <c:pt idx="4">
                  <c:v>7.9000000000000057</c:v>
                </c:pt>
              </c:numCache>
            </c:numRef>
          </c:val>
          <c:extLst>
            <c:ext xmlns:c16="http://schemas.microsoft.com/office/drawing/2014/chart" uri="{C3380CC4-5D6E-409C-BE32-E72D297353CC}">
              <c16:uniqueId val="{00000000-5320-4493-B4D2-ADA21916B3D7}"/>
            </c:ext>
          </c:extLst>
        </c:ser>
        <c:ser>
          <c:idx val="2"/>
          <c:order val="2"/>
          <c:tx>
            <c:strRef>
              <c:f>Sheet1!$A$4</c:f>
              <c:strCache>
                <c:ptCount val="1"/>
                <c:pt idx="0">
                  <c:v>շինարարություն</c:v>
                </c:pt>
              </c:strCache>
            </c:strRef>
          </c:tx>
          <c:spPr>
            <a:solidFill>
              <a:srgbClr val="9C5BCD"/>
            </a:solidFill>
            <a:ln>
              <a:solidFill>
                <a:srgbClr val="9C5BCD"/>
              </a:solidFill>
            </a:ln>
            <a:effectLst/>
          </c:spPr>
          <c:invertIfNegative val="0"/>
          <c:cat>
            <c:strRef>
              <c:f>Sheet1!$B$1:$F$1</c:f>
              <c:strCache>
                <c:ptCount val="5"/>
                <c:pt idx="0">
                  <c:v>հունվար</c:v>
                </c:pt>
                <c:pt idx="1">
                  <c:v>փետրվար</c:v>
                </c:pt>
                <c:pt idx="2">
                  <c:v>մարտ</c:v>
                </c:pt>
                <c:pt idx="3">
                  <c:v>ապրիլ</c:v>
                </c:pt>
                <c:pt idx="4">
                  <c:v>մայիս</c:v>
                </c:pt>
              </c:strCache>
            </c:strRef>
          </c:cat>
          <c:val>
            <c:numRef>
              <c:f>Sheet1!$B$4:$F$4</c:f>
              <c:numCache>
                <c:formatCode>0.0</c:formatCode>
                <c:ptCount val="5"/>
                <c:pt idx="0">
                  <c:v>0.79999999999999716</c:v>
                </c:pt>
                <c:pt idx="1">
                  <c:v>1.0999999999999943</c:v>
                </c:pt>
                <c:pt idx="2">
                  <c:v>10.799999999999997</c:v>
                </c:pt>
                <c:pt idx="3">
                  <c:v>87.699999999999989</c:v>
                </c:pt>
                <c:pt idx="4">
                  <c:v>0.5</c:v>
                </c:pt>
              </c:numCache>
            </c:numRef>
          </c:val>
          <c:extLst>
            <c:ext xmlns:c16="http://schemas.microsoft.com/office/drawing/2014/chart" uri="{C3380CC4-5D6E-409C-BE32-E72D297353CC}">
              <c16:uniqueId val="{00000001-5320-4493-B4D2-ADA21916B3D7}"/>
            </c:ext>
          </c:extLst>
        </c:ser>
        <c:ser>
          <c:idx val="3"/>
          <c:order val="3"/>
          <c:tx>
            <c:strRef>
              <c:f>Sheet1!$A$5</c:f>
              <c:strCache>
                <c:ptCount val="1"/>
                <c:pt idx="0">
                  <c:v>ծառայություններ</c:v>
                </c:pt>
              </c:strCache>
            </c:strRef>
          </c:tx>
          <c:spPr>
            <a:solidFill>
              <a:srgbClr val="00B0F0"/>
            </a:solidFill>
            <a:ln>
              <a:solidFill>
                <a:srgbClr val="00B0F0"/>
              </a:solidFill>
            </a:ln>
            <a:effectLst/>
          </c:spPr>
          <c:invertIfNegative val="0"/>
          <c:cat>
            <c:strRef>
              <c:f>Sheet1!$B$1:$F$1</c:f>
              <c:strCache>
                <c:ptCount val="5"/>
                <c:pt idx="0">
                  <c:v>հունվար</c:v>
                </c:pt>
                <c:pt idx="1">
                  <c:v>փետրվար</c:v>
                </c:pt>
                <c:pt idx="2">
                  <c:v>մարտ</c:v>
                </c:pt>
                <c:pt idx="3">
                  <c:v>ապրիլ</c:v>
                </c:pt>
                <c:pt idx="4">
                  <c:v>մայիս</c:v>
                </c:pt>
              </c:strCache>
            </c:strRef>
          </c:cat>
          <c:val>
            <c:numRef>
              <c:f>Sheet1!$B$5:$F$5</c:f>
              <c:numCache>
                <c:formatCode>0.0</c:formatCode>
                <c:ptCount val="5"/>
                <c:pt idx="0">
                  <c:v>-12.599999999999994</c:v>
                </c:pt>
                <c:pt idx="1">
                  <c:v>-12.400000000000006</c:v>
                </c:pt>
                <c:pt idx="2">
                  <c:v>0.90000000000000568</c:v>
                </c:pt>
                <c:pt idx="3">
                  <c:v>15.400000000000006</c:v>
                </c:pt>
                <c:pt idx="4">
                  <c:v>17.299999999999997</c:v>
                </c:pt>
              </c:numCache>
            </c:numRef>
          </c:val>
          <c:extLst>
            <c:ext xmlns:c16="http://schemas.microsoft.com/office/drawing/2014/chart" uri="{C3380CC4-5D6E-409C-BE32-E72D297353CC}">
              <c16:uniqueId val="{00000002-5320-4493-B4D2-ADA21916B3D7}"/>
            </c:ext>
          </c:extLst>
        </c:ser>
        <c:ser>
          <c:idx val="4"/>
          <c:order val="4"/>
          <c:tx>
            <c:strRef>
              <c:f>Sheet1!$A$6</c:f>
              <c:strCache>
                <c:ptCount val="1"/>
                <c:pt idx="0">
                  <c:v>առևտուր</c:v>
                </c:pt>
              </c:strCache>
            </c:strRef>
          </c:tx>
          <c:spPr>
            <a:solidFill>
              <a:srgbClr val="ED7D31"/>
            </a:solidFill>
            <a:ln>
              <a:solidFill>
                <a:srgbClr val="ED7D31"/>
              </a:solidFill>
            </a:ln>
          </c:spPr>
          <c:invertIfNegative val="0"/>
          <c:cat>
            <c:strRef>
              <c:f>Sheet1!$B$1:$F$1</c:f>
              <c:strCache>
                <c:ptCount val="5"/>
                <c:pt idx="0">
                  <c:v>հունվար</c:v>
                </c:pt>
                <c:pt idx="1">
                  <c:v>փետրվար</c:v>
                </c:pt>
                <c:pt idx="2">
                  <c:v>մարտ</c:v>
                </c:pt>
                <c:pt idx="3">
                  <c:v>ապրիլ</c:v>
                </c:pt>
                <c:pt idx="4">
                  <c:v>մայիս</c:v>
                </c:pt>
              </c:strCache>
            </c:strRef>
          </c:cat>
          <c:val>
            <c:numRef>
              <c:f>Sheet1!$B$6:$F$6</c:f>
              <c:numCache>
                <c:formatCode>0.0</c:formatCode>
                <c:ptCount val="5"/>
                <c:pt idx="0">
                  <c:v>-14.200000000000003</c:v>
                </c:pt>
                <c:pt idx="1">
                  <c:v>-7.7999999999999972</c:v>
                </c:pt>
                <c:pt idx="2">
                  <c:v>4.5999999999999943</c:v>
                </c:pt>
                <c:pt idx="3">
                  <c:v>47.800000000000011</c:v>
                </c:pt>
                <c:pt idx="4">
                  <c:v>17.599999999999994</c:v>
                </c:pt>
              </c:numCache>
            </c:numRef>
          </c:val>
          <c:extLst>
            <c:ext xmlns:c16="http://schemas.microsoft.com/office/drawing/2014/chart" uri="{C3380CC4-5D6E-409C-BE32-E72D297353CC}">
              <c16:uniqueId val="{00000003-5320-4493-B4D2-ADA21916B3D7}"/>
            </c:ext>
          </c:extLst>
        </c:ser>
        <c:dLbls>
          <c:showLegendKey val="0"/>
          <c:showVal val="0"/>
          <c:showCatName val="0"/>
          <c:showSerName val="0"/>
          <c:showPercent val="0"/>
          <c:showBubbleSize val="0"/>
        </c:dLbls>
        <c:gapWidth val="219"/>
        <c:overlap val="-27"/>
        <c:axId val="145045376"/>
        <c:axId val="145046912"/>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solidFill>
                <a:srgbClr val="4472C4">
                  <a:lumMod val="75000"/>
                </a:srgbClr>
              </a:solidFill>
              <a:ln>
                <a:solidFill>
                  <a:srgbClr val="4472C4">
                    <a:lumMod val="75000"/>
                  </a:srgbClr>
                </a:solidFill>
              </a:ln>
            </c:spPr>
          </c:marker>
          <c:dLbls>
            <c:dLbl>
              <c:idx val="0"/>
              <c:layout>
                <c:manualLayout>
                  <c:x val="-7.0390729460704182E-2"/>
                  <c:y val="-5.20832688475174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320-4493-B4D2-ADA21916B3D7}"/>
                </c:ext>
              </c:extLst>
            </c:dLbl>
            <c:dLbl>
              <c:idx val="1"/>
              <c:layout>
                <c:manualLayout>
                  <c:x val="-6.6129516829264337E-2"/>
                  <c:y val="-4.60354914057273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320-4493-B4D2-ADA21916B3D7}"/>
                </c:ext>
              </c:extLst>
            </c:dLbl>
            <c:dLbl>
              <c:idx val="2"/>
              <c:layout>
                <c:manualLayout>
                  <c:x val="-7.0185707918585652E-2"/>
                  <c:y val="-4.4681170221124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320-4493-B4D2-ADA21916B3D7}"/>
                </c:ext>
              </c:extLst>
            </c:dLbl>
            <c:dLbl>
              <c:idx val="3"/>
              <c:layout>
                <c:manualLayout>
                  <c:x val="-9.9604153254428104E-2"/>
                  <c:y val="-3.11927217141401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320-4493-B4D2-ADA21916B3D7}"/>
                </c:ext>
              </c:extLst>
            </c:dLbl>
            <c:dLbl>
              <c:idx val="4"/>
              <c:layout>
                <c:manualLayout>
                  <c:x val="-6.5992988244999023E-2"/>
                  <c:y val="5.95238095238095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320-4493-B4D2-ADA21916B3D7}"/>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հունվար</c:v>
                </c:pt>
                <c:pt idx="1">
                  <c:v>փետրվար</c:v>
                </c:pt>
                <c:pt idx="2">
                  <c:v>մարտ</c:v>
                </c:pt>
                <c:pt idx="3">
                  <c:v>ապրիլ</c:v>
                </c:pt>
                <c:pt idx="4">
                  <c:v>մայիս</c:v>
                </c:pt>
              </c:strCache>
            </c:strRef>
          </c:cat>
          <c:val>
            <c:numRef>
              <c:f>Sheet1!$B$2:$F$2</c:f>
              <c:numCache>
                <c:formatCode>0.0</c:formatCode>
                <c:ptCount val="5"/>
                <c:pt idx="0">
                  <c:v>-8.421859138140988</c:v>
                </c:pt>
                <c:pt idx="1">
                  <c:v>-6.2843529067803416</c:v>
                </c:pt>
                <c:pt idx="2">
                  <c:v>3.9110986294381718</c:v>
                </c:pt>
                <c:pt idx="3">
                  <c:v>23.20037363697358</c:v>
                </c:pt>
                <c:pt idx="4">
                  <c:v>10.900000000000006</c:v>
                </c:pt>
              </c:numCache>
            </c:numRef>
          </c:val>
          <c:smooth val="0"/>
          <c:extLst>
            <c:ext xmlns:c16="http://schemas.microsoft.com/office/drawing/2014/chart" uri="{C3380CC4-5D6E-409C-BE32-E72D297353CC}">
              <c16:uniqueId val="{00000009-5320-4493-B4D2-ADA21916B3D7}"/>
            </c:ext>
          </c:extLst>
        </c:ser>
        <c:dLbls>
          <c:showLegendKey val="0"/>
          <c:showVal val="0"/>
          <c:showCatName val="0"/>
          <c:showSerName val="0"/>
          <c:showPercent val="0"/>
          <c:showBubbleSize val="0"/>
        </c:dLbls>
        <c:marker val="1"/>
        <c:smooth val="0"/>
        <c:axId val="145078912"/>
        <c:axId val="145077376"/>
      </c:lineChart>
      <c:catAx>
        <c:axId val="1450453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5046912"/>
        <c:crosses val="autoZero"/>
        <c:auto val="1"/>
        <c:lblAlgn val="ctr"/>
        <c:lblOffset val="100"/>
        <c:noMultiLvlLbl val="0"/>
      </c:catAx>
      <c:valAx>
        <c:axId val="145046912"/>
        <c:scaling>
          <c:orientation val="minMax"/>
          <c:max val="95"/>
          <c:min val="-1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5045376"/>
        <c:crosses val="autoZero"/>
        <c:crossBetween val="between"/>
      </c:valAx>
      <c:valAx>
        <c:axId val="145077376"/>
        <c:scaling>
          <c:orientation val="minMax"/>
        </c:scaling>
        <c:delete val="0"/>
        <c:axPos val="r"/>
        <c:numFmt formatCode="0.0" sourceLinked="1"/>
        <c:majorTickMark val="out"/>
        <c:minorTickMark val="none"/>
        <c:tickLblPos val="nextTo"/>
        <c:crossAx val="145078912"/>
        <c:crosses val="max"/>
        <c:crossBetween val="between"/>
      </c:valAx>
      <c:catAx>
        <c:axId val="145078912"/>
        <c:scaling>
          <c:orientation val="minMax"/>
        </c:scaling>
        <c:delete val="1"/>
        <c:axPos val="b"/>
        <c:numFmt formatCode="General" sourceLinked="1"/>
        <c:majorTickMark val="out"/>
        <c:minorTickMark val="none"/>
        <c:tickLblPos val="none"/>
        <c:crossAx val="145077376"/>
        <c:crosses val="autoZero"/>
        <c:auto val="1"/>
        <c:lblAlgn val="ctr"/>
        <c:lblOffset val="100"/>
        <c:noMultiLvlLbl val="0"/>
      </c:catAx>
      <c:spPr>
        <a:noFill/>
        <a:ln>
          <a:noFill/>
        </a:ln>
        <a:effectLst/>
      </c:spPr>
    </c:plotArea>
    <c:legend>
      <c:legendPos val="b"/>
      <c:layout>
        <c:manualLayout>
          <c:xMode val="edge"/>
          <c:yMode val="edge"/>
          <c:x val="3.9212598425196851E-2"/>
          <c:y val="0.79446551510904051"/>
          <c:w val="0.92687606666201161"/>
          <c:h val="0.2055344848909597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377"/>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Sheet1!$B$1:$F$1</c:f>
              <c:strCache>
                <c:ptCount val="5"/>
                <c:pt idx="0">
                  <c:v>հունվար</c:v>
                </c:pt>
                <c:pt idx="1">
                  <c:v>հունվար - փետրվար</c:v>
                </c:pt>
                <c:pt idx="2">
                  <c:v>հունվար - մարտ</c:v>
                </c:pt>
                <c:pt idx="3">
                  <c:v>հունվար - ապրիլ</c:v>
                </c:pt>
                <c:pt idx="4">
                  <c:v>հունվար -մայիս</c:v>
                </c:pt>
              </c:strCache>
            </c:strRef>
          </c:cat>
          <c:val>
            <c:numRef>
              <c:f>Sheet1!$B$3:$F$3</c:f>
              <c:numCache>
                <c:formatCode>0.0</c:formatCode>
                <c:ptCount val="5"/>
                <c:pt idx="0">
                  <c:v>-2.3716259878127546</c:v>
                </c:pt>
                <c:pt idx="1">
                  <c:v>-1.7348004910852575</c:v>
                </c:pt>
                <c:pt idx="2">
                  <c:v>-0.85642049559905187</c:v>
                </c:pt>
                <c:pt idx="3">
                  <c:v>0.19763549898439753</c:v>
                </c:pt>
                <c:pt idx="4">
                  <c:v>0.50506849740456761</c:v>
                </c:pt>
              </c:numCache>
            </c:numRef>
          </c:val>
          <c:extLst>
            <c:ext xmlns:c16="http://schemas.microsoft.com/office/drawing/2014/chart" uri="{C3380CC4-5D6E-409C-BE32-E72D297353CC}">
              <c16:uniqueId val="{00000000-6B7E-4998-8F7A-5CBDA782FE75}"/>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Sheet1!$B$1:$F$1</c:f>
              <c:strCache>
                <c:ptCount val="5"/>
                <c:pt idx="0">
                  <c:v>հունվար</c:v>
                </c:pt>
                <c:pt idx="1">
                  <c:v>հունվար - փետրվար</c:v>
                </c:pt>
                <c:pt idx="2">
                  <c:v>հունվար - մարտ</c:v>
                </c:pt>
                <c:pt idx="3">
                  <c:v>հունվար - ապրիլ</c:v>
                </c:pt>
                <c:pt idx="4">
                  <c:v>հունվար -մայիս</c:v>
                </c:pt>
              </c:strCache>
            </c:strRef>
          </c:cat>
          <c:val>
            <c:numRef>
              <c:f>Sheet1!$B$4:$F$4</c:f>
              <c:numCache>
                <c:formatCode>0.0</c:formatCode>
                <c:ptCount val="5"/>
                <c:pt idx="0">
                  <c:v>0</c:v>
                </c:pt>
                <c:pt idx="1">
                  <c:v>0</c:v>
                </c:pt>
                <c:pt idx="2">
                  <c:v>-0.12265209040788619</c:v>
                </c:pt>
                <c:pt idx="3">
                  <c:v>0</c:v>
                </c:pt>
                <c:pt idx="4">
                  <c:v>0</c:v>
                </c:pt>
              </c:numCache>
            </c:numRef>
          </c:val>
          <c:extLst>
            <c:ext xmlns:c16="http://schemas.microsoft.com/office/drawing/2014/chart" uri="{C3380CC4-5D6E-409C-BE32-E72D297353CC}">
              <c16:uniqueId val="{00000001-6B7E-4998-8F7A-5CBDA782FE75}"/>
            </c:ext>
          </c:extLst>
        </c:ser>
        <c:ser>
          <c:idx val="3"/>
          <c:order val="3"/>
          <c:tx>
            <c:strRef>
              <c:f>Sheet1!$A$5</c:f>
              <c:strCache>
                <c:ptCount val="1"/>
                <c:pt idx="0">
                  <c:v>շինարարություն</c:v>
                </c:pt>
              </c:strCache>
            </c:strRef>
          </c:tx>
          <c:spPr>
            <a:solidFill>
              <a:srgbClr val="9C5BCD"/>
            </a:solidFill>
            <a:ln>
              <a:solidFill>
                <a:srgbClr val="9C5BCD"/>
              </a:solidFill>
            </a:ln>
            <a:effectLst/>
          </c:spPr>
          <c:invertIfNegative val="0"/>
          <c:cat>
            <c:strRef>
              <c:f>Sheet1!$B$1:$F$1</c:f>
              <c:strCache>
                <c:ptCount val="5"/>
                <c:pt idx="0">
                  <c:v>հունվար</c:v>
                </c:pt>
                <c:pt idx="1">
                  <c:v>հունվար - փետրվար</c:v>
                </c:pt>
                <c:pt idx="2">
                  <c:v>հունվար - մարտ</c:v>
                </c:pt>
                <c:pt idx="3">
                  <c:v>հունվար - ապրիլ</c:v>
                </c:pt>
                <c:pt idx="4">
                  <c:v>հունվար -մայիս</c:v>
                </c:pt>
              </c:strCache>
            </c:strRef>
          </c:cat>
          <c:val>
            <c:numRef>
              <c:f>Sheet1!$B$5:$F$5</c:f>
              <c:numCache>
                <c:formatCode>0.0</c:formatCode>
                <c:ptCount val="5"/>
                <c:pt idx="0">
                  <c:v>6.1067394701060013E-2</c:v>
                </c:pt>
                <c:pt idx="1">
                  <c:v>7.6334243376325286E-2</c:v>
                </c:pt>
                <c:pt idx="2">
                  <c:v>0.35877094386872904</c:v>
                </c:pt>
                <c:pt idx="3">
                  <c:v>1.549585140539403</c:v>
                </c:pt>
                <c:pt idx="4">
                  <c:v>1.0915796802814515</c:v>
                </c:pt>
              </c:numCache>
            </c:numRef>
          </c:val>
          <c:extLst>
            <c:ext xmlns:c16="http://schemas.microsoft.com/office/drawing/2014/chart" uri="{C3380CC4-5D6E-409C-BE32-E72D297353CC}">
              <c16:uniqueId val="{00000002-6B7E-4998-8F7A-5CBDA782FE75}"/>
            </c:ext>
          </c:extLst>
        </c:ser>
        <c:ser>
          <c:idx val="4"/>
          <c:order val="4"/>
          <c:tx>
            <c:strRef>
              <c:f>Sheet1!$A$6</c:f>
              <c:strCache>
                <c:ptCount val="1"/>
                <c:pt idx="0">
                  <c:v>ծառայություններ</c:v>
                </c:pt>
              </c:strCache>
            </c:strRef>
          </c:tx>
          <c:spPr>
            <a:solidFill>
              <a:srgbClr val="00B0F0"/>
            </a:solidFill>
            <a:ln>
              <a:solidFill>
                <a:srgbClr val="00B0F0"/>
              </a:solidFill>
            </a:ln>
          </c:spPr>
          <c:invertIfNegative val="0"/>
          <c:cat>
            <c:strRef>
              <c:f>Sheet1!$B$1:$F$1</c:f>
              <c:strCache>
                <c:ptCount val="5"/>
                <c:pt idx="0">
                  <c:v>հունվար</c:v>
                </c:pt>
                <c:pt idx="1">
                  <c:v>հունվար - փետրվար</c:v>
                </c:pt>
                <c:pt idx="2">
                  <c:v>հունվար - մարտ</c:v>
                </c:pt>
                <c:pt idx="3">
                  <c:v>հունվար - ապրիլ</c:v>
                </c:pt>
                <c:pt idx="4">
                  <c:v>հունվար -մայիս</c:v>
                </c:pt>
              </c:strCache>
            </c:strRef>
          </c:cat>
          <c:val>
            <c:numRef>
              <c:f>Sheet1!$B$6:$F$6</c:f>
              <c:numCache>
                <c:formatCode>0.0</c:formatCode>
                <c:ptCount val="5"/>
                <c:pt idx="0">
                  <c:v>-5.8410677114275158</c:v>
                </c:pt>
                <c:pt idx="1">
                  <c:v>-5.7947100311780932</c:v>
                </c:pt>
                <c:pt idx="2">
                  <c:v>-3.754972100203402</c:v>
                </c:pt>
                <c:pt idx="3">
                  <c:v>-1.3443727272333204</c:v>
                </c:pt>
                <c:pt idx="4">
                  <c:v>0.41721912224482538</c:v>
                </c:pt>
              </c:numCache>
            </c:numRef>
          </c:val>
          <c:extLst>
            <c:ext xmlns:c16="http://schemas.microsoft.com/office/drawing/2014/chart" uri="{C3380CC4-5D6E-409C-BE32-E72D297353CC}">
              <c16:uniqueId val="{00000003-6B7E-4998-8F7A-5CBDA782FE75}"/>
            </c:ext>
          </c:extLst>
        </c:ser>
        <c:ser>
          <c:idx val="5"/>
          <c:order val="5"/>
          <c:tx>
            <c:strRef>
              <c:f>Sheet1!$A$7</c:f>
              <c:strCache>
                <c:ptCount val="1"/>
                <c:pt idx="0">
                  <c:v>առևտուր</c:v>
                </c:pt>
              </c:strCache>
            </c:strRef>
          </c:tx>
          <c:spPr>
            <a:solidFill>
              <a:srgbClr val="ED7D31"/>
            </a:solidFill>
            <a:ln>
              <a:solidFill>
                <a:srgbClr val="ED7D31"/>
              </a:solidFill>
            </a:ln>
          </c:spPr>
          <c:invertIfNegative val="0"/>
          <c:cat>
            <c:strRef>
              <c:f>Sheet1!$B$1:$F$1</c:f>
              <c:strCache>
                <c:ptCount val="5"/>
                <c:pt idx="0">
                  <c:v>հունվար</c:v>
                </c:pt>
                <c:pt idx="1">
                  <c:v>հունվար - փետրվար</c:v>
                </c:pt>
                <c:pt idx="2">
                  <c:v>հունվար - մարտ</c:v>
                </c:pt>
                <c:pt idx="3">
                  <c:v>հունվար - ապրիլ</c:v>
                </c:pt>
                <c:pt idx="4">
                  <c:v>հունվար -մայիս</c:v>
                </c:pt>
              </c:strCache>
            </c:strRef>
          </c:cat>
          <c:val>
            <c:numRef>
              <c:f>Sheet1!$B$7:$F$7</c:f>
              <c:numCache>
                <c:formatCode>0.0</c:formatCode>
                <c:ptCount val="5"/>
                <c:pt idx="0">
                  <c:v>-1.6733544808698553</c:v>
                </c:pt>
                <c:pt idx="1">
                  <c:v>-1.2781610300461024</c:v>
                </c:pt>
                <c:pt idx="2">
                  <c:v>-0.65991444315994219</c:v>
                </c:pt>
                <c:pt idx="3">
                  <c:v>0.56564095127995062</c:v>
                </c:pt>
                <c:pt idx="4">
                  <c:v>0.87202979988992513</c:v>
                </c:pt>
              </c:numCache>
            </c:numRef>
          </c:val>
          <c:extLst>
            <c:ext xmlns:c16="http://schemas.microsoft.com/office/drawing/2014/chart" uri="{C3380CC4-5D6E-409C-BE32-E72D297353CC}">
              <c16:uniqueId val="{00000004-6B7E-4998-8F7A-5CBDA782FE75}"/>
            </c:ext>
          </c:extLst>
        </c:ser>
        <c:ser>
          <c:idx val="6"/>
          <c:order val="6"/>
          <c:tx>
            <c:strRef>
              <c:f>Sheet1!$A$8</c:f>
              <c:strCache>
                <c:ptCount val="1"/>
                <c:pt idx="0">
                  <c:v>այլ </c:v>
                </c:pt>
              </c:strCache>
            </c:strRef>
          </c:tx>
          <c:spPr>
            <a:solidFill>
              <a:srgbClr val="5B9BD5">
                <a:lumMod val="40000"/>
                <a:lumOff val="60000"/>
              </a:srgbClr>
            </a:solidFill>
          </c:spPr>
          <c:invertIfNegative val="0"/>
          <c:cat>
            <c:strRef>
              <c:f>Sheet1!$B$1:$F$1</c:f>
              <c:strCache>
                <c:ptCount val="5"/>
                <c:pt idx="0">
                  <c:v>հունվար</c:v>
                </c:pt>
                <c:pt idx="1">
                  <c:v>հունվար - փետրվար</c:v>
                </c:pt>
                <c:pt idx="2">
                  <c:v>հունվար - մարտ</c:v>
                </c:pt>
                <c:pt idx="3">
                  <c:v>հունվար - ապրիլ</c:v>
                </c:pt>
                <c:pt idx="4">
                  <c:v>հունվար -մայիս</c:v>
                </c:pt>
              </c:strCache>
            </c:strRef>
          </c:cat>
          <c:val>
            <c:numRef>
              <c:f>Sheet1!$B$8:$F$8</c:f>
              <c:numCache>
                <c:formatCode>0.0</c:formatCode>
                <c:ptCount val="5"/>
                <c:pt idx="0">
                  <c:v>1.4031216472680779</c:v>
                </c:pt>
                <c:pt idx="1">
                  <c:v>1.4272291310907335</c:v>
                </c:pt>
                <c:pt idx="2">
                  <c:v>1.5543560752636409</c:v>
                </c:pt>
                <c:pt idx="3">
                  <c:v>1.6566631794814244</c:v>
                </c:pt>
                <c:pt idx="4">
                  <c:v>1.4141029001792278</c:v>
                </c:pt>
              </c:numCache>
            </c:numRef>
          </c:val>
          <c:extLst>
            <c:ext xmlns:c16="http://schemas.microsoft.com/office/drawing/2014/chart" uri="{C3380CC4-5D6E-409C-BE32-E72D297353CC}">
              <c16:uniqueId val="{00000005-6B7E-4998-8F7A-5CBDA782FE75}"/>
            </c:ext>
          </c:extLst>
        </c:ser>
        <c:dLbls>
          <c:showLegendKey val="0"/>
          <c:showVal val="0"/>
          <c:showCatName val="0"/>
          <c:showSerName val="0"/>
          <c:showPercent val="0"/>
          <c:showBubbleSize val="0"/>
        </c:dLbls>
        <c:gapWidth val="150"/>
        <c:overlap val="100"/>
        <c:axId val="145165312"/>
        <c:axId val="145203968"/>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ln>
                <a:solidFill>
                  <a:srgbClr val="4472C4">
                    <a:lumMod val="75000"/>
                  </a:srgbClr>
                </a:solidFill>
              </a:ln>
            </c:spPr>
          </c:marker>
          <c:dLbls>
            <c:dLbl>
              <c:idx val="0"/>
              <c:layout>
                <c:manualLayout>
                  <c:x val="-4.5370159499293398E-2"/>
                  <c:y val="-4.550030324550444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B7E-4998-8F7A-5CBDA782FE75}"/>
                </c:ext>
              </c:extLst>
            </c:dLbl>
            <c:dLbl>
              <c:idx val="1"/>
              <c:layout>
                <c:manualLayout>
                  <c:x val="-6.5948879466989699E-2"/>
                  <c:y val="-5.2083581718183843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B7E-4998-8F7A-5CBDA782FE75}"/>
                </c:ext>
              </c:extLst>
            </c:dLbl>
            <c:dLbl>
              <c:idx val="2"/>
              <c:layout>
                <c:manualLayout>
                  <c:x val="-5.7435897435897512E-2"/>
                  <c:y val="-5.03688191049851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B7E-4998-8F7A-5CBDA782FE75}"/>
                </c:ext>
              </c:extLst>
            </c:dLbl>
            <c:dLbl>
              <c:idx val="3"/>
              <c:layout>
                <c:manualLayout>
                  <c:x val="-7.0007510599636585E-2"/>
                  <c:y val="-6.03811044356782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B7E-4998-8F7A-5CBDA782FE75}"/>
                </c:ext>
              </c:extLst>
            </c:dLbl>
            <c:dLbl>
              <c:idx val="4"/>
              <c:layout>
                <c:manualLayout>
                  <c:x val="-5.7457863920856195E-2"/>
                  <c:y val="-5.512588576197560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B7E-4998-8F7A-5CBDA782FE7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հունվար</c:v>
                </c:pt>
                <c:pt idx="1">
                  <c:v>հունվար - փետրվար</c:v>
                </c:pt>
                <c:pt idx="2">
                  <c:v>հունվար - մարտ</c:v>
                </c:pt>
                <c:pt idx="3">
                  <c:v>հունվար - ապրիլ</c:v>
                </c:pt>
                <c:pt idx="4">
                  <c:v>հունվար -մայիս</c:v>
                </c:pt>
              </c:strCache>
            </c:strRef>
          </c:cat>
          <c:val>
            <c:numRef>
              <c:f>Sheet1!$B$2:$F$2</c:f>
              <c:numCache>
                <c:formatCode>0.0</c:formatCode>
                <c:ptCount val="5"/>
                <c:pt idx="0">
                  <c:v>-8.421859138140988</c:v>
                </c:pt>
                <c:pt idx="1">
                  <c:v>-7.3041081778423944</c:v>
                </c:pt>
                <c:pt idx="2">
                  <c:v>-3.4808321102379125</c:v>
                </c:pt>
                <c:pt idx="3">
                  <c:v>2.6251520430518553</c:v>
                </c:pt>
                <c:pt idx="4">
                  <c:v>4.2999999999999972</c:v>
                </c:pt>
              </c:numCache>
            </c:numRef>
          </c:val>
          <c:smooth val="0"/>
          <c:extLst>
            <c:ext xmlns:c16="http://schemas.microsoft.com/office/drawing/2014/chart" uri="{C3380CC4-5D6E-409C-BE32-E72D297353CC}">
              <c16:uniqueId val="{0000000B-6B7E-4998-8F7A-5CBDA782FE75}"/>
            </c:ext>
          </c:extLst>
        </c:ser>
        <c:dLbls>
          <c:showLegendKey val="0"/>
          <c:showVal val="0"/>
          <c:showCatName val="0"/>
          <c:showSerName val="0"/>
          <c:showPercent val="0"/>
          <c:showBubbleSize val="0"/>
        </c:dLbls>
        <c:marker val="1"/>
        <c:smooth val="0"/>
        <c:axId val="145165312"/>
        <c:axId val="145203968"/>
      </c:lineChart>
      <c:catAx>
        <c:axId val="1451653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5203968"/>
        <c:crosses val="autoZero"/>
        <c:auto val="1"/>
        <c:lblAlgn val="ctr"/>
        <c:lblOffset val="100"/>
        <c:noMultiLvlLbl val="0"/>
      </c:catAx>
      <c:valAx>
        <c:axId val="145203968"/>
        <c:scaling>
          <c:orientation val="minMax"/>
          <c:max val="5"/>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5165312"/>
        <c:crosses val="autoZero"/>
        <c:crossBetween val="between"/>
      </c:valAx>
      <c:spPr>
        <a:noFill/>
        <a:ln>
          <a:noFill/>
        </a:ln>
        <a:effectLst/>
      </c:spPr>
    </c:plotArea>
    <c:legend>
      <c:legendPos val="b"/>
      <c:layout>
        <c:manualLayout>
          <c:xMode val="edge"/>
          <c:yMode val="edge"/>
          <c:x val="3.9212662156607202E-2"/>
          <c:y val="0.77063982271677356"/>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56153951611461161"/>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Sheet1!$B$1:$F$1</c:f>
              <c:strCache>
                <c:ptCount val="5"/>
                <c:pt idx="0">
                  <c:v>հունվար</c:v>
                </c:pt>
                <c:pt idx="1">
                  <c:v>փետրվար</c:v>
                </c:pt>
                <c:pt idx="2">
                  <c:v>մարտ</c:v>
                </c:pt>
                <c:pt idx="3">
                  <c:v>ապրիլ</c:v>
                </c:pt>
                <c:pt idx="4">
                  <c:v>մայիս</c:v>
                </c:pt>
              </c:strCache>
            </c:strRef>
          </c:cat>
          <c:val>
            <c:numRef>
              <c:f>Sheet1!$B$3:$F$3</c:f>
              <c:numCache>
                <c:formatCode>0.0</c:formatCode>
                <c:ptCount val="5"/>
                <c:pt idx="0">
                  <c:v>-2.3716259878127546</c:v>
                </c:pt>
                <c:pt idx="1">
                  <c:v>-1.119934494244911</c:v>
                </c:pt>
                <c:pt idx="2">
                  <c:v>0.8344609957118948</c:v>
                </c:pt>
                <c:pt idx="3">
                  <c:v>3.7111554809292202</c:v>
                </c:pt>
                <c:pt idx="4">
                  <c:v>1.7348004910852575</c:v>
                </c:pt>
              </c:numCache>
            </c:numRef>
          </c:val>
          <c:extLst>
            <c:ext xmlns:c16="http://schemas.microsoft.com/office/drawing/2014/chart" uri="{C3380CC4-5D6E-409C-BE32-E72D297353CC}">
              <c16:uniqueId val="{00000000-EFB7-4E52-9817-2BEC73E6BEA5}"/>
            </c:ext>
          </c:extLst>
        </c:ser>
        <c:ser>
          <c:idx val="2"/>
          <c:order val="2"/>
          <c:tx>
            <c:strRef>
              <c:f>Sheet1!$A$4</c:f>
              <c:strCache>
                <c:ptCount val="1"/>
                <c:pt idx="0">
                  <c:v>շինարարություն</c:v>
                </c:pt>
              </c:strCache>
            </c:strRef>
          </c:tx>
          <c:spPr>
            <a:solidFill>
              <a:srgbClr val="9C5BCD"/>
            </a:solidFill>
            <a:ln>
              <a:solidFill>
                <a:srgbClr val="9C5BCD"/>
              </a:solidFill>
            </a:ln>
            <a:effectLst/>
          </c:spPr>
          <c:invertIfNegative val="0"/>
          <c:cat>
            <c:strRef>
              <c:f>Sheet1!$B$1:$F$1</c:f>
              <c:strCache>
                <c:ptCount val="5"/>
                <c:pt idx="0">
                  <c:v>հունվար</c:v>
                </c:pt>
                <c:pt idx="1">
                  <c:v>փետրվար</c:v>
                </c:pt>
                <c:pt idx="2">
                  <c:v>մարտ</c:v>
                </c:pt>
                <c:pt idx="3">
                  <c:v>ապրիլ</c:v>
                </c:pt>
                <c:pt idx="4">
                  <c:v>մայիս</c:v>
                </c:pt>
              </c:strCache>
            </c:strRef>
          </c:cat>
          <c:val>
            <c:numRef>
              <c:f>Sheet1!$B$4:$F$4</c:f>
              <c:numCache>
                <c:formatCode>0.0</c:formatCode>
                <c:ptCount val="5"/>
                <c:pt idx="0">
                  <c:v>6.1067394701060013E-2</c:v>
                </c:pt>
                <c:pt idx="1">
                  <c:v>8.3967667713957375E-2</c:v>
                </c:pt>
                <c:pt idx="2">
                  <c:v>0.82440982846431288</c:v>
                </c:pt>
                <c:pt idx="3">
                  <c:v>6.6945131441037269</c:v>
                </c:pt>
                <c:pt idx="4">
                  <c:v>3.8167121688162643E-2</c:v>
                </c:pt>
              </c:numCache>
            </c:numRef>
          </c:val>
          <c:extLst>
            <c:ext xmlns:c16="http://schemas.microsoft.com/office/drawing/2014/chart" uri="{C3380CC4-5D6E-409C-BE32-E72D297353CC}">
              <c16:uniqueId val="{00000001-EFB7-4E52-9817-2BEC73E6BEA5}"/>
            </c:ext>
          </c:extLst>
        </c:ser>
        <c:ser>
          <c:idx val="3"/>
          <c:order val="3"/>
          <c:tx>
            <c:strRef>
              <c:f>Sheet1!$A$5</c:f>
              <c:strCache>
                <c:ptCount val="1"/>
                <c:pt idx="0">
                  <c:v>ծառայություններ</c:v>
                </c:pt>
              </c:strCache>
            </c:strRef>
          </c:tx>
          <c:spPr>
            <a:solidFill>
              <a:srgbClr val="00B0F0"/>
            </a:solidFill>
            <a:ln>
              <a:solidFill>
                <a:srgbClr val="00B0F0"/>
              </a:solidFill>
            </a:ln>
            <a:effectLst/>
          </c:spPr>
          <c:invertIfNegative val="0"/>
          <c:cat>
            <c:strRef>
              <c:f>Sheet1!$B$1:$F$1</c:f>
              <c:strCache>
                <c:ptCount val="5"/>
                <c:pt idx="0">
                  <c:v>հունվար</c:v>
                </c:pt>
                <c:pt idx="1">
                  <c:v>փետրվար</c:v>
                </c:pt>
                <c:pt idx="2">
                  <c:v>մարտ</c:v>
                </c:pt>
                <c:pt idx="3">
                  <c:v>ապրիլ</c:v>
                </c:pt>
                <c:pt idx="4">
                  <c:v>մայիս</c:v>
                </c:pt>
              </c:strCache>
            </c:strRef>
          </c:cat>
          <c:val>
            <c:numRef>
              <c:f>Sheet1!$B$5:$F$5</c:f>
              <c:numCache>
                <c:formatCode>0.0</c:formatCode>
                <c:ptCount val="5"/>
                <c:pt idx="0">
                  <c:v>-5.8410677114275158</c:v>
                </c:pt>
                <c:pt idx="1">
                  <c:v>-5.7483523509286716</c:v>
                </c:pt>
                <c:pt idx="2">
                  <c:v>0.41721912224482538</c:v>
                </c:pt>
                <c:pt idx="3">
                  <c:v>7.1390827584114138</c:v>
                </c:pt>
                <c:pt idx="4">
                  <c:v>8.0198786831504805</c:v>
                </c:pt>
              </c:numCache>
            </c:numRef>
          </c:val>
          <c:extLst>
            <c:ext xmlns:c16="http://schemas.microsoft.com/office/drawing/2014/chart" uri="{C3380CC4-5D6E-409C-BE32-E72D297353CC}">
              <c16:uniqueId val="{00000002-EFB7-4E52-9817-2BEC73E6BEA5}"/>
            </c:ext>
          </c:extLst>
        </c:ser>
        <c:ser>
          <c:idx val="4"/>
          <c:order val="4"/>
          <c:tx>
            <c:strRef>
              <c:f>Sheet1!$A$6</c:f>
              <c:strCache>
                <c:ptCount val="1"/>
                <c:pt idx="0">
                  <c:v>առևտուր</c:v>
                </c:pt>
              </c:strCache>
            </c:strRef>
          </c:tx>
          <c:spPr>
            <a:solidFill>
              <a:srgbClr val="ED7D31"/>
            </a:solidFill>
            <a:ln>
              <a:solidFill>
                <a:srgbClr val="ED7D31"/>
              </a:solidFill>
            </a:ln>
          </c:spPr>
          <c:invertIfNegative val="0"/>
          <c:cat>
            <c:strRef>
              <c:f>Sheet1!$B$1:$F$1</c:f>
              <c:strCache>
                <c:ptCount val="5"/>
                <c:pt idx="0">
                  <c:v>հունվար</c:v>
                </c:pt>
                <c:pt idx="1">
                  <c:v>փետրվար</c:v>
                </c:pt>
                <c:pt idx="2">
                  <c:v>մարտ</c:v>
                </c:pt>
                <c:pt idx="3">
                  <c:v>ապրիլ</c:v>
                </c:pt>
                <c:pt idx="4">
                  <c:v>մայիս</c:v>
                </c:pt>
              </c:strCache>
            </c:strRef>
          </c:cat>
          <c:val>
            <c:numRef>
              <c:f>Sheet1!$B$6:$F$6</c:f>
              <c:numCache>
                <c:formatCode>0.0</c:formatCode>
                <c:ptCount val="5"/>
                <c:pt idx="0">
                  <c:v>-1.6733544808698553</c:v>
                </c:pt>
                <c:pt idx="1">
                  <c:v>-0.91916654582992008</c:v>
                </c:pt>
                <c:pt idx="2">
                  <c:v>0.54207257830995237</c:v>
                </c:pt>
                <c:pt idx="3">
                  <c:v>5.6328411398295133</c:v>
                </c:pt>
                <c:pt idx="4">
                  <c:v>2.0740168213598196</c:v>
                </c:pt>
              </c:numCache>
            </c:numRef>
          </c:val>
          <c:extLst>
            <c:ext xmlns:c16="http://schemas.microsoft.com/office/drawing/2014/chart" uri="{C3380CC4-5D6E-409C-BE32-E72D297353CC}">
              <c16:uniqueId val="{00000003-EFB7-4E52-9817-2BEC73E6BEA5}"/>
            </c:ext>
          </c:extLst>
        </c:ser>
        <c:ser>
          <c:idx val="5"/>
          <c:order val="5"/>
          <c:tx>
            <c:strRef>
              <c:f>Sheet1!$A$7</c:f>
              <c:strCache>
                <c:ptCount val="1"/>
                <c:pt idx="0">
                  <c:v>այլ </c:v>
                </c:pt>
              </c:strCache>
            </c:strRef>
          </c:tx>
          <c:spPr>
            <a:solidFill>
              <a:srgbClr val="5B9BD5">
                <a:lumMod val="40000"/>
                <a:lumOff val="60000"/>
              </a:srgbClr>
            </a:solidFill>
            <a:ln>
              <a:solidFill>
                <a:srgbClr val="5B9BD5">
                  <a:lumMod val="40000"/>
                  <a:lumOff val="60000"/>
                </a:srgbClr>
              </a:solidFill>
            </a:ln>
          </c:spPr>
          <c:invertIfNegative val="0"/>
          <c:cat>
            <c:strRef>
              <c:f>Sheet1!$B$1:$F$1</c:f>
              <c:strCache>
                <c:ptCount val="5"/>
                <c:pt idx="0">
                  <c:v>հունվար</c:v>
                </c:pt>
                <c:pt idx="1">
                  <c:v>փետրվար</c:v>
                </c:pt>
                <c:pt idx="2">
                  <c:v>մարտ</c:v>
                </c:pt>
                <c:pt idx="3">
                  <c:v>ապրիլ</c:v>
                </c:pt>
                <c:pt idx="4">
                  <c:v>մայիս</c:v>
                </c:pt>
              </c:strCache>
            </c:strRef>
          </c:cat>
          <c:val>
            <c:numRef>
              <c:f>Sheet1!$B$7:$F$7</c:f>
              <c:numCache>
                <c:formatCode>0.0</c:formatCode>
                <c:ptCount val="5"/>
                <c:pt idx="0">
                  <c:v>1.4031216472680779</c:v>
                </c:pt>
                <c:pt idx="1">
                  <c:v>1.4191328165092045</c:v>
                </c:pt>
                <c:pt idx="2">
                  <c:v>1.2929361047071866</c:v>
                </c:pt>
                <c:pt idx="3">
                  <c:v>2.2781113699707589E-2</c:v>
                </c:pt>
                <c:pt idx="4">
                  <c:v>-0.96686311728371521</c:v>
                </c:pt>
              </c:numCache>
            </c:numRef>
          </c:val>
          <c:extLst>
            <c:ext xmlns:c16="http://schemas.microsoft.com/office/drawing/2014/chart" uri="{C3380CC4-5D6E-409C-BE32-E72D297353CC}">
              <c16:uniqueId val="{00000004-EFB7-4E52-9817-2BEC73E6BEA5}"/>
            </c:ext>
          </c:extLst>
        </c:ser>
        <c:dLbls>
          <c:showLegendKey val="0"/>
          <c:showVal val="0"/>
          <c:showCatName val="0"/>
          <c:showSerName val="0"/>
          <c:showPercent val="0"/>
          <c:showBubbleSize val="0"/>
        </c:dLbls>
        <c:gapWidth val="219"/>
        <c:overlap val="100"/>
        <c:axId val="147715968"/>
        <c:axId val="147717504"/>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ln>
                <a:solidFill>
                  <a:srgbClr val="4472C4">
                    <a:lumMod val="75000"/>
                  </a:srgbClr>
                </a:solidFill>
              </a:ln>
            </c:spPr>
          </c:marker>
          <c:dLbls>
            <c:dLbl>
              <c:idx val="0"/>
              <c:layout>
                <c:manualLayout>
                  <c:x val="-6.6237445871316594E-2"/>
                  <c:y val="-4.5600377748567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FB7-4E52-9817-2BEC73E6BEA5}"/>
                </c:ext>
              </c:extLst>
            </c:dLbl>
            <c:dLbl>
              <c:idx val="1"/>
              <c:layout>
                <c:manualLayout>
                  <c:x val="-6.6155973405532517E-2"/>
                  <c:y val="-4.5600377748567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FB7-4E52-9817-2BEC73E6BEA5}"/>
                </c:ext>
              </c:extLst>
            </c:dLbl>
            <c:dLbl>
              <c:idx val="2"/>
              <c:layout>
                <c:manualLayout>
                  <c:x val="-6.5993028473964419E-2"/>
                  <c:y val="-4.51613726566188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FB7-4E52-9817-2BEC73E6BEA5}"/>
                </c:ext>
              </c:extLst>
            </c:dLbl>
            <c:dLbl>
              <c:idx val="3"/>
              <c:layout>
                <c:manualLayout>
                  <c:x val="-7.8692797469716913E-2"/>
                  <c:y val="-4.4203728990926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FB7-4E52-9817-2BEC73E6BEA5}"/>
                </c:ext>
              </c:extLst>
            </c:dLbl>
            <c:dLbl>
              <c:idx val="4"/>
              <c:layout>
                <c:manualLayout>
                  <c:x val="-6.1786929630641599E-2"/>
                  <c:y val="-4.4203728990926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FB7-4E52-9817-2BEC73E6BEA5}"/>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հունվար</c:v>
                </c:pt>
                <c:pt idx="1">
                  <c:v>փետրվար</c:v>
                </c:pt>
                <c:pt idx="2">
                  <c:v>մարտ</c:v>
                </c:pt>
                <c:pt idx="3">
                  <c:v>ապրիլ</c:v>
                </c:pt>
                <c:pt idx="4">
                  <c:v>մայիս</c:v>
                </c:pt>
              </c:strCache>
            </c:strRef>
          </c:cat>
          <c:val>
            <c:numRef>
              <c:f>Sheet1!$B$2:$F$2</c:f>
              <c:numCache>
                <c:formatCode>0.0</c:formatCode>
                <c:ptCount val="5"/>
                <c:pt idx="0">
                  <c:v>-8.421859138140988</c:v>
                </c:pt>
                <c:pt idx="1">
                  <c:v>-6.2843529067803416</c:v>
                </c:pt>
                <c:pt idx="2">
                  <c:v>3.9110986294381718</c:v>
                </c:pt>
                <c:pt idx="3">
                  <c:v>23.20037363697358</c:v>
                </c:pt>
                <c:pt idx="4">
                  <c:v>10.900000000000006</c:v>
                </c:pt>
              </c:numCache>
            </c:numRef>
          </c:val>
          <c:smooth val="0"/>
          <c:extLst>
            <c:ext xmlns:c16="http://schemas.microsoft.com/office/drawing/2014/chart" uri="{C3380CC4-5D6E-409C-BE32-E72D297353CC}">
              <c16:uniqueId val="{0000000A-EFB7-4E52-9817-2BEC73E6BEA5}"/>
            </c:ext>
          </c:extLst>
        </c:ser>
        <c:dLbls>
          <c:showLegendKey val="0"/>
          <c:showVal val="0"/>
          <c:showCatName val="0"/>
          <c:showSerName val="0"/>
          <c:showPercent val="0"/>
          <c:showBubbleSize val="0"/>
        </c:dLbls>
        <c:marker val="1"/>
        <c:smooth val="0"/>
        <c:axId val="147715968"/>
        <c:axId val="147717504"/>
      </c:lineChart>
      <c:catAx>
        <c:axId val="1477159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7717504"/>
        <c:crosses val="autoZero"/>
        <c:auto val="1"/>
        <c:lblAlgn val="ctr"/>
        <c:lblOffset val="100"/>
        <c:noMultiLvlLbl val="0"/>
      </c:catAx>
      <c:valAx>
        <c:axId val="147717504"/>
        <c:scaling>
          <c:orientation val="minMax"/>
          <c:max val="25"/>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7715968"/>
        <c:crosses val="autoZero"/>
        <c:crossBetween val="between"/>
      </c:valAx>
      <c:spPr>
        <a:noFill/>
        <a:ln>
          <a:noFill/>
        </a:ln>
        <a:effectLst/>
      </c:spPr>
    </c:plotArea>
    <c:legend>
      <c:legendPos val="b"/>
      <c:layout>
        <c:manualLayout>
          <c:xMode val="edge"/>
          <c:yMode val="edge"/>
          <c:x val="3.9212432830754193E-2"/>
          <c:y val="0.77158400988919762"/>
          <c:w val="0.96078743405166744"/>
          <c:h val="0.2223301266542368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i="1"/>
            </a:pPr>
            <a:r>
              <a:rPr lang="en-US" sz="800" b="1" i="1">
                <a:effectLst/>
                <a:latin typeface="GHEA Grapalat" pitchFamily="50" charset="0"/>
              </a:rPr>
              <a:t>Կ</a:t>
            </a:r>
            <a:r>
              <a:rPr lang="hy-AM" sz="800" b="1" i="1">
                <a:effectLst/>
                <a:latin typeface="GHEA Grapalat" pitchFamily="50" charset="0"/>
              </a:rPr>
              <a:t>որոնավիրուսի դեպքերը ՀՀ-ում 2020-2021թթ.</a:t>
            </a:r>
            <a:endParaRPr lang="en-US" sz="800">
              <a:effectLst/>
              <a:latin typeface="GHEA Grapalat" pitchFamily="50" charset="0"/>
            </a:endParaRPr>
          </a:p>
        </c:rich>
      </c:tx>
      <c:layout>
        <c:manualLayout>
          <c:xMode val="edge"/>
          <c:yMode val="edge"/>
          <c:x val="0.17027329105985642"/>
          <c:y val="2.2671313045328795E-2"/>
        </c:manualLayout>
      </c:layout>
      <c:overlay val="0"/>
      <c:spPr>
        <a:noFill/>
        <a:ln>
          <a:noFill/>
        </a:ln>
        <a:effectLst/>
      </c:spPr>
    </c:title>
    <c:autoTitleDeleted val="0"/>
    <c:plotArea>
      <c:layout>
        <c:manualLayout>
          <c:layoutTarget val="inner"/>
          <c:xMode val="edge"/>
          <c:yMode val="edge"/>
          <c:x val="8.4442155082198489E-2"/>
          <c:y val="0.15778887395173166"/>
          <c:w val="0.83342569824358115"/>
          <c:h val="0.45509734457550283"/>
        </c:manualLayout>
      </c:layout>
      <c:barChart>
        <c:barDir val="col"/>
        <c:grouping val="clustered"/>
        <c:varyColors val="0"/>
        <c:ser>
          <c:idx val="1"/>
          <c:order val="1"/>
          <c:tx>
            <c:strRef>
              <c:f>Sheet1!$C$1</c:f>
              <c:strCache>
                <c:ptCount val="1"/>
                <c:pt idx="0">
                  <c:v>Հաստատված դեպքերը (օրական)</c:v>
                </c:pt>
              </c:strCache>
            </c:strRef>
          </c:tx>
          <c:invertIfNegative val="0"/>
          <c:cat>
            <c:strRef>
              <c:f>Sheet1!$A$2:$A$500</c:f>
              <c:strCache>
                <c:ptCount val="499"/>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498">
                  <c:v>12.07.2021</c:v>
                </c:pt>
              </c:strCache>
            </c:strRef>
          </c:cat>
          <c:val>
            <c:numRef>
              <c:f>Sheet1!$C$2:$C$500</c:f>
              <c:numCache>
                <c:formatCode>General</c:formatCode>
                <c:ptCount val="499"/>
                <c:pt idx="0">
                  <c:v>1</c:v>
                </c:pt>
                <c:pt idx="1">
                  <c:v>0</c:v>
                </c:pt>
                <c:pt idx="2">
                  <c:v>0</c:v>
                </c:pt>
                <c:pt idx="3">
                  <c:v>0</c:v>
                </c:pt>
                <c:pt idx="4">
                  <c:v>0</c:v>
                </c:pt>
                <c:pt idx="5">
                  <c:v>0</c:v>
                </c:pt>
                <c:pt idx="6">
                  <c:v>0</c:v>
                </c:pt>
                <c:pt idx="7">
                  <c:v>0</c:v>
                </c:pt>
                <c:pt idx="8">
                  <c:v>0</c:v>
                </c:pt>
                <c:pt idx="9">
                  <c:v>0</c:v>
                </c:pt>
                <c:pt idx="10">
                  <c:v>3</c:v>
                </c:pt>
                <c:pt idx="11">
                  <c:v>2</c:v>
                </c:pt>
                <c:pt idx="12">
                  <c:v>7</c:v>
                </c:pt>
                <c:pt idx="13">
                  <c:v>7</c:v>
                </c:pt>
                <c:pt idx="14">
                  <c:v>8</c:v>
                </c:pt>
                <c:pt idx="15">
                  <c:v>17</c:v>
                </c:pt>
                <c:pt idx="16">
                  <c:v>33</c:v>
                </c:pt>
                <c:pt idx="17">
                  <c:v>32</c:v>
                </c:pt>
                <c:pt idx="18">
                  <c:v>26</c:v>
                </c:pt>
                <c:pt idx="19">
                  <c:v>24</c:v>
                </c:pt>
                <c:pt idx="20">
                  <c:v>30</c:v>
                </c:pt>
                <c:pt idx="21">
                  <c:v>4</c:v>
                </c:pt>
                <c:pt idx="22">
                  <c:v>41</c:v>
                </c:pt>
                <c:pt idx="23">
                  <c:v>30</c:v>
                </c:pt>
                <c:pt idx="24">
                  <c:v>25</c:v>
                </c:pt>
                <c:pt idx="25">
                  <c:v>39</c:v>
                </c:pt>
                <c:pt idx="26">
                  <c:v>43</c:v>
                </c:pt>
                <c:pt idx="27">
                  <c:v>52</c:v>
                </c:pt>
                <c:pt idx="28">
                  <c:v>58</c:v>
                </c:pt>
                <c:pt idx="29">
                  <c:v>50</c:v>
                </c:pt>
                <c:pt idx="30">
                  <c:v>39</c:v>
                </c:pt>
                <c:pt idx="31">
                  <c:v>92</c:v>
                </c:pt>
                <c:pt idx="32">
                  <c:v>73</c:v>
                </c:pt>
                <c:pt idx="33">
                  <c:v>34</c:v>
                </c:pt>
                <c:pt idx="34">
                  <c:v>52</c:v>
                </c:pt>
                <c:pt idx="35">
                  <c:v>11</c:v>
                </c:pt>
                <c:pt idx="36">
                  <c:v>20</c:v>
                </c:pt>
                <c:pt idx="37">
                  <c:v>28</c:v>
                </c:pt>
                <c:pt idx="38">
                  <c:v>40</c:v>
                </c:pt>
                <c:pt idx="39">
                  <c:v>16</c:v>
                </c:pt>
                <c:pt idx="40">
                  <c:v>30</c:v>
                </c:pt>
                <c:pt idx="41">
                  <c:v>46</c:v>
                </c:pt>
                <c:pt idx="42">
                  <c:v>26</c:v>
                </c:pt>
                <c:pt idx="43">
                  <c:v>28</c:v>
                </c:pt>
                <c:pt idx="44">
                  <c:v>44</c:v>
                </c:pt>
                <c:pt idx="45">
                  <c:v>48</c:v>
                </c:pt>
                <c:pt idx="46">
                  <c:v>42</c:v>
                </c:pt>
                <c:pt idx="47">
                  <c:v>47</c:v>
                </c:pt>
                <c:pt idx="48">
                  <c:v>43</c:v>
                </c:pt>
                <c:pt idx="49">
                  <c:v>48</c:v>
                </c:pt>
                <c:pt idx="50">
                  <c:v>62</c:v>
                </c:pt>
                <c:pt idx="51">
                  <c:v>72</c:v>
                </c:pt>
                <c:pt idx="52">
                  <c:v>50</c:v>
                </c:pt>
                <c:pt idx="53">
                  <c:v>73</c:v>
                </c:pt>
                <c:pt idx="54">
                  <c:v>81</c:v>
                </c:pt>
                <c:pt idx="55">
                  <c:v>69</c:v>
                </c:pt>
                <c:pt idx="56">
                  <c:v>62</c:v>
                </c:pt>
                <c:pt idx="57">
                  <c:v>59</c:v>
                </c:pt>
                <c:pt idx="58">
                  <c:v>65</c:v>
                </c:pt>
                <c:pt idx="59">
                  <c:v>134</c:v>
                </c:pt>
                <c:pt idx="60">
                  <c:v>82</c:v>
                </c:pt>
                <c:pt idx="61">
                  <c:v>125</c:v>
                </c:pt>
                <c:pt idx="62">
                  <c:v>113</c:v>
                </c:pt>
                <c:pt idx="63">
                  <c:v>121</c:v>
                </c:pt>
                <c:pt idx="64">
                  <c:v>112</c:v>
                </c:pt>
                <c:pt idx="65">
                  <c:v>163</c:v>
                </c:pt>
                <c:pt idx="66">
                  <c:v>102</c:v>
                </c:pt>
                <c:pt idx="67">
                  <c:v>145</c:v>
                </c:pt>
                <c:pt idx="68">
                  <c:v>146</c:v>
                </c:pt>
                <c:pt idx="69">
                  <c:v>138</c:v>
                </c:pt>
                <c:pt idx="70">
                  <c:v>79</c:v>
                </c:pt>
                <c:pt idx="71">
                  <c:v>146</c:v>
                </c:pt>
                <c:pt idx="72">
                  <c:v>180</c:v>
                </c:pt>
                <c:pt idx="73">
                  <c:v>142</c:v>
                </c:pt>
                <c:pt idx="74">
                  <c:v>184</c:v>
                </c:pt>
                <c:pt idx="75">
                  <c:v>239</c:v>
                </c:pt>
                <c:pt idx="76">
                  <c:v>189</c:v>
                </c:pt>
                <c:pt idx="77">
                  <c:v>351</c:v>
                </c:pt>
                <c:pt idx="78">
                  <c:v>218</c:v>
                </c:pt>
                <c:pt idx="79">
                  <c:v>230</c:v>
                </c:pt>
                <c:pt idx="80">
                  <c:v>335</c:v>
                </c:pt>
                <c:pt idx="81">
                  <c:v>322</c:v>
                </c:pt>
                <c:pt idx="82">
                  <c:v>374</c:v>
                </c:pt>
                <c:pt idx="83">
                  <c:v>359</c:v>
                </c:pt>
                <c:pt idx="84">
                  <c:v>452</c:v>
                </c:pt>
                <c:pt idx="85">
                  <c:v>289</c:v>
                </c:pt>
                <c:pt idx="86">
                  <c:v>372</c:v>
                </c:pt>
                <c:pt idx="87">
                  <c:v>442</c:v>
                </c:pt>
                <c:pt idx="88">
                  <c:v>460</c:v>
                </c:pt>
                <c:pt idx="89">
                  <c:v>251</c:v>
                </c:pt>
                <c:pt idx="90">
                  <c:v>355</c:v>
                </c:pt>
                <c:pt idx="91">
                  <c:v>210</c:v>
                </c:pt>
                <c:pt idx="92">
                  <c:v>517</c:v>
                </c:pt>
                <c:pt idx="93">
                  <c:v>515</c:v>
                </c:pt>
                <c:pt idx="94">
                  <c:v>697</c:v>
                </c:pt>
                <c:pt idx="95">
                  <c:v>596</c:v>
                </c:pt>
                <c:pt idx="96">
                  <c:v>547</c:v>
                </c:pt>
                <c:pt idx="97">
                  <c:v>766</c:v>
                </c:pt>
                <c:pt idx="98">
                  <c:v>195</c:v>
                </c:pt>
                <c:pt idx="99">
                  <c:v>350</c:v>
                </c:pt>
                <c:pt idx="100">
                  <c:v>428</c:v>
                </c:pt>
                <c:pt idx="101">
                  <c:v>566</c:v>
                </c:pt>
                <c:pt idx="102">
                  <c:v>612</c:v>
                </c:pt>
                <c:pt idx="103">
                  <c:v>723</c:v>
                </c:pt>
                <c:pt idx="104">
                  <c:v>663</c:v>
                </c:pt>
                <c:pt idx="105">
                  <c:v>397</c:v>
                </c:pt>
                <c:pt idx="106">
                  <c:v>425</c:v>
                </c:pt>
                <c:pt idx="107">
                  <c:v>544</c:v>
                </c:pt>
                <c:pt idx="108">
                  <c:v>665</c:v>
                </c:pt>
                <c:pt idx="109">
                  <c:v>459</c:v>
                </c:pt>
                <c:pt idx="110">
                  <c:v>551</c:v>
                </c:pt>
                <c:pt idx="111">
                  <c:v>560</c:v>
                </c:pt>
                <c:pt idx="112">
                  <c:v>320</c:v>
                </c:pt>
                <c:pt idx="113">
                  <c:v>418</c:v>
                </c:pt>
                <c:pt idx="114">
                  <c:v>711</c:v>
                </c:pt>
                <c:pt idx="115">
                  <c:v>771</c:v>
                </c:pt>
                <c:pt idx="116">
                  <c:v>759</c:v>
                </c:pt>
                <c:pt idx="117">
                  <c:v>662</c:v>
                </c:pt>
                <c:pt idx="118">
                  <c:v>736</c:v>
                </c:pt>
                <c:pt idx="119">
                  <c:v>482</c:v>
                </c:pt>
                <c:pt idx="120">
                  <c:v>415</c:v>
                </c:pt>
                <c:pt idx="121">
                  <c:v>523</c:v>
                </c:pt>
                <c:pt idx="122">
                  <c:v>593</c:v>
                </c:pt>
                <c:pt idx="123">
                  <c:v>662</c:v>
                </c:pt>
                <c:pt idx="124">
                  <c:v>580</c:v>
                </c:pt>
                <c:pt idx="125">
                  <c:v>706</c:v>
                </c:pt>
                <c:pt idx="126">
                  <c:v>330</c:v>
                </c:pt>
                <c:pt idx="127">
                  <c:v>349</c:v>
                </c:pt>
                <c:pt idx="128">
                  <c:v>535</c:v>
                </c:pt>
                <c:pt idx="129">
                  <c:v>526</c:v>
                </c:pt>
                <c:pt idx="130">
                  <c:v>557</c:v>
                </c:pt>
                <c:pt idx="131">
                  <c:v>489</c:v>
                </c:pt>
                <c:pt idx="132">
                  <c:v>577</c:v>
                </c:pt>
                <c:pt idx="133">
                  <c:v>182</c:v>
                </c:pt>
                <c:pt idx="134">
                  <c:v>339</c:v>
                </c:pt>
                <c:pt idx="135">
                  <c:v>515</c:v>
                </c:pt>
                <c:pt idx="136">
                  <c:v>554</c:v>
                </c:pt>
                <c:pt idx="137">
                  <c:v>442</c:v>
                </c:pt>
                <c:pt idx="138">
                  <c:v>461</c:v>
                </c:pt>
                <c:pt idx="139">
                  <c:v>415</c:v>
                </c:pt>
                <c:pt idx="140">
                  <c:v>104</c:v>
                </c:pt>
                <c:pt idx="141">
                  <c:v>273</c:v>
                </c:pt>
                <c:pt idx="142">
                  <c:v>439</c:v>
                </c:pt>
                <c:pt idx="143">
                  <c:v>469</c:v>
                </c:pt>
                <c:pt idx="144">
                  <c:v>451</c:v>
                </c:pt>
                <c:pt idx="145">
                  <c:v>383</c:v>
                </c:pt>
                <c:pt idx="146">
                  <c:v>321</c:v>
                </c:pt>
                <c:pt idx="147">
                  <c:v>73</c:v>
                </c:pt>
                <c:pt idx="148">
                  <c:v>239</c:v>
                </c:pt>
                <c:pt idx="149">
                  <c:v>308</c:v>
                </c:pt>
                <c:pt idx="150">
                  <c:v>259</c:v>
                </c:pt>
                <c:pt idx="151">
                  <c:v>354</c:v>
                </c:pt>
                <c:pt idx="152">
                  <c:v>291</c:v>
                </c:pt>
                <c:pt idx="153">
                  <c:v>209</c:v>
                </c:pt>
                <c:pt idx="154">
                  <c:v>52</c:v>
                </c:pt>
                <c:pt idx="155">
                  <c:v>196</c:v>
                </c:pt>
                <c:pt idx="156">
                  <c:v>288</c:v>
                </c:pt>
                <c:pt idx="157">
                  <c:v>233</c:v>
                </c:pt>
                <c:pt idx="158">
                  <c:v>166</c:v>
                </c:pt>
                <c:pt idx="159">
                  <c:v>200</c:v>
                </c:pt>
                <c:pt idx="160">
                  <c:v>225</c:v>
                </c:pt>
                <c:pt idx="161">
                  <c:v>23</c:v>
                </c:pt>
                <c:pt idx="162">
                  <c:v>160</c:v>
                </c:pt>
                <c:pt idx="163">
                  <c:v>201</c:v>
                </c:pt>
                <c:pt idx="164">
                  <c:v>229</c:v>
                </c:pt>
                <c:pt idx="165">
                  <c:v>276</c:v>
                </c:pt>
                <c:pt idx="166">
                  <c:v>196</c:v>
                </c:pt>
                <c:pt idx="167">
                  <c:v>168</c:v>
                </c:pt>
                <c:pt idx="168">
                  <c:v>38</c:v>
                </c:pt>
                <c:pt idx="169">
                  <c:v>145</c:v>
                </c:pt>
                <c:pt idx="170">
                  <c:v>210</c:v>
                </c:pt>
                <c:pt idx="171">
                  <c:v>263</c:v>
                </c:pt>
                <c:pt idx="172">
                  <c:v>158</c:v>
                </c:pt>
                <c:pt idx="173">
                  <c:v>139</c:v>
                </c:pt>
                <c:pt idx="174">
                  <c:v>176</c:v>
                </c:pt>
                <c:pt idx="175">
                  <c:v>33</c:v>
                </c:pt>
                <c:pt idx="176">
                  <c:v>111</c:v>
                </c:pt>
                <c:pt idx="177">
                  <c:v>131</c:v>
                </c:pt>
                <c:pt idx="178">
                  <c:v>203</c:v>
                </c:pt>
                <c:pt idx="179">
                  <c:v>181</c:v>
                </c:pt>
                <c:pt idx="180">
                  <c:v>175</c:v>
                </c:pt>
                <c:pt idx="181">
                  <c:v>124</c:v>
                </c:pt>
                <c:pt idx="182">
                  <c:v>31</c:v>
                </c:pt>
                <c:pt idx="183">
                  <c:v>97</c:v>
                </c:pt>
                <c:pt idx="184">
                  <c:v>197</c:v>
                </c:pt>
                <c:pt idx="185">
                  <c:v>196</c:v>
                </c:pt>
                <c:pt idx="186">
                  <c:v>190</c:v>
                </c:pt>
                <c:pt idx="187">
                  <c:v>188</c:v>
                </c:pt>
                <c:pt idx="188">
                  <c:v>134</c:v>
                </c:pt>
                <c:pt idx="189">
                  <c:v>62</c:v>
                </c:pt>
                <c:pt idx="190">
                  <c:v>108</c:v>
                </c:pt>
                <c:pt idx="191">
                  <c:v>199</c:v>
                </c:pt>
                <c:pt idx="192">
                  <c:v>174</c:v>
                </c:pt>
                <c:pt idx="193">
                  <c:v>177</c:v>
                </c:pt>
                <c:pt idx="194">
                  <c:v>172</c:v>
                </c:pt>
                <c:pt idx="195">
                  <c:v>187</c:v>
                </c:pt>
                <c:pt idx="196">
                  <c:v>107</c:v>
                </c:pt>
                <c:pt idx="197">
                  <c:v>150</c:v>
                </c:pt>
                <c:pt idx="198">
                  <c:v>257</c:v>
                </c:pt>
                <c:pt idx="199">
                  <c:v>295</c:v>
                </c:pt>
                <c:pt idx="200">
                  <c:v>239</c:v>
                </c:pt>
                <c:pt idx="201">
                  <c:v>244</c:v>
                </c:pt>
                <c:pt idx="202">
                  <c:v>277</c:v>
                </c:pt>
                <c:pt idx="203">
                  <c:v>121</c:v>
                </c:pt>
                <c:pt idx="204">
                  <c:v>115</c:v>
                </c:pt>
                <c:pt idx="205">
                  <c:v>210</c:v>
                </c:pt>
                <c:pt idx="206">
                  <c:v>374</c:v>
                </c:pt>
                <c:pt idx="207">
                  <c:v>392</c:v>
                </c:pt>
                <c:pt idx="208">
                  <c:v>429</c:v>
                </c:pt>
                <c:pt idx="209">
                  <c:v>328</c:v>
                </c:pt>
                <c:pt idx="210">
                  <c:v>174</c:v>
                </c:pt>
                <c:pt idx="211">
                  <c:v>327</c:v>
                </c:pt>
                <c:pt idx="212">
                  <c:v>458</c:v>
                </c:pt>
                <c:pt idx="213">
                  <c:v>491</c:v>
                </c:pt>
                <c:pt idx="214">
                  <c:v>532</c:v>
                </c:pt>
                <c:pt idx="215">
                  <c:v>543</c:v>
                </c:pt>
                <c:pt idx="216">
                  <c:v>571</c:v>
                </c:pt>
                <c:pt idx="217">
                  <c:v>181</c:v>
                </c:pt>
                <c:pt idx="218">
                  <c:v>406</c:v>
                </c:pt>
                <c:pt idx="219">
                  <c:v>672</c:v>
                </c:pt>
                <c:pt idx="220">
                  <c:v>718</c:v>
                </c:pt>
                <c:pt idx="221">
                  <c:v>614</c:v>
                </c:pt>
                <c:pt idx="222">
                  <c:v>649</c:v>
                </c:pt>
                <c:pt idx="223">
                  <c:v>715</c:v>
                </c:pt>
                <c:pt idx="224">
                  <c:v>370</c:v>
                </c:pt>
                <c:pt idx="225">
                  <c:v>745</c:v>
                </c:pt>
                <c:pt idx="226">
                  <c:v>1058</c:v>
                </c:pt>
                <c:pt idx="227">
                  <c:v>1371</c:v>
                </c:pt>
                <c:pt idx="228">
                  <c:v>1465</c:v>
                </c:pt>
                <c:pt idx="229">
                  <c:v>1540</c:v>
                </c:pt>
                <c:pt idx="230">
                  <c:v>1694</c:v>
                </c:pt>
                <c:pt idx="231">
                  <c:v>766</c:v>
                </c:pt>
                <c:pt idx="232">
                  <c:v>1234</c:v>
                </c:pt>
                <c:pt idx="233">
                  <c:v>1836</c:v>
                </c:pt>
                <c:pt idx="234">
                  <c:v>2306</c:v>
                </c:pt>
                <c:pt idx="235">
                  <c:v>2474</c:v>
                </c:pt>
                <c:pt idx="236">
                  <c:v>2213</c:v>
                </c:pt>
                <c:pt idx="237">
                  <c:v>2314</c:v>
                </c:pt>
                <c:pt idx="238">
                  <c:v>973</c:v>
                </c:pt>
                <c:pt idx="239">
                  <c:v>1600</c:v>
                </c:pt>
                <c:pt idx="240">
                  <c:v>2241</c:v>
                </c:pt>
                <c:pt idx="241">
                  <c:v>2383</c:v>
                </c:pt>
                <c:pt idx="242">
                  <c:v>2398</c:v>
                </c:pt>
                <c:pt idx="243">
                  <c:v>2381</c:v>
                </c:pt>
                <c:pt idx="244">
                  <c:v>2441</c:v>
                </c:pt>
                <c:pt idx="245">
                  <c:v>1194</c:v>
                </c:pt>
                <c:pt idx="246">
                  <c:v>1328</c:v>
                </c:pt>
                <c:pt idx="247">
                  <c:v>2374</c:v>
                </c:pt>
                <c:pt idx="248">
                  <c:v>2413</c:v>
                </c:pt>
                <c:pt idx="249">
                  <c:v>2210</c:v>
                </c:pt>
                <c:pt idx="250">
                  <c:v>2476</c:v>
                </c:pt>
                <c:pt idx="251">
                  <c:v>2175</c:v>
                </c:pt>
                <c:pt idx="252">
                  <c:v>1042</c:v>
                </c:pt>
                <c:pt idx="253">
                  <c:v>1221</c:v>
                </c:pt>
                <c:pt idx="254">
                  <c:v>1861</c:v>
                </c:pt>
                <c:pt idx="255">
                  <c:v>2132</c:v>
                </c:pt>
                <c:pt idx="256">
                  <c:v>1703</c:v>
                </c:pt>
                <c:pt idx="257">
                  <c:v>1472</c:v>
                </c:pt>
                <c:pt idx="258">
                  <c:v>1482</c:v>
                </c:pt>
                <c:pt idx="259">
                  <c:v>549</c:v>
                </c:pt>
                <c:pt idx="260">
                  <c:v>984</c:v>
                </c:pt>
                <c:pt idx="261">
                  <c:v>1589</c:v>
                </c:pt>
                <c:pt idx="262">
                  <c:v>1520</c:v>
                </c:pt>
                <c:pt idx="263">
                  <c:v>1667</c:v>
                </c:pt>
                <c:pt idx="264">
                  <c:v>1193</c:v>
                </c:pt>
                <c:pt idx="265">
                  <c:v>1385</c:v>
                </c:pt>
                <c:pt idx="266">
                  <c:v>485</c:v>
                </c:pt>
                <c:pt idx="267">
                  <c:v>813</c:v>
                </c:pt>
                <c:pt idx="268">
                  <c:v>1563</c:v>
                </c:pt>
                <c:pt idx="269">
                  <c:v>1785</c:v>
                </c:pt>
                <c:pt idx="270">
                  <c:v>1476</c:v>
                </c:pt>
                <c:pt idx="271">
                  <c:v>1248</c:v>
                </c:pt>
                <c:pt idx="272">
                  <c:v>1174</c:v>
                </c:pt>
                <c:pt idx="273">
                  <c:v>356</c:v>
                </c:pt>
                <c:pt idx="274">
                  <c:v>843</c:v>
                </c:pt>
                <c:pt idx="275">
                  <c:v>1264</c:v>
                </c:pt>
                <c:pt idx="276">
                  <c:v>1277</c:v>
                </c:pt>
                <c:pt idx="277">
                  <c:v>1184</c:v>
                </c:pt>
                <c:pt idx="278">
                  <c:v>1267</c:v>
                </c:pt>
                <c:pt idx="279">
                  <c:v>978</c:v>
                </c:pt>
                <c:pt idx="280">
                  <c:v>407</c:v>
                </c:pt>
                <c:pt idx="281">
                  <c:v>584</c:v>
                </c:pt>
                <c:pt idx="282">
                  <c:v>1138</c:v>
                </c:pt>
                <c:pt idx="283">
                  <c:v>1174</c:v>
                </c:pt>
                <c:pt idx="284">
                  <c:v>1077</c:v>
                </c:pt>
                <c:pt idx="285">
                  <c:v>995</c:v>
                </c:pt>
                <c:pt idx="286">
                  <c:v>1013</c:v>
                </c:pt>
                <c:pt idx="287">
                  <c:v>357</c:v>
                </c:pt>
                <c:pt idx="288">
                  <c:v>438</c:v>
                </c:pt>
                <c:pt idx="289">
                  <c:v>1098</c:v>
                </c:pt>
                <c:pt idx="290">
                  <c:v>1174</c:v>
                </c:pt>
                <c:pt idx="291">
                  <c:v>861</c:v>
                </c:pt>
                <c:pt idx="292">
                  <c:v>920</c:v>
                </c:pt>
                <c:pt idx="293">
                  <c:v>652</c:v>
                </c:pt>
                <c:pt idx="294">
                  <c:v>240</c:v>
                </c:pt>
                <c:pt idx="295">
                  <c:v>537</c:v>
                </c:pt>
                <c:pt idx="296">
                  <c:v>838</c:v>
                </c:pt>
                <c:pt idx="297">
                  <c:v>702</c:v>
                </c:pt>
                <c:pt idx="298">
                  <c:v>621</c:v>
                </c:pt>
                <c:pt idx="299">
                  <c:v>586</c:v>
                </c:pt>
                <c:pt idx="300">
                  <c:v>485</c:v>
                </c:pt>
                <c:pt idx="301">
                  <c:v>114</c:v>
                </c:pt>
                <c:pt idx="302">
                  <c:v>348</c:v>
                </c:pt>
                <c:pt idx="303">
                  <c:v>582</c:v>
                </c:pt>
                <c:pt idx="304">
                  <c:v>531</c:v>
                </c:pt>
                <c:pt idx="305">
                  <c:v>329</c:v>
                </c:pt>
                <c:pt idx="306">
                  <c:v>60</c:v>
                </c:pt>
                <c:pt idx="307">
                  <c:v>229</c:v>
                </c:pt>
                <c:pt idx="308">
                  <c:v>193</c:v>
                </c:pt>
                <c:pt idx="309">
                  <c:v>324</c:v>
                </c:pt>
                <c:pt idx="310">
                  <c:v>309</c:v>
                </c:pt>
                <c:pt idx="311">
                  <c:v>201</c:v>
                </c:pt>
                <c:pt idx="312">
                  <c:v>361</c:v>
                </c:pt>
                <c:pt idx="313">
                  <c:v>379</c:v>
                </c:pt>
                <c:pt idx="314">
                  <c:v>337</c:v>
                </c:pt>
                <c:pt idx="315">
                  <c:v>157</c:v>
                </c:pt>
                <c:pt idx="316">
                  <c:v>355</c:v>
                </c:pt>
                <c:pt idx="317">
                  <c:v>485</c:v>
                </c:pt>
                <c:pt idx="318">
                  <c:v>448</c:v>
                </c:pt>
                <c:pt idx="319">
                  <c:v>396</c:v>
                </c:pt>
                <c:pt idx="320">
                  <c:v>263</c:v>
                </c:pt>
                <c:pt idx="321">
                  <c:v>351</c:v>
                </c:pt>
                <c:pt idx="322">
                  <c:v>90</c:v>
                </c:pt>
                <c:pt idx="323">
                  <c:v>236</c:v>
                </c:pt>
                <c:pt idx="324">
                  <c:v>309</c:v>
                </c:pt>
                <c:pt idx="325">
                  <c:v>307</c:v>
                </c:pt>
                <c:pt idx="326">
                  <c:v>183</c:v>
                </c:pt>
                <c:pt idx="327">
                  <c:v>198</c:v>
                </c:pt>
                <c:pt idx="328">
                  <c:v>127</c:v>
                </c:pt>
                <c:pt idx="329">
                  <c:v>58</c:v>
                </c:pt>
                <c:pt idx="330">
                  <c:v>138</c:v>
                </c:pt>
                <c:pt idx="331">
                  <c:v>195</c:v>
                </c:pt>
                <c:pt idx="332">
                  <c:v>242</c:v>
                </c:pt>
                <c:pt idx="333">
                  <c:v>59</c:v>
                </c:pt>
                <c:pt idx="334">
                  <c:v>173</c:v>
                </c:pt>
                <c:pt idx="335">
                  <c:v>125</c:v>
                </c:pt>
                <c:pt idx="336">
                  <c:v>62</c:v>
                </c:pt>
                <c:pt idx="337">
                  <c:v>143</c:v>
                </c:pt>
                <c:pt idx="338">
                  <c:v>190</c:v>
                </c:pt>
                <c:pt idx="339">
                  <c:v>147</c:v>
                </c:pt>
                <c:pt idx="340">
                  <c:v>158</c:v>
                </c:pt>
                <c:pt idx="341">
                  <c:v>211</c:v>
                </c:pt>
                <c:pt idx="342">
                  <c:v>151</c:v>
                </c:pt>
                <c:pt idx="343">
                  <c:v>89</c:v>
                </c:pt>
                <c:pt idx="344">
                  <c:v>123</c:v>
                </c:pt>
                <c:pt idx="345">
                  <c:v>196</c:v>
                </c:pt>
                <c:pt idx="346">
                  <c:v>180</c:v>
                </c:pt>
                <c:pt idx="347">
                  <c:v>154</c:v>
                </c:pt>
                <c:pt idx="348">
                  <c:v>192</c:v>
                </c:pt>
                <c:pt idx="349">
                  <c:v>145</c:v>
                </c:pt>
                <c:pt idx="350">
                  <c:v>88</c:v>
                </c:pt>
                <c:pt idx="351">
                  <c:v>136</c:v>
                </c:pt>
                <c:pt idx="352">
                  <c:v>206</c:v>
                </c:pt>
                <c:pt idx="353">
                  <c:v>223</c:v>
                </c:pt>
                <c:pt idx="354">
                  <c:v>191</c:v>
                </c:pt>
                <c:pt idx="355">
                  <c:v>223</c:v>
                </c:pt>
                <c:pt idx="356">
                  <c:v>168</c:v>
                </c:pt>
                <c:pt idx="357">
                  <c:v>104</c:v>
                </c:pt>
                <c:pt idx="358">
                  <c:v>166</c:v>
                </c:pt>
                <c:pt idx="359">
                  <c:v>273</c:v>
                </c:pt>
                <c:pt idx="360">
                  <c:v>282</c:v>
                </c:pt>
                <c:pt idx="361">
                  <c:v>283</c:v>
                </c:pt>
                <c:pt idx="362">
                  <c:v>283</c:v>
                </c:pt>
                <c:pt idx="363">
                  <c:v>265</c:v>
                </c:pt>
                <c:pt idx="364">
                  <c:v>158</c:v>
                </c:pt>
                <c:pt idx="365">
                  <c:v>240</c:v>
                </c:pt>
                <c:pt idx="366">
                  <c:v>360</c:v>
                </c:pt>
                <c:pt idx="367">
                  <c:v>491</c:v>
                </c:pt>
                <c:pt idx="368">
                  <c:v>442</c:v>
                </c:pt>
                <c:pt idx="369">
                  <c:v>508</c:v>
                </c:pt>
                <c:pt idx="370">
                  <c:v>422</c:v>
                </c:pt>
                <c:pt idx="371">
                  <c:v>337</c:v>
                </c:pt>
                <c:pt idx="372">
                  <c:v>182</c:v>
                </c:pt>
                <c:pt idx="373">
                  <c:v>340</c:v>
                </c:pt>
                <c:pt idx="374">
                  <c:v>748</c:v>
                </c:pt>
                <c:pt idx="375">
                  <c:v>818</c:v>
                </c:pt>
                <c:pt idx="376">
                  <c:v>795</c:v>
                </c:pt>
                <c:pt idx="377">
                  <c:v>486</c:v>
                </c:pt>
                <c:pt idx="378">
                  <c:v>317</c:v>
                </c:pt>
                <c:pt idx="379">
                  <c:v>585</c:v>
                </c:pt>
                <c:pt idx="380">
                  <c:v>854</c:v>
                </c:pt>
                <c:pt idx="381">
                  <c:v>1024</c:v>
                </c:pt>
                <c:pt idx="382">
                  <c:v>891</c:v>
                </c:pt>
                <c:pt idx="383">
                  <c:v>1071</c:v>
                </c:pt>
                <c:pt idx="384">
                  <c:v>586</c:v>
                </c:pt>
                <c:pt idx="385">
                  <c:v>506</c:v>
                </c:pt>
                <c:pt idx="386">
                  <c:v>801</c:v>
                </c:pt>
                <c:pt idx="387">
                  <c:v>1164</c:v>
                </c:pt>
                <c:pt idx="388">
                  <c:v>1257</c:v>
                </c:pt>
                <c:pt idx="389">
                  <c:v>1005</c:v>
                </c:pt>
                <c:pt idx="390">
                  <c:v>1094</c:v>
                </c:pt>
                <c:pt idx="391">
                  <c:v>777</c:v>
                </c:pt>
                <c:pt idx="392">
                  <c:v>424</c:v>
                </c:pt>
                <c:pt idx="393">
                  <c:v>750</c:v>
                </c:pt>
                <c:pt idx="394">
                  <c:v>1148</c:v>
                </c:pt>
                <c:pt idx="395">
                  <c:v>1097</c:v>
                </c:pt>
                <c:pt idx="396">
                  <c:v>1116</c:v>
                </c:pt>
                <c:pt idx="397">
                  <c:v>1192</c:v>
                </c:pt>
                <c:pt idx="398">
                  <c:v>590</c:v>
                </c:pt>
                <c:pt idx="399">
                  <c:v>479</c:v>
                </c:pt>
                <c:pt idx="400">
                  <c:v>760</c:v>
                </c:pt>
                <c:pt idx="401">
                  <c:v>1025</c:v>
                </c:pt>
                <c:pt idx="402">
                  <c:v>1231</c:v>
                </c:pt>
                <c:pt idx="403">
                  <c:v>1029</c:v>
                </c:pt>
                <c:pt idx="404">
                  <c:v>1009</c:v>
                </c:pt>
                <c:pt idx="405">
                  <c:v>650</c:v>
                </c:pt>
                <c:pt idx="406">
                  <c:v>510</c:v>
                </c:pt>
                <c:pt idx="407">
                  <c:v>726</c:v>
                </c:pt>
                <c:pt idx="408">
                  <c:v>1075</c:v>
                </c:pt>
                <c:pt idx="409">
                  <c:v>1014</c:v>
                </c:pt>
                <c:pt idx="410">
                  <c:v>961</c:v>
                </c:pt>
                <c:pt idx="411">
                  <c:v>870</c:v>
                </c:pt>
                <c:pt idx="412">
                  <c:v>547</c:v>
                </c:pt>
                <c:pt idx="413">
                  <c:v>298</c:v>
                </c:pt>
                <c:pt idx="414">
                  <c:v>667</c:v>
                </c:pt>
                <c:pt idx="415">
                  <c:v>1033</c:v>
                </c:pt>
                <c:pt idx="416">
                  <c:v>881</c:v>
                </c:pt>
                <c:pt idx="417">
                  <c:v>715</c:v>
                </c:pt>
                <c:pt idx="418">
                  <c:v>764</c:v>
                </c:pt>
                <c:pt idx="419">
                  <c:v>410</c:v>
                </c:pt>
                <c:pt idx="420">
                  <c:v>181</c:v>
                </c:pt>
                <c:pt idx="421">
                  <c:v>595</c:v>
                </c:pt>
                <c:pt idx="422">
                  <c:v>808</c:v>
                </c:pt>
                <c:pt idx="423">
                  <c:v>656</c:v>
                </c:pt>
                <c:pt idx="424">
                  <c:v>536</c:v>
                </c:pt>
                <c:pt idx="425">
                  <c:v>532</c:v>
                </c:pt>
                <c:pt idx="426">
                  <c:v>267</c:v>
                </c:pt>
                <c:pt idx="427">
                  <c:v>145</c:v>
                </c:pt>
                <c:pt idx="428">
                  <c:v>399</c:v>
                </c:pt>
                <c:pt idx="429">
                  <c:v>493</c:v>
                </c:pt>
                <c:pt idx="430">
                  <c:v>425</c:v>
                </c:pt>
                <c:pt idx="431">
                  <c:v>356</c:v>
                </c:pt>
                <c:pt idx="432">
                  <c:v>411</c:v>
                </c:pt>
                <c:pt idx="433">
                  <c:v>178</c:v>
                </c:pt>
                <c:pt idx="434">
                  <c:v>83</c:v>
                </c:pt>
                <c:pt idx="435">
                  <c:v>243</c:v>
                </c:pt>
                <c:pt idx="436">
                  <c:v>354</c:v>
                </c:pt>
                <c:pt idx="437">
                  <c:v>267</c:v>
                </c:pt>
                <c:pt idx="438">
                  <c:v>230</c:v>
                </c:pt>
                <c:pt idx="439">
                  <c:v>282</c:v>
                </c:pt>
                <c:pt idx="440">
                  <c:v>131</c:v>
                </c:pt>
                <c:pt idx="441">
                  <c:v>67</c:v>
                </c:pt>
                <c:pt idx="442">
                  <c:v>212</c:v>
                </c:pt>
                <c:pt idx="443">
                  <c:v>229</c:v>
                </c:pt>
                <c:pt idx="444">
                  <c:v>191</c:v>
                </c:pt>
                <c:pt idx="445">
                  <c:v>140</c:v>
                </c:pt>
                <c:pt idx="446">
                  <c:v>181</c:v>
                </c:pt>
                <c:pt idx="447">
                  <c:v>68</c:v>
                </c:pt>
                <c:pt idx="448">
                  <c:v>34</c:v>
                </c:pt>
                <c:pt idx="449">
                  <c:v>157</c:v>
                </c:pt>
                <c:pt idx="450">
                  <c:v>130</c:v>
                </c:pt>
                <c:pt idx="451">
                  <c:v>140</c:v>
                </c:pt>
                <c:pt idx="452">
                  <c:v>104</c:v>
                </c:pt>
                <c:pt idx="453">
                  <c:v>42</c:v>
                </c:pt>
                <c:pt idx="454">
                  <c:v>81</c:v>
                </c:pt>
                <c:pt idx="455">
                  <c:v>34</c:v>
                </c:pt>
                <c:pt idx="456">
                  <c:v>108</c:v>
                </c:pt>
                <c:pt idx="457">
                  <c:v>92</c:v>
                </c:pt>
                <c:pt idx="458">
                  <c:v>108</c:v>
                </c:pt>
                <c:pt idx="459">
                  <c:v>72</c:v>
                </c:pt>
                <c:pt idx="460">
                  <c:v>93</c:v>
                </c:pt>
                <c:pt idx="461">
                  <c:v>37</c:v>
                </c:pt>
                <c:pt idx="462">
                  <c:v>32</c:v>
                </c:pt>
                <c:pt idx="463">
                  <c:v>73</c:v>
                </c:pt>
                <c:pt idx="464">
                  <c:v>99</c:v>
                </c:pt>
                <c:pt idx="465">
                  <c:v>76</c:v>
                </c:pt>
                <c:pt idx="466">
                  <c:v>95</c:v>
                </c:pt>
                <c:pt idx="467">
                  <c:v>88</c:v>
                </c:pt>
                <c:pt idx="468">
                  <c:v>39</c:v>
                </c:pt>
                <c:pt idx="469">
                  <c:v>41</c:v>
                </c:pt>
                <c:pt idx="470">
                  <c:v>82</c:v>
                </c:pt>
                <c:pt idx="471">
                  <c:v>99</c:v>
                </c:pt>
                <c:pt idx="472">
                  <c:v>96</c:v>
                </c:pt>
                <c:pt idx="473">
                  <c:v>86</c:v>
                </c:pt>
                <c:pt idx="474">
                  <c:v>81</c:v>
                </c:pt>
                <c:pt idx="475">
                  <c:v>60</c:v>
                </c:pt>
                <c:pt idx="476">
                  <c:v>26</c:v>
                </c:pt>
                <c:pt idx="477">
                  <c:v>77</c:v>
                </c:pt>
                <c:pt idx="478">
                  <c:v>100</c:v>
                </c:pt>
                <c:pt idx="479">
                  <c:v>103</c:v>
                </c:pt>
                <c:pt idx="480">
                  <c:v>102</c:v>
                </c:pt>
                <c:pt idx="481">
                  <c:v>93</c:v>
                </c:pt>
                <c:pt idx="482">
                  <c:v>69</c:v>
                </c:pt>
                <c:pt idx="483">
                  <c:v>54</c:v>
                </c:pt>
                <c:pt idx="484">
                  <c:v>116</c:v>
                </c:pt>
                <c:pt idx="485">
                  <c:v>128</c:v>
                </c:pt>
                <c:pt idx="486">
                  <c:v>126</c:v>
                </c:pt>
                <c:pt idx="487">
                  <c:v>118</c:v>
                </c:pt>
                <c:pt idx="488">
                  <c:v>125</c:v>
                </c:pt>
                <c:pt idx="489">
                  <c:v>89</c:v>
                </c:pt>
                <c:pt idx="490">
                  <c:v>53</c:v>
                </c:pt>
                <c:pt idx="491">
                  <c:v>55</c:v>
                </c:pt>
                <c:pt idx="492">
                  <c:v>140</c:v>
                </c:pt>
                <c:pt idx="493">
                  <c:v>186</c:v>
                </c:pt>
                <c:pt idx="494">
                  <c:v>148</c:v>
                </c:pt>
                <c:pt idx="495">
                  <c:v>150</c:v>
                </c:pt>
                <c:pt idx="496">
                  <c:v>103</c:v>
                </c:pt>
                <c:pt idx="497">
                  <c:v>71</c:v>
                </c:pt>
                <c:pt idx="498">
                  <c:v>138</c:v>
                </c:pt>
              </c:numCache>
            </c:numRef>
          </c:val>
          <c:extLst>
            <c:ext xmlns:c16="http://schemas.microsoft.com/office/drawing/2014/chart" uri="{C3380CC4-5D6E-409C-BE32-E72D297353CC}">
              <c16:uniqueId val="{00000000-4FDB-4CD2-8ED4-3F313D6D563F}"/>
            </c:ext>
          </c:extLst>
        </c:ser>
        <c:dLbls>
          <c:showLegendKey val="0"/>
          <c:showVal val="0"/>
          <c:showCatName val="0"/>
          <c:showSerName val="0"/>
          <c:showPercent val="0"/>
          <c:showBubbleSize val="0"/>
        </c:dLbls>
        <c:gapWidth val="150"/>
        <c:axId val="147440000"/>
        <c:axId val="147438208"/>
      </c:barChart>
      <c:lineChart>
        <c:grouping val="standard"/>
        <c:varyColors val="0"/>
        <c:ser>
          <c:idx val="0"/>
          <c:order val="0"/>
          <c:tx>
            <c:strRef>
              <c:f>Sheet1!$B$1</c:f>
              <c:strCache>
                <c:ptCount val="1"/>
                <c:pt idx="0">
                  <c:v>Հաստատված դեպքերը (ընդհանուր)</c:v>
                </c:pt>
              </c:strCache>
            </c:strRef>
          </c:tx>
          <c:spPr>
            <a:ln w="22225" cap="rnd" cmpd="sng" algn="ctr">
              <a:solidFill>
                <a:schemeClr val="accent1"/>
              </a:solidFill>
              <a:round/>
            </a:ln>
            <a:effectLst/>
          </c:spPr>
          <c:marker>
            <c:symbol val="none"/>
          </c:marker>
          <c:cat>
            <c:strRef>
              <c:f>Sheet1!$A$2:$A$500</c:f>
              <c:strCache>
                <c:ptCount val="499"/>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498">
                  <c:v>12.07.2021</c:v>
                </c:pt>
              </c:strCache>
            </c:strRef>
          </c:cat>
          <c:val>
            <c:numRef>
              <c:f>Sheet1!$B$2:$B$500</c:f>
              <c:numCache>
                <c:formatCode>General</c:formatCode>
                <c:ptCount val="499"/>
                <c:pt idx="0">
                  <c:v>1</c:v>
                </c:pt>
                <c:pt idx="1">
                  <c:v>1</c:v>
                </c:pt>
                <c:pt idx="2">
                  <c:v>1</c:v>
                </c:pt>
                <c:pt idx="3">
                  <c:v>1</c:v>
                </c:pt>
                <c:pt idx="4">
                  <c:v>1</c:v>
                </c:pt>
                <c:pt idx="5">
                  <c:v>1</c:v>
                </c:pt>
                <c:pt idx="6">
                  <c:v>1</c:v>
                </c:pt>
                <c:pt idx="7">
                  <c:v>1</c:v>
                </c:pt>
                <c:pt idx="8">
                  <c:v>1</c:v>
                </c:pt>
                <c:pt idx="9">
                  <c:v>1</c:v>
                </c:pt>
                <c:pt idx="10">
                  <c:v>4</c:v>
                </c:pt>
                <c:pt idx="11">
                  <c:v>6</c:v>
                </c:pt>
                <c:pt idx="12">
                  <c:v>13</c:v>
                </c:pt>
                <c:pt idx="13">
                  <c:v>20</c:v>
                </c:pt>
                <c:pt idx="14">
                  <c:v>28</c:v>
                </c:pt>
                <c:pt idx="15">
                  <c:v>45</c:v>
                </c:pt>
                <c:pt idx="16">
                  <c:v>78</c:v>
                </c:pt>
                <c:pt idx="17">
                  <c:v>110</c:v>
                </c:pt>
                <c:pt idx="18">
                  <c:v>136</c:v>
                </c:pt>
                <c:pt idx="19">
                  <c:v>160</c:v>
                </c:pt>
                <c:pt idx="20">
                  <c:v>190</c:v>
                </c:pt>
                <c:pt idx="21">
                  <c:v>194</c:v>
                </c:pt>
                <c:pt idx="22">
                  <c:v>235</c:v>
                </c:pt>
                <c:pt idx="23">
                  <c:v>265</c:v>
                </c:pt>
                <c:pt idx="24">
                  <c:v>290</c:v>
                </c:pt>
                <c:pt idx="25">
                  <c:v>329</c:v>
                </c:pt>
                <c:pt idx="26">
                  <c:v>372</c:v>
                </c:pt>
                <c:pt idx="27">
                  <c:v>424</c:v>
                </c:pt>
                <c:pt idx="28">
                  <c:v>482</c:v>
                </c:pt>
                <c:pt idx="29">
                  <c:v>532</c:v>
                </c:pt>
                <c:pt idx="30">
                  <c:v>571</c:v>
                </c:pt>
                <c:pt idx="31">
                  <c:v>663</c:v>
                </c:pt>
                <c:pt idx="32">
                  <c:v>736</c:v>
                </c:pt>
                <c:pt idx="33">
                  <c:v>770</c:v>
                </c:pt>
                <c:pt idx="34">
                  <c:v>822</c:v>
                </c:pt>
                <c:pt idx="35">
                  <c:v>833</c:v>
                </c:pt>
                <c:pt idx="36">
                  <c:v>853</c:v>
                </c:pt>
                <c:pt idx="37">
                  <c:v>881</c:v>
                </c:pt>
                <c:pt idx="38">
                  <c:v>921</c:v>
                </c:pt>
                <c:pt idx="39">
                  <c:v>937</c:v>
                </c:pt>
                <c:pt idx="40">
                  <c:v>967</c:v>
                </c:pt>
                <c:pt idx="41">
                  <c:v>1013</c:v>
                </c:pt>
                <c:pt idx="42">
                  <c:v>1039</c:v>
                </c:pt>
                <c:pt idx="43">
                  <c:v>1067</c:v>
                </c:pt>
                <c:pt idx="44">
                  <c:v>1111</c:v>
                </c:pt>
                <c:pt idx="45">
                  <c:v>1159</c:v>
                </c:pt>
                <c:pt idx="46">
                  <c:v>1201</c:v>
                </c:pt>
                <c:pt idx="47">
                  <c:v>1248</c:v>
                </c:pt>
                <c:pt idx="48">
                  <c:v>1291</c:v>
                </c:pt>
                <c:pt idx="49">
                  <c:v>1339</c:v>
                </c:pt>
                <c:pt idx="50">
                  <c:v>1401</c:v>
                </c:pt>
                <c:pt idx="51">
                  <c:v>1473</c:v>
                </c:pt>
                <c:pt idx="52">
                  <c:v>1523</c:v>
                </c:pt>
                <c:pt idx="53">
                  <c:v>1596</c:v>
                </c:pt>
                <c:pt idx="54">
                  <c:v>1677</c:v>
                </c:pt>
                <c:pt idx="55">
                  <c:v>1746</c:v>
                </c:pt>
                <c:pt idx="56">
                  <c:v>1808</c:v>
                </c:pt>
                <c:pt idx="57">
                  <c:v>1867</c:v>
                </c:pt>
                <c:pt idx="58">
                  <c:v>1932</c:v>
                </c:pt>
                <c:pt idx="59">
                  <c:v>2066</c:v>
                </c:pt>
                <c:pt idx="60">
                  <c:v>2148</c:v>
                </c:pt>
                <c:pt idx="61">
                  <c:v>2273</c:v>
                </c:pt>
                <c:pt idx="62">
                  <c:v>2386</c:v>
                </c:pt>
                <c:pt idx="63">
                  <c:v>2507</c:v>
                </c:pt>
                <c:pt idx="64">
                  <c:v>2619</c:v>
                </c:pt>
                <c:pt idx="65">
                  <c:v>2782</c:v>
                </c:pt>
                <c:pt idx="66">
                  <c:v>2884</c:v>
                </c:pt>
                <c:pt idx="67">
                  <c:v>3029</c:v>
                </c:pt>
                <c:pt idx="68">
                  <c:v>3175</c:v>
                </c:pt>
                <c:pt idx="69">
                  <c:v>3313</c:v>
                </c:pt>
                <c:pt idx="70">
                  <c:v>3392</c:v>
                </c:pt>
                <c:pt idx="71">
                  <c:v>3538</c:v>
                </c:pt>
                <c:pt idx="72">
                  <c:v>3718</c:v>
                </c:pt>
                <c:pt idx="73">
                  <c:v>3860</c:v>
                </c:pt>
                <c:pt idx="74">
                  <c:v>4044</c:v>
                </c:pt>
                <c:pt idx="75">
                  <c:v>4283</c:v>
                </c:pt>
                <c:pt idx="76">
                  <c:v>4472</c:v>
                </c:pt>
                <c:pt idx="77">
                  <c:v>4823</c:v>
                </c:pt>
                <c:pt idx="78">
                  <c:v>5041</c:v>
                </c:pt>
                <c:pt idx="79">
                  <c:v>5271</c:v>
                </c:pt>
                <c:pt idx="80">
                  <c:v>5606</c:v>
                </c:pt>
                <c:pt idx="81">
                  <c:v>5928</c:v>
                </c:pt>
                <c:pt idx="82">
                  <c:v>6302</c:v>
                </c:pt>
                <c:pt idx="83">
                  <c:v>6661</c:v>
                </c:pt>
                <c:pt idx="84">
                  <c:v>7113</c:v>
                </c:pt>
                <c:pt idx="85">
                  <c:v>7402</c:v>
                </c:pt>
                <c:pt idx="86">
                  <c:v>7774</c:v>
                </c:pt>
                <c:pt idx="87">
                  <c:v>8216</c:v>
                </c:pt>
                <c:pt idx="88">
                  <c:v>8676</c:v>
                </c:pt>
                <c:pt idx="89">
                  <c:v>8927</c:v>
                </c:pt>
                <c:pt idx="90">
                  <c:v>9282</c:v>
                </c:pt>
                <c:pt idx="91">
                  <c:v>9492</c:v>
                </c:pt>
                <c:pt idx="92">
                  <c:v>10009</c:v>
                </c:pt>
                <c:pt idx="93">
                  <c:v>10524</c:v>
                </c:pt>
                <c:pt idx="94">
                  <c:v>11221</c:v>
                </c:pt>
                <c:pt idx="95">
                  <c:v>11817</c:v>
                </c:pt>
                <c:pt idx="96">
                  <c:v>12364</c:v>
                </c:pt>
                <c:pt idx="97">
                  <c:v>13130</c:v>
                </c:pt>
                <c:pt idx="98">
                  <c:v>13325</c:v>
                </c:pt>
                <c:pt idx="99">
                  <c:v>13675</c:v>
                </c:pt>
                <c:pt idx="100">
                  <c:v>14103</c:v>
                </c:pt>
                <c:pt idx="101">
                  <c:v>14669</c:v>
                </c:pt>
                <c:pt idx="102">
                  <c:v>15281</c:v>
                </c:pt>
                <c:pt idx="103">
                  <c:v>16004</c:v>
                </c:pt>
                <c:pt idx="104">
                  <c:v>16667</c:v>
                </c:pt>
                <c:pt idx="105">
                  <c:v>17064</c:v>
                </c:pt>
                <c:pt idx="106">
                  <c:v>17489</c:v>
                </c:pt>
                <c:pt idx="107">
                  <c:v>18033</c:v>
                </c:pt>
                <c:pt idx="108">
                  <c:v>18698</c:v>
                </c:pt>
                <c:pt idx="109">
                  <c:v>19157</c:v>
                </c:pt>
                <c:pt idx="110">
                  <c:v>19708</c:v>
                </c:pt>
                <c:pt idx="111">
                  <c:v>20268</c:v>
                </c:pt>
                <c:pt idx="112">
                  <c:v>20588</c:v>
                </c:pt>
                <c:pt idx="113">
                  <c:v>21006</c:v>
                </c:pt>
                <c:pt idx="114">
                  <c:v>21717</c:v>
                </c:pt>
                <c:pt idx="115">
                  <c:v>22488</c:v>
                </c:pt>
                <c:pt idx="116">
                  <c:v>23247</c:v>
                </c:pt>
                <c:pt idx="117">
                  <c:v>23909</c:v>
                </c:pt>
                <c:pt idx="118">
                  <c:v>24645</c:v>
                </c:pt>
                <c:pt idx="119">
                  <c:v>25127</c:v>
                </c:pt>
                <c:pt idx="120">
                  <c:v>25542</c:v>
                </c:pt>
                <c:pt idx="121">
                  <c:v>26065</c:v>
                </c:pt>
                <c:pt idx="122">
                  <c:v>26658</c:v>
                </c:pt>
                <c:pt idx="123">
                  <c:v>27320</c:v>
                </c:pt>
                <c:pt idx="124">
                  <c:v>27900</c:v>
                </c:pt>
                <c:pt idx="125">
                  <c:v>28606</c:v>
                </c:pt>
                <c:pt idx="126">
                  <c:v>28936</c:v>
                </c:pt>
                <c:pt idx="127">
                  <c:v>29285</c:v>
                </c:pt>
                <c:pt idx="128">
                  <c:v>29820</c:v>
                </c:pt>
                <c:pt idx="129">
                  <c:v>30346</c:v>
                </c:pt>
                <c:pt idx="130">
                  <c:v>30903</c:v>
                </c:pt>
                <c:pt idx="131">
                  <c:v>31392</c:v>
                </c:pt>
                <c:pt idx="132">
                  <c:v>31969</c:v>
                </c:pt>
                <c:pt idx="133">
                  <c:v>32151</c:v>
                </c:pt>
                <c:pt idx="134">
                  <c:v>32490</c:v>
                </c:pt>
                <c:pt idx="135">
                  <c:v>33005</c:v>
                </c:pt>
                <c:pt idx="136">
                  <c:v>33559</c:v>
                </c:pt>
                <c:pt idx="137">
                  <c:v>34001</c:v>
                </c:pt>
                <c:pt idx="138">
                  <c:v>34462</c:v>
                </c:pt>
                <c:pt idx="139">
                  <c:v>34877</c:v>
                </c:pt>
                <c:pt idx="140">
                  <c:v>34981</c:v>
                </c:pt>
                <c:pt idx="141">
                  <c:v>35254</c:v>
                </c:pt>
                <c:pt idx="142">
                  <c:v>35693</c:v>
                </c:pt>
                <c:pt idx="143">
                  <c:v>36162</c:v>
                </c:pt>
                <c:pt idx="144">
                  <c:v>36613</c:v>
                </c:pt>
                <c:pt idx="145">
                  <c:v>36996</c:v>
                </c:pt>
                <c:pt idx="146">
                  <c:v>37317</c:v>
                </c:pt>
                <c:pt idx="147">
                  <c:v>37390</c:v>
                </c:pt>
                <c:pt idx="148">
                  <c:v>37629</c:v>
                </c:pt>
                <c:pt idx="149">
                  <c:v>37937</c:v>
                </c:pt>
                <c:pt idx="150">
                  <c:v>38196</c:v>
                </c:pt>
                <c:pt idx="151">
                  <c:v>38550</c:v>
                </c:pt>
                <c:pt idx="152">
                  <c:v>38841</c:v>
                </c:pt>
                <c:pt idx="153">
                  <c:v>39050</c:v>
                </c:pt>
                <c:pt idx="154">
                  <c:v>39102</c:v>
                </c:pt>
                <c:pt idx="155">
                  <c:v>39298</c:v>
                </c:pt>
                <c:pt idx="156">
                  <c:v>39586</c:v>
                </c:pt>
                <c:pt idx="157">
                  <c:v>39819</c:v>
                </c:pt>
                <c:pt idx="158">
                  <c:v>39985</c:v>
                </c:pt>
                <c:pt idx="159">
                  <c:v>40185</c:v>
                </c:pt>
                <c:pt idx="160">
                  <c:v>40410</c:v>
                </c:pt>
                <c:pt idx="161">
                  <c:v>40433</c:v>
                </c:pt>
                <c:pt idx="162">
                  <c:v>40593</c:v>
                </c:pt>
                <c:pt idx="163">
                  <c:v>40794</c:v>
                </c:pt>
                <c:pt idx="164">
                  <c:v>41023</c:v>
                </c:pt>
                <c:pt idx="165">
                  <c:v>41299</c:v>
                </c:pt>
                <c:pt idx="166">
                  <c:v>41495</c:v>
                </c:pt>
                <c:pt idx="167">
                  <c:v>41663</c:v>
                </c:pt>
                <c:pt idx="168">
                  <c:v>41701</c:v>
                </c:pt>
                <c:pt idx="169">
                  <c:v>41846</c:v>
                </c:pt>
                <c:pt idx="170">
                  <c:v>42056</c:v>
                </c:pt>
                <c:pt idx="171">
                  <c:v>42319</c:v>
                </c:pt>
                <c:pt idx="172">
                  <c:v>42477</c:v>
                </c:pt>
                <c:pt idx="173">
                  <c:v>42616</c:v>
                </c:pt>
                <c:pt idx="174">
                  <c:v>42792</c:v>
                </c:pt>
                <c:pt idx="175">
                  <c:v>42825</c:v>
                </c:pt>
                <c:pt idx="176">
                  <c:v>42936</c:v>
                </c:pt>
                <c:pt idx="177">
                  <c:v>43067</c:v>
                </c:pt>
                <c:pt idx="178">
                  <c:v>43270</c:v>
                </c:pt>
                <c:pt idx="179">
                  <c:v>43451</c:v>
                </c:pt>
                <c:pt idx="180">
                  <c:v>43626</c:v>
                </c:pt>
                <c:pt idx="181">
                  <c:v>43750</c:v>
                </c:pt>
                <c:pt idx="182">
                  <c:v>43781</c:v>
                </c:pt>
                <c:pt idx="183">
                  <c:v>43878</c:v>
                </c:pt>
                <c:pt idx="184">
                  <c:v>44075</c:v>
                </c:pt>
                <c:pt idx="185">
                  <c:v>44271</c:v>
                </c:pt>
                <c:pt idx="186">
                  <c:v>44461</c:v>
                </c:pt>
                <c:pt idx="187">
                  <c:v>44649</c:v>
                </c:pt>
                <c:pt idx="188">
                  <c:v>44783</c:v>
                </c:pt>
                <c:pt idx="189">
                  <c:v>44845</c:v>
                </c:pt>
                <c:pt idx="190">
                  <c:v>44953</c:v>
                </c:pt>
                <c:pt idx="191">
                  <c:v>45152</c:v>
                </c:pt>
                <c:pt idx="192">
                  <c:v>45326</c:v>
                </c:pt>
                <c:pt idx="193">
                  <c:v>45503</c:v>
                </c:pt>
                <c:pt idx="194">
                  <c:v>45675</c:v>
                </c:pt>
                <c:pt idx="195">
                  <c:v>45862</c:v>
                </c:pt>
                <c:pt idx="196">
                  <c:v>45969</c:v>
                </c:pt>
                <c:pt idx="197">
                  <c:v>46119</c:v>
                </c:pt>
                <c:pt idx="198">
                  <c:v>46376</c:v>
                </c:pt>
                <c:pt idx="199">
                  <c:v>46671</c:v>
                </c:pt>
                <c:pt idx="200">
                  <c:v>46910</c:v>
                </c:pt>
                <c:pt idx="201">
                  <c:v>47154</c:v>
                </c:pt>
                <c:pt idx="202">
                  <c:v>47431</c:v>
                </c:pt>
                <c:pt idx="203">
                  <c:v>47552</c:v>
                </c:pt>
                <c:pt idx="204">
                  <c:v>47667</c:v>
                </c:pt>
                <c:pt idx="205">
                  <c:v>47877</c:v>
                </c:pt>
                <c:pt idx="206">
                  <c:v>48251</c:v>
                </c:pt>
                <c:pt idx="207">
                  <c:v>48643</c:v>
                </c:pt>
                <c:pt idx="208">
                  <c:v>49072</c:v>
                </c:pt>
                <c:pt idx="209">
                  <c:v>49400</c:v>
                </c:pt>
                <c:pt idx="210">
                  <c:v>49574</c:v>
                </c:pt>
                <c:pt idx="211">
                  <c:v>49901</c:v>
                </c:pt>
                <c:pt idx="212">
                  <c:v>50359</c:v>
                </c:pt>
                <c:pt idx="213">
                  <c:v>50850</c:v>
                </c:pt>
                <c:pt idx="214">
                  <c:v>51382</c:v>
                </c:pt>
                <c:pt idx="215">
                  <c:v>51925</c:v>
                </c:pt>
                <c:pt idx="216">
                  <c:v>52496</c:v>
                </c:pt>
                <c:pt idx="217">
                  <c:v>52677</c:v>
                </c:pt>
                <c:pt idx="218">
                  <c:v>53083</c:v>
                </c:pt>
                <c:pt idx="219">
                  <c:v>53755</c:v>
                </c:pt>
                <c:pt idx="220">
                  <c:v>54473</c:v>
                </c:pt>
                <c:pt idx="221">
                  <c:v>55087</c:v>
                </c:pt>
                <c:pt idx="222">
                  <c:v>55736</c:v>
                </c:pt>
                <c:pt idx="223">
                  <c:v>56451</c:v>
                </c:pt>
                <c:pt idx="224">
                  <c:v>56821</c:v>
                </c:pt>
                <c:pt idx="225">
                  <c:v>57566</c:v>
                </c:pt>
                <c:pt idx="226">
                  <c:v>58624</c:v>
                </c:pt>
                <c:pt idx="227">
                  <c:v>59995</c:v>
                </c:pt>
                <c:pt idx="228">
                  <c:v>61460</c:v>
                </c:pt>
                <c:pt idx="229">
                  <c:v>63000</c:v>
                </c:pt>
                <c:pt idx="230">
                  <c:v>64694</c:v>
                </c:pt>
                <c:pt idx="231">
                  <c:v>65460</c:v>
                </c:pt>
                <c:pt idx="232">
                  <c:v>66694</c:v>
                </c:pt>
                <c:pt idx="233">
                  <c:v>68530</c:v>
                </c:pt>
                <c:pt idx="234">
                  <c:v>70836</c:v>
                </c:pt>
                <c:pt idx="235">
                  <c:v>73310</c:v>
                </c:pt>
                <c:pt idx="236">
                  <c:v>75523</c:v>
                </c:pt>
                <c:pt idx="237">
                  <c:v>77837</c:v>
                </c:pt>
                <c:pt idx="238">
                  <c:v>78810</c:v>
                </c:pt>
                <c:pt idx="239">
                  <c:v>80410</c:v>
                </c:pt>
                <c:pt idx="240">
                  <c:v>82651</c:v>
                </c:pt>
                <c:pt idx="241">
                  <c:v>85034</c:v>
                </c:pt>
                <c:pt idx="242">
                  <c:v>87432</c:v>
                </c:pt>
                <c:pt idx="243">
                  <c:v>89813</c:v>
                </c:pt>
                <c:pt idx="244">
                  <c:v>92254</c:v>
                </c:pt>
                <c:pt idx="245">
                  <c:v>93448</c:v>
                </c:pt>
                <c:pt idx="246">
                  <c:v>94776</c:v>
                </c:pt>
                <c:pt idx="247">
                  <c:v>97150</c:v>
                </c:pt>
                <c:pt idx="248">
                  <c:v>99563</c:v>
                </c:pt>
                <c:pt idx="249">
                  <c:v>101773</c:v>
                </c:pt>
                <c:pt idx="250">
                  <c:v>104249</c:v>
                </c:pt>
                <c:pt idx="251">
                  <c:v>106424</c:v>
                </c:pt>
                <c:pt idx="252">
                  <c:v>107466</c:v>
                </c:pt>
                <c:pt idx="253">
                  <c:v>108687</c:v>
                </c:pt>
                <c:pt idx="254">
                  <c:v>110548</c:v>
                </c:pt>
                <c:pt idx="255">
                  <c:v>112680</c:v>
                </c:pt>
                <c:pt idx="256">
                  <c:v>114383</c:v>
                </c:pt>
                <c:pt idx="257">
                  <c:v>115855</c:v>
                </c:pt>
                <c:pt idx="258">
                  <c:v>117337</c:v>
                </c:pt>
                <c:pt idx="259">
                  <c:v>117886</c:v>
                </c:pt>
                <c:pt idx="260">
                  <c:v>118870</c:v>
                </c:pt>
                <c:pt idx="261">
                  <c:v>120459</c:v>
                </c:pt>
                <c:pt idx="262">
                  <c:v>121979</c:v>
                </c:pt>
                <c:pt idx="263">
                  <c:v>123646</c:v>
                </c:pt>
                <c:pt idx="264">
                  <c:v>124839</c:v>
                </c:pt>
                <c:pt idx="265">
                  <c:v>126224</c:v>
                </c:pt>
                <c:pt idx="266">
                  <c:v>126709</c:v>
                </c:pt>
                <c:pt idx="267">
                  <c:v>127522</c:v>
                </c:pt>
                <c:pt idx="268">
                  <c:v>129085</c:v>
                </c:pt>
                <c:pt idx="269">
                  <c:v>130870</c:v>
                </c:pt>
                <c:pt idx="270">
                  <c:v>132346</c:v>
                </c:pt>
                <c:pt idx="271">
                  <c:v>133594</c:v>
                </c:pt>
                <c:pt idx="272">
                  <c:v>134768</c:v>
                </c:pt>
                <c:pt idx="273">
                  <c:v>135124</c:v>
                </c:pt>
                <c:pt idx="274">
                  <c:v>135967</c:v>
                </c:pt>
                <c:pt idx="275">
                  <c:v>137231</c:v>
                </c:pt>
                <c:pt idx="276">
                  <c:v>138508</c:v>
                </c:pt>
                <c:pt idx="277">
                  <c:v>139692</c:v>
                </c:pt>
                <c:pt idx="278">
                  <c:v>140959</c:v>
                </c:pt>
                <c:pt idx="279">
                  <c:v>141937</c:v>
                </c:pt>
                <c:pt idx="280">
                  <c:v>142344</c:v>
                </c:pt>
                <c:pt idx="281">
                  <c:v>142928</c:v>
                </c:pt>
                <c:pt idx="282">
                  <c:v>144066</c:v>
                </c:pt>
                <c:pt idx="283">
                  <c:v>145240</c:v>
                </c:pt>
                <c:pt idx="284">
                  <c:v>146317</c:v>
                </c:pt>
                <c:pt idx="285">
                  <c:v>147312</c:v>
                </c:pt>
                <c:pt idx="286">
                  <c:v>148325</c:v>
                </c:pt>
                <c:pt idx="287">
                  <c:v>148682</c:v>
                </c:pt>
                <c:pt idx="288">
                  <c:v>149120</c:v>
                </c:pt>
                <c:pt idx="289">
                  <c:v>150218</c:v>
                </c:pt>
                <c:pt idx="290">
                  <c:v>151392</c:v>
                </c:pt>
                <c:pt idx="291">
                  <c:v>152253</c:v>
                </c:pt>
                <c:pt idx="292">
                  <c:v>153173</c:v>
                </c:pt>
                <c:pt idx="293">
                  <c:v>153825</c:v>
                </c:pt>
                <c:pt idx="294">
                  <c:v>154065</c:v>
                </c:pt>
                <c:pt idx="295">
                  <c:v>154602</c:v>
                </c:pt>
                <c:pt idx="296">
                  <c:v>155440</c:v>
                </c:pt>
                <c:pt idx="297">
                  <c:v>156142</c:v>
                </c:pt>
                <c:pt idx="298">
                  <c:v>156763</c:v>
                </c:pt>
                <c:pt idx="299">
                  <c:v>157349</c:v>
                </c:pt>
                <c:pt idx="300">
                  <c:v>157834</c:v>
                </c:pt>
                <c:pt idx="301">
                  <c:v>157948</c:v>
                </c:pt>
                <c:pt idx="302">
                  <c:v>158296</c:v>
                </c:pt>
                <c:pt idx="303">
                  <c:v>158878</c:v>
                </c:pt>
                <c:pt idx="304">
                  <c:v>159409</c:v>
                </c:pt>
                <c:pt idx="305">
                  <c:v>159738</c:v>
                </c:pt>
                <c:pt idx="306">
                  <c:v>159798</c:v>
                </c:pt>
                <c:pt idx="307">
                  <c:v>160027</c:v>
                </c:pt>
                <c:pt idx="308">
                  <c:v>160220</c:v>
                </c:pt>
                <c:pt idx="309">
                  <c:v>160544</c:v>
                </c:pt>
                <c:pt idx="310">
                  <c:v>160853</c:v>
                </c:pt>
                <c:pt idx="311">
                  <c:v>161054</c:v>
                </c:pt>
                <c:pt idx="312">
                  <c:v>161415</c:v>
                </c:pt>
                <c:pt idx="313">
                  <c:v>161794</c:v>
                </c:pt>
                <c:pt idx="314">
                  <c:v>162131</c:v>
                </c:pt>
                <c:pt idx="315">
                  <c:v>162288</c:v>
                </c:pt>
                <c:pt idx="316">
                  <c:v>162643</c:v>
                </c:pt>
                <c:pt idx="317">
                  <c:v>163128</c:v>
                </c:pt>
                <c:pt idx="318">
                  <c:v>163576</c:v>
                </c:pt>
                <c:pt idx="319">
                  <c:v>163972</c:v>
                </c:pt>
                <c:pt idx="320">
                  <c:v>164235</c:v>
                </c:pt>
                <c:pt idx="321">
                  <c:v>164586</c:v>
                </c:pt>
                <c:pt idx="322">
                  <c:v>164676</c:v>
                </c:pt>
                <c:pt idx="323">
                  <c:v>164912</c:v>
                </c:pt>
                <c:pt idx="324">
                  <c:v>165221</c:v>
                </c:pt>
                <c:pt idx="325">
                  <c:v>165528</c:v>
                </c:pt>
                <c:pt idx="326">
                  <c:v>165711</c:v>
                </c:pt>
                <c:pt idx="327">
                  <c:v>165909</c:v>
                </c:pt>
                <c:pt idx="328">
                  <c:v>166036</c:v>
                </c:pt>
                <c:pt idx="329">
                  <c:v>166094</c:v>
                </c:pt>
                <c:pt idx="330">
                  <c:v>166232</c:v>
                </c:pt>
                <c:pt idx="331">
                  <c:v>166427</c:v>
                </c:pt>
                <c:pt idx="332">
                  <c:v>166669</c:v>
                </c:pt>
                <c:pt idx="333">
                  <c:v>166728</c:v>
                </c:pt>
                <c:pt idx="334">
                  <c:v>166901</c:v>
                </c:pt>
                <c:pt idx="335">
                  <c:v>167026</c:v>
                </c:pt>
                <c:pt idx="336">
                  <c:v>167088</c:v>
                </c:pt>
                <c:pt idx="337">
                  <c:v>167231</c:v>
                </c:pt>
                <c:pt idx="338">
                  <c:v>167421</c:v>
                </c:pt>
                <c:pt idx="339">
                  <c:v>167568</c:v>
                </c:pt>
                <c:pt idx="340">
                  <c:v>167726</c:v>
                </c:pt>
                <c:pt idx="341">
                  <c:v>167937</c:v>
                </c:pt>
                <c:pt idx="342">
                  <c:v>168088</c:v>
                </c:pt>
                <c:pt idx="343">
                  <c:v>168177</c:v>
                </c:pt>
                <c:pt idx="344">
                  <c:v>168300</c:v>
                </c:pt>
                <c:pt idx="345">
                  <c:v>168496</c:v>
                </c:pt>
                <c:pt idx="346">
                  <c:v>168676</c:v>
                </c:pt>
                <c:pt idx="347">
                  <c:v>168830</c:v>
                </c:pt>
                <c:pt idx="348">
                  <c:v>169022</c:v>
                </c:pt>
                <c:pt idx="349">
                  <c:v>169167</c:v>
                </c:pt>
                <c:pt idx="350">
                  <c:v>169255</c:v>
                </c:pt>
                <c:pt idx="351">
                  <c:v>169391</c:v>
                </c:pt>
                <c:pt idx="352">
                  <c:v>169597</c:v>
                </c:pt>
                <c:pt idx="353">
                  <c:v>169820</c:v>
                </c:pt>
                <c:pt idx="354">
                  <c:v>170011</c:v>
                </c:pt>
                <c:pt idx="355">
                  <c:v>170234</c:v>
                </c:pt>
                <c:pt idx="356">
                  <c:v>170402</c:v>
                </c:pt>
                <c:pt idx="357">
                  <c:v>170506</c:v>
                </c:pt>
                <c:pt idx="358">
                  <c:v>170672</c:v>
                </c:pt>
                <c:pt idx="359">
                  <c:v>170945</c:v>
                </c:pt>
                <c:pt idx="360">
                  <c:v>171227</c:v>
                </c:pt>
                <c:pt idx="361">
                  <c:v>171510</c:v>
                </c:pt>
                <c:pt idx="362">
                  <c:v>171793</c:v>
                </c:pt>
                <c:pt idx="363">
                  <c:v>172058</c:v>
                </c:pt>
                <c:pt idx="364">
                  <c:v>172216</c:v>
                </c:pt>
                <c:pt idx="365">
                  <c:v>172456</c:v>
                </c:pt>
                <c:pt idx="366">
                  <c:v>172816</c:v>
                </c:pt>
                <c:pt idx="367">
                  <c:v>173307</c:v>
                </c:pt>
                <c:pt idx="368">
                  <c:v>173749</c:v>
                </c:pt>
                <c:pt idx="369">
                  <c:v>174257</c:v>
                </c:pt>
                <c:pt idx="370">
                  <c:v>174679</c:v>
                </c:pt>
                <c:pt idx="371">
                  <c:v>175016</c:v>
                </c:pt>
                <c:pt idx="372">
                  <c:v>175198</c:v>
                </c:pt>
                <c:pt idx="373">
                  <c:v>175538</c:v>
                </c:pt>
                <c:pt idx="374">
                  <c:v>176286</c:v>
                </c:pt>
                <c:pt idx="375">
                  <c:v>177104</c:v>
                </c:pt>
                <c:pt idx="376">
                  <c:v>177899</c:v>
                </c:pt>
                <c:pt idx="377">
                  <c:v>178385</c:v>
                </c:pt>
                <c:pt idx="378">
                  <c:v>178702</c:v>
                </c:pt>
                <c:pt idx="379">
                  <c:v>179287</c:v>
                </c:pt>
                <c:pt idx="380">
                  <c:v>180141</c:v>
                </c:pt>
                <c:pt idx="381">
                  <c:v>181165</c:v>
                </c:pt>
                <c:pt idx="382">
                  <c:v>182056</c:v>
                </c:pt>
                <c:pt idx="383">
                  <c:v>183127</c:v>
                </c:pt>
                <c:pt idx="384">
                  <c:v>183713</c:v>
                </c:pt>
                <c:pt idx="385">
                  <c:v>184219</c:v>
                </c:pt>
                <c:pt idx="386">
                  <c:v>185020</c:v>
                </c:pt>
                <c:pt idx="387">
                  <c:v>186184</c:v>
                </c:pt>
                <c:pt idx="388">
                  <c:v>187441</c:v>
                </c:pt>
                <c:pt idx="389">
                  <c:v>188446</c:v>
                </c:pt>
                <c:pt idx="390">
                  <c:v>189540</c:v>
                </c:pt>
                <c:pt idx="391">
                  <c:v>190317</c:v>
                </c:pt>
                <c:pt idx="392">
                  <c:v>190741</c:v>
                </c:pt>
                <c:pt idx="393">
                  <c:v>191491</c:v>
                </c:pt>
                <c:pt idx="394">
                  <c:v>192639</c:v>
                </c:pt>
                <c:pt idx="395">
                  <c:v>193736</c:v>
                </c:pt>
                <c:pt idx="396">
                  <c:v>194852</c:v>
                </c:pt>
                <c:pt idx="397">
                  <c:v>196044</c:v>
                </c:pt>
                <c:pt idx="398">
                  <c:v>196634</c:v>
                </c:pt>
                <c:pt idx="399">
                  <c:v>197113</c:v>
                </c:pt>
                <c:pt idx="400">
                  <c:v>197873</c:v>
                </c:pt>
                <c:pt idx="401">
                  <c:v>198898</c:v>
                </c:pt>
                <c:pt idx="402">
                  <c:v>200129</c:v>
                </c:pt>
                <c:pt idx="403">
                  <c:v>201158</c:v>
                </c:pt>
                <c:pt idx="404">
                  <c:v>202167</c:v>
                </c:pt>
                <c:pt idx="405">
                  <c:v>202817</c:v>
                </c:pt>
                <c:pt idx="406">
                  <c:v>203327</c:v>
                </c:pt>
                <c:pt idx="407">
                  <c:v>204053</c:v>
                </c:pt>
                <c:pt idx="408">
                  <c:v>205128</c:v>
                </c:pt>
                <c:pt idx="409">
                  <c:v>206142</c:v>
                </c:pt>
                <c:pt idx="410">
                  <c:v>207103</c:v>
                </c:pt>
                <c:pt idx="411">
                  <c:v>207973</c:v>
                </c:pt>
                <c:pt idx="412">
                  <c:v>208520</c:v>
                </c:pt>
                <c:pt idx="413">
                  <c:v>208818</c:v>
                </c:pt>
                <c:pt idx="414">
                  <c:v>209485</c:v>
                </c:pt>
                <c:pt idx="415">
                  <c:v>210518</c:v>
                </c:pt>
                <c:pt idx="416">
                  <c:v>211399</c:v>
                </c:pt>
                <c:pt idx="417">
                  <c:v>212114</c:v>
                </c:pt>
                <c:pt idx="418">
                  <c:v>212878</c:v>
                </c:pt>
                <c:pt idx="419">
                  <c:v>213288</c:v>
                </c:pt>
                <c:pt idx="420">
                  <c:v>213469</c:v>
                </c:pt>
                <c:pt idx="421">
                  <c:v>214064</c:v>
                </c:pt>
                <c:pt idx="422">
                  <c:v>214872</c:v>
                </c:pt>
                <c:pt idx="423">
                  <c:v>215528</c:v>
                </c:pt>
                <c:pt idx="424">
                  <c:v>216064</c:v>
                </c:pt>
                <c:pt idx="425">
                  <c:v>216596</c:v>
                </c:pt>
                <c:pt idx="426">
                  <c:v>216863</c:v>
                </c:pt>
                <c:pt idx="427">
                  <c:v>217008</c:v>
                </c:pt>
                <c:pt idx="428">
                  <c:v>217407</c:v>
                </c:pt>
                <c:pt idx="429">
                  <c:v>217900</c:v>
                </c:pt>
                <c:pt idx="430">
                  <c:v>218325</c:v>
                </c:pt>
                <c:pt idx="431">
                  <c:v>218681</c:v>
                </c:pt>
                <c:pt idx="432">
                  <c:v>219092</c:v>
                </c:pt>
                <c:pt idx="433">
                  <c:v>219270</c:v>
                </c:pt>
                <c:pt idx="434">
                  <c:v>219353</c:v>
                </c:pt>
                <c:pt idx="435">
                  <c:v>219596</c:v>
                </c:pt>
                <c:pt idx="436">
                  <c:v>219950</c:v>
                </c:pt>
                <c:pt idx="437">
                  <c:v>220217</c:v>
                </c:pt>
                <c:pt idx="438">
                  <c:v>220447</c:v>
                </c:pt>
                <c:pt idx="439">
                  <c:v>220729</c:v>
                </c:pt>
                <c:pt idx="440">
                  <c:v>220860</c:v>
                </c:pt>
                <c:pt idx="441">
                  <c:v>220927</c:v>
                </c:pt>
                <c:pt idx="442">
                  <c:v>221139</c:v>
                </c:pt>
                <c:pt idx="443">
                  <c:v>221368</c:v>
                </c:pt>
                <c:pt idx="444">
                  <c:v>221559</c:v>
                </c:pt>
                <c:pt idx="445">
                  <c:v>221699</c:v>
                </c:pt>
                <c:pt idx="446">
                  <c:v>221880</c:v>
                </c:pt>
                <c:pt idx="447">
                  <c:v>221948</c:v>
                </c:pt>
                <c:pt idx="448">
                  <c:v>221982</c:v>
                </c:pt>
                <c:pt idx="449">
                  <c:v>222139</c:v>
                </c:pt>
                <c:pt idx="450">
                  <c:v>222269</c:v>
                </c:pt>
                <c:pt idx="451">
                  <c:v>222409</c:v>
                </c:pt>
                <c:pt idx="452">
                  <c:v>222513</c:v>
                </c:pt>
                <c:pt idx="453">
                  <c:v>222555</c:v>
                </c:pt>
                <c:pt idx="454">
                  <c:v>222636</c:v>
                </c:pt>
                <c:pt idx="455">
                  <c:v>222670</c:v>
                </c:pt>
                <c:pt idx="456">
                  <c:v>222778</c:v>
                </c:pt>
                <c:pt idx="457">
                  <c:v>222870</c:v>
                </c:pt>
                <c:pt idx="458">
                  <c:v>222978</c:v>
                </c:pt>
                <c:pt idx="459">
                  <c:v>223050</c:v>
                </c:pt>
                <c:pt idx="460">
                  <c:v>223143</c:v>
                </c:pt>
                <c:pt idx="461">
                  <c:v>223180</c:v>
                </c:pt>
                <c:pt idx="462">
                  <c:v>223212</c:v>
                </c:pt>
                <c:pt idx="463">
                  <c:v>223285</c:v>
                </c:pt>
                <c:pt idx="464">
                  <c:v>223384</c:v>
                </c:pt>
                <c:pt idx="465">
                  <c:v>223460</c:v>
                </c:pt>
                <c:pt idx="466">
                  <c:v>223555</c:v>
                </c:pt>
                <c:pt idx="467">
                  <c:v>223643</c:v>
                </c:pt>
                <c:pt idx="468">
                  <c:v>223682</c:v>
                </c:pt>
                <c:pt idx="469">
                  <c:v>223723</c:v>
                </c:pt>
                <c:pt idx="470">
                  <c:v>223805</c:v>
                </c:pt>
                <c:pt idx="471">
                  <c:v>223904</c:v>
                </c:pt>
                <c:pt idx="472">
                  <c:v>224000</c:v>
                </c:pt>
                <c:pt idx="473">
                  <c:v>224086</c:v>
                </c:pt>
                <c:pt idx="474">
                  <c:v>224167</c:v>
                </c:pt>
                <c:pt idx="475">
                  <c:v>224227</c:v>
                </c:pt>
                <c:pt idx="476">
                  <c:v>224253</c:v>
                </c:pt>
                <c:pt idx="477">
                  <c:v>224330</c:v>
                </c:pt>
                <c:pt idx="478">
                  <c:v>224430</c:v>
                </c:pt>
                <c:pt idx="479">
                  <c:v>224533</c:v>
                </c:pt>
                <c:pt idx="480">
                  <c:v>224635</c:v>
                </c:pt>
                <c:pt idx="481">
                  <c:v>224728</c:v>
                </c:pt>
                <c:pt idx="482">
                  <c:v>224797</c:v>
                </c:pt>
                <c:pt idx="483">
                  <c:v>224851</c:v>
                </c:pt>
                <c:pt idx="484">
                  <c:v>224967</c:v>
                </c:pt>
                <c:pt idx="485">
                  <c:v>225095</c:v>
                </c:pt>
                <c:pt idx="486">
                  <c:v>225221</c:v>
                </c:pt>
                <c:pt idx="487">
                  <c:v>225339</c:v>
                </c:pt>
                <c:pt idx="488">
                  <c:v>225464</c:v>
                </c:pt>
                <c:pt idx="489">
                  <c:v>225553</c:v>
                </c:pt>
                <c:pt idx="490">
                  <c:v>225606</c:v>
                </c:pt>
                <c:pt idx="491">
                  <c:v>225661</c:v>
                </c:pt>
                <c:pt idx="492">
                  <c:v>225801</c:v>
                </c:pt>
                <c:pt idx="493">
                  <c:v>225987</c:v>
                </c:pt>
                <c:pt idx="494">
                  <c:v>226135</c:v>
                </c:pt>
                <c:pt idx="495">
                  <c:v>226285</c:v>
                </c:pt>
                <c:pt idx="496">
                  <c:v>226388</c:v>
                </c:pt>
                <c:pt idx="497">
                  <c:v>226459</c:v>
                </c:pt>
                <c:pt idx="498">
                  <c:v>226597</c:v>
                </c:pt>
              </c:numCache>
            </c:numRef>
          </c:val>
          <c:smooth val="0"/>
          <c:extLst>
            <c:ext xmlns:c16="http://schemas.microsoft.com/office/drawing/2014/chart" uri="{C3380CC4-5D6E-409C-BE32-E72D297353CC}">
              <c16:uniqueId val="{00000001-4FDB-4CD2-8ED4-3F313D6D563F}"/>
            </c:ext>
          </c:extLst>
        </c:ser>
        <c:dLbls>
          <c:showLegendKey val="0"/>
          <c:showVal val="0"/>
          <c:showCatName val="0"/>
          <c:showSerName val="0"/>
          <c:showPercent val="0"/>
          <c:showBubbleSize val="0"/>
        </c:dLbls>
        <c:marker val="1"/>
        <c:smooth val="0"/>
        <c:axId val="147443072"/>
        <c:axId val="147441536"/>
      </c:lineChart>
      <c:valAx>
        <c:axId val="147438208"/>
        <c:scaling>
          <c:orientation val="minMax"/>
        </c:scaling>
        <c:delete val="0"/>
        <c:axPos val="r"/>
        <c:numFmt formatCode="General" sourceLinked="1"/>
        <c:majorTickMark val="out"/>
        <c:minorTickMark val="none"/>
        <c:tickLblPos val="nextTo"/>
        <c:txPr>
          <a:bodyPr/>
          <a:lstStyle/>
          <a:p>
            <a:pPr>
              <a:defRPr sz="800"/>
            </a:pPr>
            <a:endParaRPr lang="en-US"/>
          </a:p>
        </c:txPr>
        <c:crossAx val="147440000"/>
        <c:crosses val="max"/>
        <c:crossBetween val="between"/>
      </c:valAx>
      <c:catAx>
        <c:axId val="147440000"/>
        <c:scaling>
          <c:orientation val="minMax"/>
        </c:scaling>
        <c:delete val="0"/>
        <c:axPos val="b"/>
        <c:numFmt formatCode="General" sourceLinked="1"/>
        <c:majorTickMark val="out"/>
        <c:minorTickMark val="none"/>
        <c:tickLblPos val="nextTo"/>
        <c:txPr>
          <a:bodyPr/>
          <a:lstStyle/>
          <a:p>
            <a:pPr>
              <a:defRPr sz="600"/>
            </a:pPr>
            <a:endParaRPr lang="en-US"/>
          </a:p>
        </c:txPr>
        <c:crossAx val="147438208"/>
        <c:crosses val="autoZero"/>
        <c:auto val="1"/>
        <c:lblAlgn val="ctr"/>
        <c:lblOffset val="100"/>
        <c:noMultiLvlLbl val="0"/>
      </c:catAx>
      <c:valAx>
        <c:axId val="147441536"/>
        <c:scaling>
          <c:orientation val="minMax"/>
        </c:scaling>
        <c:delete val="0"/>
        <c:axPos val="l"/>
        <c:numFmt formatCode="General" sourceLinked="1"/>
        <c:majorTickMark val="out"/>
        <c:minorTickMark val="none"/>
        <c:tickLblPos val="nextTo"/>
        <c:txPr>
          <a:bodyPr/>
          <a:lstStyle/>
          <a:p>
            <a:pPr>
              <a:defRPr sz="800"/>
            </a:pPr>
            <a:endParaRPr lang="en-US"/>
          </a:p>
        </c:txPr>
        <c:crossAx val="147443072"/>
        <c:crosses val="autoZero"/>
        <c:crossBetween val="between"/>
      </c:valAx>
      <c:catAx>
        <c:axId val="147443072"/>
        <c:scaling>
          <c:orientation val="minMax"/>
        </c:scaling>
        <c:delete val="1"/>
        <c:axPos val="t"/>
        <c:numFmt formatCode="General" sourceLinked="1"/>
        <c:majorTickMark val="out"/>
        <c:minorTickMark val="none"/>
        <c:tickLblPos val="nextTo"/>
        <c:crossAx val="147441536"/>
        <c:crosses val="max"/>
        <c:auto val="1"/>
        <c:lblAlgn val="ctr"/>
        <c:lblOffset val="100"/>
        <c:noMultiLvlLbl val="0"/>
      </c:catAx>
      <c:spPr>
        <a:solidFill>
          <a:srgbClr val="4F81BD">
            <a:lumMod val="20000"/>
            <a:lumOff val="80000"/>
          </a:srgbClr>
        </a:solidFill>
        <a:ln>
          <a:solidFill>
            <a:schemeClr val="bg1">
              <a:lumMod val="75000"/>
            </a:schemeClr>
          </a:solidFill>
        </a:ln>
        <a:effectLst/>
      </c:spPr>
    </c:plotArea>
    <c:legend>
      <c:legendPos val="b"/>
      <c:layout>
        <c:manualLayout>
          <c:xMode val="edge"/>
          <c:yMode val="edge"/>
          <c:x val="3.9033896164049016E-2"/>
          <c:y val="0.84624707384549902"/>
          <c:w val="0.89999987670045511"/>
          <c:h val="0.14766865290487338"/>
        </c:manualLayout>
      </c:layout>
      <c:overlay val="0"/>
      <c:txPr>
        <a:bodyPr/>
        <a:lstStyle/>
        <a:p>
          <a:pPr>
            <a:defRPr sz="8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4F81BD">
        <a:lumMod val="20000"/>
        <a:lumOff val="80000"/>
      </a:srgbClr>
    </a:solidFill>
    <a:ln w="9525" cap="flat" cmpd="sng" algn="ctr">
      <a:solidFill>
        <a:schemeClr val="bg1">
          <a:lumMod val="75000"/>
        </a:schemeClr>
      </a:solidFill>
      <a:round/>
    </a:ln>
    <a:effectLst/>
  </c:spPr>
  <c:txPr>
    <a:bodyPr/>
    <a:lstStyle/>
    <a:p>
      <a:pPr>
        <a:defRPr sz="1000"/>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solidFill>
                <a:latin typeface="GHEA Grapalat" pitchFamily="50" charset="0"/>
                <a:ea typeface="+mn-ea"/>
                <a:cs typeface="+mn-cs"/>
              </a:defRPr>
            </a:pPr>
            <a:r>
              <a:rPr lang="hy-AM" sz="900" b="1" dirty="0">
                <a:solidFill>
                  <a:schemeClr val="tx1"/>
                </a:solidFill>
                <a:latin typeface="GHEA Grapalat" pitchFamily="50" charset="0"/>
              </a:rPr>
              <a:t>Պատվաստման ծրագիրը</a:t>
            </a:r>
            <a:endParaRPr lang="en-US" sz="900" b="1" dirty="0">
              <a:solidFill>
                <a:schemeClr val="tx1"/>
              </a:solidFill>
              <a:latin typeface="GHEA Grapalat" pitchFamily="50" charset="0"/>
            </a:endParaRP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Պատվաստման ծրագիրը</c:v>
                </c:pt>
              </c:strCache>
            </c:strRef>
          </c:tx>
          <c:spPr>
            <a:solidFill>
              <a:srgbClr val="FF0000"/>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9C2F-436D-B8DD-5056C73E8DB3}"/>
              </c:ext>
            </c:extLst>
          </c:dPt>
          <c:dPt>
            <c:idx val="1"/>
            <c:invertIfNegative val="0"/>
            <c:bubble3D val="0"/>
            <c:spPr>
              <a:solidFill>
                <a:srgbClr val="00B050"/>
              </a:solidFill>
              <a:ln>
                <a:noFill/>
              </a:ln>
              <a:effectLst/>
            </c:spPr>
            <c:extLst>
              <c:ext xmlns:c16="http://schemas.microsoft.com/office/drawing/2014/chart" uri="{C3380CC4-5D6E-409C-BE32-E72D297353CC}">
                <c16:uniqueId val="{00000003-9C2F-436D-B8DD-5056C73E8DB3}"/>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2021</c:v>
                </c:pt>
                <c:pt idx="1">
                  <c:v>2025</c:v>
                </c:pt>
              </c:numCache>
            </c:numRef>
          </c:cat>
          <c:val>
            <c:numRef>
              <c:f>Sheet1!$B$2:$B$3</c:f>
              <c:numCache>
                <c:formatCode>0%</c:formatCode>
                <c:ptCount val="2"/>
                <c:pt idx="0">
                  <c:v>0.1</c:v>
                </c:pt>
                <c:pt idx="1">
                  <c:v>1</c:v>
                </c:pt>
              </c:numCache>
            </c:numRef>
          </c:val>
          <c:extLst>
            <c:ext xmlns:c16="http://schemas.microsoft.com/office/drawing/2014/chart" uri="{C3380CC4-5D6E-409C-BE32-E72D297353CC}">
              <c16:uniqueId val="{00000004-9C2F-436D-B8DD-5056C73E8DB3}"/>
            </c:ext>
          </c:extLst>
        </c:ser>
        <c:dLbls>
          <c:showLegendKey val="0"/>
          <c:showVal val="0"/>
          <c:showCatName val="0"/>
          <c:showSerName val="0"/>
          <c:showPercent val="0"/>
          <c:showBubbleSize val="0"/>
        </c:dLbls>
        <c:gapWidth val="219"/>
        <c:overlap val="-27"/>
        <c:axId val="147585280"/>
        <c:axId val="147587072"/>
      </c:barChart>
      <c:catAx>
        <c:axId val="14758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itchFamily="50" charset="0"/>
                <a:ea typeface="+mn-ea"/>
                <a:cs typeface="+mn-cs"/>
              </a:defRPr>
            </a:pPr>
            <a:endParaRPr lang="en-US"/>
          </a:p>
        </c:txPr>
        <c:crossAx val="147587072"/>
        <c:crosses val="autoZero"/>
        <c:auto val="1"/>
        <c:lblAlgn val="ctr"/>
        <c:lblOffset val="100"/>
        <c:noMultiLvlLbl val="0"/>
      </c:catAx>
      <c:valAx>
        <c:axId val="147587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itchFamily="50" charset="0"/>
                <a:ea typeface="+mn-ea"/>
                <a:cs typeface="+mn-cs"/>
              </a:defRPr>
            </a:pPr>
            <a:endParaRPr lang="en-US"/>
          </a:p>
        </c:txPr>
        <c:crossAx val="1475852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chemeClr val="accent1"/>
      </a:solidFill>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Sheet1!$A$3</c:f>
              <c:strCache>
                <c:ptCount val="1"/>
                <c:pt idx="0">
                  <c:v>Անվանական ՀՆԱ, մլրդ դրամ</c:v>
                </c:pt>
              </c:strCache>
            </c:strRef>
          </c:tx>
          <c:spPr>
            <a:solidFill>
              <a:schemeClr val="accent2"/>
            </a:solidFill>
            <a:ln>
              <a:noFill/>
            </a:ln>
            <a:effectLst/>
          </c:spPr>
          <c:invertIfNegative val="0"/>
          <c:cat>
            <c:numRef>
              <c:f>Sheet1!$B$1:$Z$1</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Sheet1!$B$3:$Z$3</c:f>
              <c:numCache>
                <c:formatCode>_(* #,##0_);_(* \(#,##0\);_(* "-"??_);_(@_)</c:formatCode>
                <c:ptCount val="25"/>
                <c:pt idx="0">
                  <c:v>1031.3383000000001</c:v>
                </c:pt>
                <c:pt idx="1">
                  <c:v>1175.8768043886819</c:v>
                </c:pt>
                <c:pt idx="2">
                  <c:v>1362.4717000000001</c:v>
                </c:pt>
                <c:pt idx="3">
                  <c:v>1624.6426999999999</c:v>
                </c:pt>
                <c:pt idx="4">
                  <c:v>1907.9453999999998</c:v>
                </c:pt>
                <c:pt idx="5">
                  <c:v>2242.8809000000001</c:v>
                </c:pt>
                <c:pt idx="6">
                  <c:v>2656.1898000000001</c:v>
                </c:pt>
                <c:pt idx="7">
                  <c:v>3149.2834000000007</c:v>
                </c:pt>
                <c:pt idx="8">
                  <c:v>3568.2276000000006</c:v>
                </c:pt>
                <c:pt idx="9">
                  <c:v>3141.6510000000003</c:v>
                </c:pt>
                <c:pt idx="10">
                  <c:v>3460.2027000000007</c:v>
                </c:pt>
                <c:pt idx="11">
                  <c:v>3777.9456</c:v>
                </c:pt>
                <c:pt idx="12">
                  <c:v>4266.4605000000001</c:v>
                </c:pt>
                <c:pt idx="13">
                  <c:v>4555.6382000000003</c:v>
                </c:pt>
                <c:pt idx="14">
                  <c:v>4828.6262999999999</c:v>
                </c:pt>
                <c:pt idx="15">
                  <c:v>5043.6332000000002</c:v>
                </c:pt>
                <c:pt idx="16">
                  <c:v>5067.2934999999998</c:v>
                </c:pt>
                <c:pt idx="17">
                  <c:v>5564.4933000000001</c:v>
                </c:pt>
                <c:pt idx="18">
                  <c:v>6017.0352000000003</c:v>
                </c:pt>
                <c:pt idx="19">
                  <c:v>6543.3217999999997</c:v>
                </c:pt>
                <c:pt idx="20">
                  <c:v>6181.6641</c:v>
                </c:pt>
                <c:pt idx="21">
                  <c:v>6880.1921433000034</c:v>
                </c:pt>
                <c:pt idx="22">
                  <c:v>7570.7940685762405</c:v>
                </c:pt>
                <c:pt idx="23">
                  <c:v>8171.1135049901477</c:v>
                </c:pt>
                <c:pt idx="24">
                  <c:v>8835.43991504531</c:v>
                </c:pt>
              </c:numCache>
            </c:numRef>
          </c:val>
          <c:extLst>
            <c:ext xmlns:c16="http://schemas.microsoft.com/office/drawing/2014/chart" uri="{C3380CC4-5D6E-409C-BE32-E72D297353CC}">
              <c16:uniqueId val="{00000000-21F6-47BF-9C40-16617B72B166}"/>
            </c:ext>
          </c:extLst>
        </c:ser>
        <c:dLbls>
          <c:showLegendKey val="0"/>
          <c:showVal val="0"/>
          <c:showCatName val="0"/>
          <c:showSerName val="0"/>
          <c:showPercent val="0"/>
          <c:showBubbleSize val="0"/>
        </c:dLbls>
        <c:gapWidth val="219"/>
        <c:axId val="147651968"/>
        <c:axId val="144716928"/>
      </c:barChart>
      <c:lineChart>
        <c:grouping val="standard"/>
        <c:varyColors val="0"/>
        <c:ser>
          <c:idx val="0"/>
          <c:order val="0"/>
          <c:tx>
            <c:strRef>
              <c:f>Sheet1!$A$2</c:f>
              <c:strCache>
                <c:ptCount val="1"/>
                <c:pt idx="0">
                  <c:v>Տնտեսական աճ, %</c:v>
                </c:pt>
              </c:strCache>
            </c:strRef>
          </c:tx>
          <c:spPr>
            <a:ln w="28575" cap="rnd">
              <a:solidFill>
                <a:schemeClr val="accent1"/>
              </a:solidFill>
              <a:round/>
            </a:ln>
            <a:effectLst/>
          </c:spPr>
          <c:marker>
            <c:symbol val="none"/>
          </c:marker>
          <c:cat>
            <c:numRef>
              <c:f>Sheet1!$B$1:$Y$1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Sheet1!$B$2:$Z$2</c:f>
              <c:numCache>
                <c:formatCode>0.0</c:formatCode>
                <c:ptCount val="25"/>
                <c:pt idx="0">
                  <c:v>5.8956981547403728</c:v>
                </c:pt>
                <c:pt idx="1">
                  <c:v>9.5566411137839395</c:v>
                </c:pt>
                <c:pt idx="2">
                  <c:v>13.196463821262512</c:v>
                </c:pt>
                <c:pt idx="3">
                  <c:v>14.040798058411056</c:v>
                </c:pt>
                <c:pt idx="4">
                  <c:v>10.46784009801047</c:v>
                </c:pt>
                <c:pt idx="5">
                  <c:v>13.865711251485493</c:v>
                </c:pt>
                <c:pt idx="6">
                  <c:v>13.198003514141135</c:v>
                </c:pt>
                <c:pt idx="7">
                  <c:v>13.749201958384148</c:v>
                </c:pt>
                <c:pt idx="8">
                  <c:v>6.9476535519159768</c:v>
                </c:pt>
                <c:pt idx="9">
                  <c:v>-14.149988638617103</c:v>
                </c:pt>
                <c:pt idx="10">
                  <c:v>2.2151091894039183</c:v>
                </c:pt>
                <c:pt idx="11">
                  <c:v>4.6507622226871206</c:v>
                </c:pt>
                <c:pt idx="12">
                  <c:v>7.1590508979271874</c:v>
                </c:pt>
                <c:pt idx="13">
                  <c:v>3.2999999999999972</c:v>
                </c:pt>
                <c:pt idx="14">
                  <c:v>3.5999999999999943</c:v>
                </c:pt>
                <c:pt idx="15">
                  <c:v>3.2000000000000028</c:v>
                </c:pt>
                <c:pt idx="16">
                  <c:v>0.20000000000000284</c:v>
                </c:pt>
                <c:pt idx="17">
                  <c:v>7.5</c:v>
                </c:pt>
                <c:pt idx="18">
                  <c:v>5.2000000000000028</c:v>
                </c:pt>
                <c:pt idx="19">
                  <c:v>7.5999999999999943</c:v>
                </c:pt>
                <c:pt idx="20">
                  <c:v>-7.4000000000000057</c:v>
                </c:pt>
                <c:pt idx="21">
                  <c:v>6</c:v>
                </c:pt>
                <c:pt idx="22">
                  <c:v>5.1786453838780062</c:v>
                </c:pt>
                <c:pt idx="23">
                  <c:v>3.748841234354984</c:v>
                </c:pt>
                <c:pt idx="24">
                  <c:v>3.9969367072520043</c:v>
                </c:pt>
              </c:numCache>
            </c:numRef>
          </c:val>
          <c:smooth val="0"/>
          <c:extLst>
            <c:ext xmlns:c16="http://schemas.microsoft.com/office/drawing/2014/chart" uri="{C3380CC4-5D6E-409C-BE32-E72D297353CC}">
              <c16:uniqueId val="{00000001-21F6-47BF-9C40-16617B72B166}"/>
            </c:ext>
          </c:extLst>
        </c:ser>
        <c:dLbls>
          <c:showLegendKey val="0"/>
          <c:showVal val="0"/>
          <c:showCatName val="0"/>
          <c:showSerName val="0"/>
          <c:showPercent val="0"/>
          <c:showBubbleSize val="0"/>
        </c:dLbls>
        <c:marker val="1"/>
        <c:smooth val="0"/>
        <c:axId val="144720256"/>
        <c:axId val="144718464"/>
      </c:lineChart>
      <c:catAx>
        <c:axId val="14765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4716928"/>
        <c:crosses val="autoZero"/>
        <c:auto val="1"/>
        <c:lblAlgn val="ctr"/>
        <c:lblOffset val="100"/>
        <c:noMultiLvlLbl val="0"/>
      </c:catAx>
      <c:valAx>
        <c:axId val="144716928"/>
        <c:scaling>
          <c:orientation val="minMax"/>
          <c:max val="9500"/>
          <c:min val="5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7651968"/>
        <c:crosses val="autoZero"/>
        <c:crossBetween val="between"/>
      </c:valAx>
      <c:valAx>
        <c:axId val="14471846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4720256"/>
        <c:crosses val="max"/>
        <c:crossBetween val="between"/>
      </c:valAx>
      <c:catAx>
        <c:axId val="144720256"/>
        <c:scaling>
          <c:orientation val="minMax"/>
        </c:scaling>
        <c:delete val="1"/>
        <c:axPos val="b"/>
        <c:numFmt formatCode="General" sourceLinked="1"/>
        <c:majorTickMark val="out"/>
        <c:minorTickMark val="none"/>
        <c:tickLblPos val="none"/>
        <c:crossAx val="14471846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7614709925968"/>
          <c:y val="0.12727272727272718"/>
          <c:w val="0.82715542910077533"/>
          <c:h val="0.45733767572247186"/>
        </c:manualLayout>
      </c:layout>
      <c:barChart>
        <c:barDir val="col"/>
        <c:grouping val="clustered"/>
        <c:varyColors val="0"/>
        <c:ser>
          <c:idx val="1"/>
          <c:order val="1"/>
          <c:tx>
            <c:strRef>
              <c:f>Sheet1!$C$1</c:f>
              <c:strCache>
                <c:ptCount val="1"/>
                <c:pt idx="0">
                  <c:v>Արտահանում</c:v>
                </c:pt>
              </c:strCache>
            </c:strRef>
          </c:tx>
          <c:spPr>
            <a:solidFill>
              <a:schemeClr val="accent2"/>
            </a:solidFill>
            <a:ln>
              <a:no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Sheet1!$C$2:$C$7</c:f>
              <c:numCache>
                <c:formatCode>#\,##0.0;"–"#\,##0.0</c:formatCode>
                <c:ptCount val="5"/>
                <c:pt idx="0">
                  <c:v>3.7</c:v>
                </c:pt>
                <c:pt idx="1">
                  <c:v>1</c:v>
                </c:pt>
                <c:pt idx="2">
                  <c:v>-8.1</c:v>
                </c:pt>
                <c:pt idx="3">
                  <c:v>7.79</c:v>
                </c:pt>
                <c:pt idx="4">
                  <c:v>6.23</c:v>
                </c:pt>
              </c:numCache>
            </c:numRef>
          </c:val>
          <c:extLst>
            <c:ext xmlns:c16="http://schemas.microsoft.com/office/drawing/2014/chart" uri="{C3380CC4-5D6E-409C-BE32-E72D297353CC}">
              <c16:uniqueId val="{00000000-ADE9-4530-A54F-7CAA05216028}"/>
            </c:ext>
          </c:extLst>
        </c:ser>
        <c:ser>
          <c:idx val="2"/>
          <c:order val="2"/>
          <c:tx>
            <c:strRef>
              <c:f>Sheet1!$D$1</c:f>
              <c:strCache>
                <c:ptCount val="1"/>
                <c:pt idx="0">
                  <c:v>Ներմուծում</c:v>
                </c:pt>
              </c:strCache>
            </c:strRef>
          </c:tx>
          <c:spPr>
            <a:solidFill>
              <a:srgbClr val="0070C0"/>
            </a:solidFill>
            <a:ln>
              <a:solidFill>
                <a:schemeClr val="accent1"/>
              </a:solid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Sheet1!$D$2:$D$7</c:f>
              <c:numCache>
                <c:formatCode>#\,##0.0;"–"#\,##0.0</c:formatCode>
                <c:ptCount val="5"/>
                <c:pt idx="0">
                  <c:v>4.0730000000000004</c:v>
                </c:pt>
                <c:pt idx="1">
                  <c:v>0.73499999999999999</c:v>
                </c:pt>
                <c:pt idx="2">
                  <c:v>-8.9</c:v>
                </c:pt>
                <c:pt idx="3">
                  <c:v>9.1</c:v>
                </c:pt>
                <c:pt idx="4">
                  <c:v>6.75</c:v>
                </c:pt>
              </c:numCache>
            </c:numRef>
          </c:val>
          <c:extLst>
            <c:ext xmlns:c16="http://schemas.microsoft.com/office/drawing/2014/chart" uri="{C3380CC4-5D6E-409C-BE32-E72D297353CC}">
              <c16:uniqueId val="{00000001-ADE9-4530-A54F-7CAA05216028}"/>
            </c:ext>
          </c:extLst>
        </c:ser>
        <c:dLbls>
          <c:showLegendKey val="0"/>
          <c:showVal val="0"/>
          <c:showCatName val="0"/>
          <c:showSerName val="0"/>
          <c:showPercent val="0"/>
          <c:showBubbleSize val="0"/>
        </c:dLbls>
        <c:gapWidth val="150"/>
        <c:axId val="129648896"/>
        <c:axId val="129650688"/>
      </c:barChart>
      <c:lineChart>
        <c:grouping val="standard"/>
        <c:varyColors val="0"/>
        <c:ser>
          <c:idx val="0"/>
          <c:order val="0"/>
          <c:tx>
            <c:strRef>
              <c:f>Sheet1!$B$1</c:f>
              <c:strCache>
                <c:ptCount val="1"/>
                <c:pt idx="0">
                  <c:v>Առևտրաշրջանառություն</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5"/>
                <c:pt idx="0">
                  <c:v>2018</c:v>
                </c:pt>
                <c:pt idx="1">
                  <c:v>2019</c:v>
                </c:pt>
                <c:pt idx="2">
                  <c:v>2020</c:v>
                </c:pt>
                <c:pt idx="3">
                  <c:v>2021</c:v>
                </c:pt>
                <c:pt idx="4">
                  <c:v>2022</c:v>
                </c:pt>
              </c:numCache>
            </c:numRef>
          </c:cat>
          <c:val>
            <c:numRef>
              <c:f>Sheet1!$B$2:$B$7</c:f>
              <c:numCache>
                <c:formatCode>#\,##0.0;"–"#\,##0.0</c:formatCode>
                <c:ptCount val="5"/>
                <c:pt idx="0">
                  <c:v>3.8860000000000001</c:v>
                </c:pt>
                <c:pt idx="1">
                  <c:v>0.85199999999999998</c:v>
                </c:pt>
                <c:pt idx="2">
                  <c:v>-8.5</c:v>
                </c:pt>
                <c:pt idx="3">
                  <c:v>8.4</c:v>
                </c:pt>
                <c:pt idx="4">
                  <c:v>6.5</c:v>
                </c:pt>
              </c:numCache>
            </c:numRef>
          </c:val>
          <c:smooth val="0"/>
          <c:extLst>
            <c:ext xmlns:c16="http://schemas.microsoft.com/office/drawing/2014/chart" uri="{C3380CC4-5D6E-409C-BE32-E72D297353CC}">
              <c16:uniqueId val="{00000002-ADE9-4530-A54F-7CAA05216028}"/>
            </c:ext>
          </c:extLst>
        </c:ser>
        <c:dLbls>
          <c:showLegendKey val="0"/>
          <c:showVal val="0"/>
          <c:showCatName val="0"/>
          <c:showSerName val="0"/>
          <c:showPercent val="0"/>
          <c:showBubbleSize val="0"/>
        </c:dLbls>
        <c:marker val="1"/>
        <c:smooth val="0"/>
        <c:axId val="129648896"/>
        <c:axId val="129650688"/>
      </c:lineChart>
      <c:catAx>
        <c:axId val="1296488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50688"/>
        <c:crosses val="autoZero"/>
        <c:auto val="1"/>
        <c:lblAlgn val="ctr"/>
        <c:lblOffset val="100"/>
        <c:noMultiLvlLbl val="0"/>
      </c:catAx>
      <c:valAx>
        <c:axId val="129650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layout/>
          <c:overlay val="0"/>
          <c:spPr>
            <a:noFill/>
            <a:ln>
              <a:noFill/>
            </a:ln>
            <a:effectLst/>
          </c:spPr>
        </c:title>
        <c:numFmt formatCode="#\,##0.0;&quot;–&quot;#\,##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48896"/>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4.6399353926912981E-2"/>
          <c:y val="0.80366684530925792"/>
          <c:w val="0.9400150504156628"/>
          <c:h val="0.193829410067197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Տնտեսական աճ/անկում</c:v>
                </c:pt>
              </c:strCache>
            </c:strRef>
          </c:tx>
          <c:spPr>
            <a:solidFill>
              <a:srgbClr val="C00000"/>
            </a:solidFill>
            <a:ln>
              <a:solidFill>
                <a:srgbClr val="C00000"/>
              </a:solidFill>
            </a:ln>
            <a:effectLst/>
          </c:spPr>
          <c:invertIfNegative val="0"/>
          <c:dPt>
            <c:idx val="1"/>
            <c:invertIfNegative val="0"/>
            <c:bubble3D val="0"/>
            <c:spPr>
              <a:solidFill>
                <a:srgbClr val="5B9BD5">
                  <a:lumMod val="75000"/>
                </a:srgbClr>
              </a:solidFill>
              <a:ln>
                <a:solidFill>
                  <a:srgbClr val="5B9BD5">
                    <a:lumMod val="75000"/>
                  </a:srgbClr>
                </a:solidFill>
              </a:ln>
              <a:effectLst/>
            </c:spPr>
            <c:extLst>
              <c:ext xmlns:c16="http://schemas.microsoft.com/office/drawing/2014/chart" uri="{C3380CC4-5D6E-409C-BE32-E72D297353CC}">
                <c16:uniqueId val="{00000001-5D97-4636-8DF3-9F19C32AFA89}"/>
              </c:ext>
            </c:extLst>
          </c:dPt>
          <c:dPt>
            <c:idx val="4"/>
            <c:invertIfNegative val="0"/>
            <c:bubble3D val="0"/>
            <c:spPr>
              <a:solidFill>
                <a:srgbClr val="5B9BD5">
                  <a:lumMod val="75000"/>
                </a:srgbClr>
              </a:solidFill>
              <a:ln>
                <a:solidFill>
                  <a:srgbClr val="5B9BD5">
                    <a:lumMod val="75000"/>
                  </a:srgbClr>
                </a:solidFill>
              </a:ln>
              <a:effectLst/>
            </c:spPr>
            <c:extLst>
              <c:ext xmlns:c16="http://schemas.microsoft.com/office/drawing/2014/chart" uri="{C3380CC4-5D6E-409C-BE32-E72D297353CC}">
                <c16:uniqueId val="{00000003-5D97-4636-8DF3-9F19C32AFA89}"/>
              </c:ext>
            </c:extLst>
          </c:dPt>
          <c:dPt>
            <c:idx val="7"/>
            <c:invertIfNegative val="0"/>
            <c:bubble3D val="0"/>
            <c:spPr>
              <a:solidFill>
                <a:srgbClr val="5B9BD5"/>
              </a:solidFill>
              <a:ln>
                <a:solidFill>
                  <a:srgbClr val="5B9BD5"/>
                </a:solidFill>
              </a:ln>
              <a:effectLst/>
            </c:spPr>
            <c:extLst>
              <c:ext xmlns:c16="http://schemas.microsoft.com/office/drawing/2014/chart" uri="{C3380CC4-5D6E-409C-BE32-E72D297353CC}">
                <c16:uniqueId val="{00000005-5D97-4636-8DF3-9F19C32AFA89}"/>
              </c:ext>
            </c:extLst>
          </c:dPt>
          <c:dLbls>
            <c:dLbl>
              <c:idx val="0"/>
              <c:layout>
                <c:manualLayout>
                  <c:x val="7.6366559485530547E-2"/>
                  <c:y val="9.6852300242130748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6-5D97-4636-8DF3-9F19C32AFA89}"/>
                </c:ext>
              </c:extLst>
            </c:dLbl>
            <c:dLbl>
              <c:idx val="3"/>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5D97-4636-8DF3-9F19C32AFA89}"/>
                </c:ext>
              </c:extLst>
            </c:dLbl>
            <c:dLbl>
              <c:idx val="6"/>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8-5D97-4636-8DF3-9F19C32AFA8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ext>
            </c:extLst>
          </c:dLbls>
          <c:cat>
            <c:numRef>
              <c:f>Sheet1!$A$2:$A$9</c:f>
              <c:numCache>
                <c:formatCode>General</c:formatCode>
                <c:ptCount val="8"/>
                <c:pt idx="0">
                  <c:v>2009</c:v>
                </c:pt>
                <c:pt idx="1">
                  <c:v>2010</c:v>
                </c:pt>
                <c:pt idx="3">
                  <c:v>2016</c:v>
                </c:pt>
                <c:pt idx="4">
                  <c:v>2017</c:v>
                </c:pt>
                <c:pt idx="6">
                  <c:v>2020</c:v>
                </c:pt>
                <c:pt idx="7">
                  <c:v>2021</c:v>
                </c:pt>
              </c:numCache>
            </c:numRef>
          </c:cat>
          <c:val>
            <c:numRef>
              <c:f>Sheet1!$B$2:$B$9</c:f>
              <c:numCache>
                <c:formatCode>0.0</c:formatCode>
                <c:ptCount val="8"/>
                <c:pt idx="0" formatCode="General">
                  <c:v>-14.1</c:v>
                </c:pt>
                <c:pt idx="1">
                  <c:v>2.2151091894039183</c:v>
                </c:pt>
                <c:pt idx="3" formatCode="General">
                  <c:v>0.2</c:v>
                </c:pt>
                <c:pt idx="4" formatCode="General">
                  <c:v>7.5</c:v>
                </c:pt>
                <c:pt idx="6" formatCode="General">
                  <c:v>-7.4</c:v>
                </c:pt>
                <c:pt idx="7">
                  <c:v>6</c:v>
                </c:pt>
              </c:numCache>
            </c:numRef>
          </c:val>
          <c:extLst>
            <c:ext xmlns:c16="http://schemas.microsoft.com/office/drawing/2014/chart" uri="{C3380CC4-5D6E-409C-BE32-E72D297353CC}">
              <c16:uniqueId val="{00000009-5D97-4636-8DF3-9F19C32AFA89}"/>
            </c:ext>
          </c:extLst>
        </c:ser>
        <c:dLbls>
          <c:showLegendKey val="0"/>
          <c:showVal val="0"/>
          <c:showCatName val="0"/>
          <c:showSerName val="0"/>
          <c:showPercent val="0"/>
          <c:showBubbleSize val="0"/>
        </c:dLbls>
        <c:gapWidth val="219"/>
        <c:overlap val="-27"/>
        <c:axId val="148010496"/>
        <c:axId val="148012032"/>
      </c:barChart>
      <c:catAx>
        <c:axId val="14801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012032"/>
        <c:crosses val="autoZero"/>
        <c:auto val="1"/>
        <c:lblAlgn val="ctr"/>
        <c:lblOffset val="100"/>
        <c:noMultiLvlLbl val="0"/>
      </c:catAx>
      <c:valAx>
        <c:axId val="148012032"/>
        <c:scaling>
          <c:orientation val="minMax"/>
          <c:max val="8"/>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010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157794177073183E-2"/>
          <c:y val="4.1115590668506716E-2"/>
          <c:w val="0.91791893726288765"/>
          <c:h val="0.57079207993394554"/>
        </c:manualLayout>
      </c:layout>
      <c:barChart>
        <c:barDir val="col"/>
        <c:grouping val="stacked"/>
        <c:varyColors val="0"/>
        <c:ser>
          <c:idx val="1"/>
          <c:order val="1"/>
          <c:tx>
            <c:strRef>
              <c:f>Sheet1!$D$4</c:f>
              <c:strCache>
                <c:ptCount val="1"/>
                <c:pt idx="0">
                  <c:v>արդյունաբերություն</c:v>
                </c:pt>
              </c:strCache>
            </c:strRef>
          </c:tx>
          <c:spPr>
            <a:solidFill>
              <a:schemeClr val="accent2"/>
            </a:solidFill>
            <a:ln>
              <a:noFill/>
            </a:ln>
            <a:effectLst/>
          </c:spPr>
          <c:invertIfNegative val="0"/>
          <c:val>
            <c:numRef>
              <c:f>Sheet1!$E$4:$K$4</c:f>
              <c:numCache>
                <c:formatCode>0.0</c:formatCode>
                <c:ptCount val="7"/>
                <c:pt idx="0">
                  <c:v>0.90972491062214333</c:v>
                </c:pt>
                <c:pt idx="1">
                  <c:v>2.1681570501698246</c:v>
                </c:pt>
                <c:pt idx="2">
                  <c:v>-0.31627508523269748</c:v>
                </c:pt>
                <c:pt idx="3">
                  <c:v>0.98374335318543205</c:v>
                </c:pt>
                <c:pt idx="4">
                  <c:v>1.1920833009143439</c:v>
                </c:pt>
                <c:pt idx="5">
                  <c:v>0.8609979186263661</c:v>
                </c:pt>
                <c:pt idx="6">
                  <c:v>0.8857014917209125</c:v>
                </c:pt>
              </c:numCache>
            </c:numRef>
          </c:val>
          <c:extLst>
            <c:ext xmlns:c16="http://schemas.microsoft.com/office/drawing/2014/chart" uri="{C3380CC4-5D6E-409C-BE32-E72D297353CC}">
              <c16:uniqueId val="{00000000-3906-40A8-A011-A899F1FACDCC}"/>
            </c:ext>
          </c:extLst>
        </c:ser>
        <c:ser>
          <c:idx val="2"/>
          <c:order val="2"/>
          <c:tx>
            <c:strRef>
              <c:f>Sheet1!$D$5</c:f>
              <c:strCache>
                <c:ptCount val="1"/>
                <c:pt idx="0">
                  <c:v>գյուղատնտեսություն </c:v>
                </c:pt>
              </c:strCache>
            </c:strRef>
          </c:tx>
          <c:spPr>
            <a:solidFill>
              <a:schemeClr val="accent3"/>
            </a:solidFill>
            <a:ln>
              <a:noFill/>
            </a:ln>
            <a:effectLst/>
          </c:spPr>
          <c:invertIfNegative val="0"/>
          <c:val>
            <c:numRef>
              <c:f>Sheet1!$E$5:$K$5</c:f>
              <c:numCache>
                <c:formatCode>0.0</c:formatCode>
                <c:ptCount val="7"/>
                <c:pt idx="0">
                  <c:v>-1.0346039485751573</c:v>
                </c:pt>
                <c:pt idx="1">
                  <c:v>-0.80865407601404704</c:v>
                </c:pt>
                <c:pt idx="2">
                  <c:v>-0.47255004025631075</c:v>
                </c:pt>
                <c:pt idx="3">
                  <c:v>0.34761614109702205</c:v>
                </c:pt>
                <c:pt idx="4">
                  <c:v>0.272666038855014</c:v>
                </c:pt>
                <c:pt idx="5">
                  <c:v>0.24446414355483836</c:v>
                </c:pt>
                <c:pt idx="6">
                  <c:v>0.26201111792963327</c:v>
                </c:pt>
              </c:numCache>
            </c:numRef>
          </c:val>
          <c:extLst>
            <c:ext xmlns:c16="http://schemas.microsoft.com/office/drawing/2014/chart" uri="{C3380CC4-5D6E-409C-BE32-E72D297353CC}">
              <c16:uniqueId val="{00000001-3906-40A8-A011-A899F1FACDCC}"/>
            </c:ext>
          </c:extLst>
        </c:ser>
        <c:ser>
          <c:idx val="3"/>
          <c:order val="3"/>
          <c:tx>
            <c:strRef>
              <c:f>Sheet1!$D$6</c:f>
              <c:strCache>
                <c:ptCount val="1"/>
                <c:pt idx="0">
                  <c:v>շինարարություն</c:v>
                </c:pt>
              </c:strCache>
            </c:strRef>
          </c:tx>
          <c:spPr>
            <a:solidFill>
              <a:schemeClr val="accent4"/>
            </a:solidFill>
            <a:ln>
              <a:noFill/>
            </a:ln>
            <a:effectLst/>
          </c:spPr>
          <c:invertIfNegative val="0"/>
          <c:val>
            <c:numRef>
              <c:f>Sheet1!$E$6:$K$6</c:f>
              <c:numCache>
                <c:formatCode>0.0</c:formatCode>
                <c:ptCount val="7"/>
                <c:pt idx="0">
                  <c:v>4.3605339591297143E-2</c:v>
                </c:pt>
                <c:pt idx="1">
                  <c:v>0.42924919235971898</c:v>
                </c:pt>
                <c:pt idx="2">
                  <c:v>-0.42539272636721015</c:v>
                </c:pt>
                <c:pt idx="3">
                  <c:v>0.38204895482503132</c:v>
                </c:pt>
                <c:pt idx="4">
                  <c:v>0.43748627057420203</c:v>
                </c:pt>
                <c:pt idx="5">
                  <c:v>0.22458438054784902</c:v>
                </c:pt>
                <c:pt idx="6">
                  <c:v>0.36301900021031519</c:v>
                </c:pt>
              </c:numCache>
            </c:numRef>
          </c:val>
          <c:extLst>
            <c:ext xmlns:c16="http://schemas.microsoft.com/office/drawing/2014/chart" uri="{C3380CC4-5D6E-409C-BE32-E72D297353CC}">
              <c16:uniqueId val="{00000002-3906-40A8-A011-A899F1FACDCC}"/>
            </c:ext>
          </c:extLst>
        </c:ser>
        <c:ser>
          <c:idx val="4"/>
          <c:order val="4"/>
          <c:tx>
            <c:strRef>
              <c:f>Sheet1!$D$7</c:f>
              <c:strCache>
                <c:ptCount val="1"/>
                <c:pt idx="0">
                  <c:v>ծառայություններ</c:v>
                </c:pt>
              </c:strCache>
            </c:strRef>
          </c:tx>
          <c:spPr>
            <a:solidFill>
              <a:schemeClr val="accent5"/>
            </a:solidFill>
            <a:ln>
              <a:noFill/>
            </a:ln>
            <a:effectLst/>
          </c:spPr>
          <c:invertIfNegative val="0"/>
          <c:val>
            <c:numRef>
              <c:f>Sheet1!$E$7:$K$7</c:f>
              <c:numCache>
                <c:formatCode>0.0</c:formatCode>
                <c:ptCount val="7"/>
                <c:pt idx="0">
                  <c:v>4.453544523092539</c:v>
                </c:pt>
                <c:pt idx="1">
                  <c:v>5.0778366362224361</c:v>
                </c:pt>
                <c:pt idx="2">
                  <c:v>-5.0521420801893067</c:v>
                </c:pt>
                <c:pt idx="3">
                  <c:v>3.5790173800474792</c:v>
                </c:pt>
                <c:pt idx="4">
                  <c:v>2.7022117934564545</c:v>
                </c:pt>
                <c:pt idx="5">
                  <c:v>2.0029028696687035</c:v>
                </c:pt>
                <c:pt idx="6">
                  <c:v>2.0591581772479151</c:v>
                </c:pt>
              </c:numCache>
            </c:numRef>
          </c:val>
          <c:extLst>
            <c:ext xmlns:c16="http://schemas.microsoft.com/office/drawing/2014/chart" uri="{C3380CC4-5D6E-409C-BE32-E72D297353CC}">
              <c16:uniqueId val="{00000003-3906-40A8-A011-A899F1FACDCC}"/>
            </c:ext>
          </c:extLst>
        </c:ser>
        <c:ser>
          <c:idx val="5"/>
          <c:order val="5"/>
          <c:tx>
            <c:strRef>
              <c:f>Sheet1!$D$8</c:f>
              <c:strCache>
                <c:ptCount val="1"/>
                <c:pt idx="0">
                  <c:v>զուտ հարկեր</c:v>
                </c:pt>
              </c:strCache>
            </c:strRef>
          </c:tx>
          <c:spPr>
            <a:solidFill>
              <a:schemeClr val="accent6"/>
            </a:solidFill>
            <a:ln>
              <a:noFill/>
            </a:ln>
            <a:effectLst/>
          </c:spPr>
          <c:invertIfNegative val="0"/>
          <c:val>
            <c:numRef>
              <c:f>Sheet1!$E$8:$K$8</c:f>
              <c:numCache>
                <c:formatCode>0.0</c:formatCode>
                <c:ptCount val="7"/>
                <c:pt idx="0">
                  <c:v>0.82246482352669925</c:v>
                </c:pt>
                <c:pt idx="1">
                  <c:v>0.75427447723755969</c:v>
                </c:pt>
                <c:pt idx="2">
                  <c:v>-1.1390376673817264</c:v>
                </c:pt>
                <c:pt idx="3">
                  <c:v>0.70757417084503182</c:v>
                </c:pt>
                <c:pt idx="4">
                  <c:v>0.57419798007798029</c:v>
                </c:pt>
                <c:pt idx="5">
                  <c:v>0.4158919219572364</c:v>
                </c:pt>
                <c:pt idx="6">
                  <c:v>0.42704692014322976</c:v>
                </c:pt>
              </c:numCache>
            </c:numRef>
          </c:val>
          <c:extLst>
            <c:ext xmlns:c16="http://schemas.microsoft.com/office/drawing/2014/chart" uri="{C3380CC4-5D6E-409C-BE32-E72D297353CC}">
              <c16:uniqueId val="{00000004-3906-40A8-A011-A899F1FACDCC}"/>
            </c:ext>
          </c:extLst>
        </c:ser>
        <c:dLbls>
          <c:showLegendKey val="0"/>
          <c:showVal val="0"/>
          <c:showCatName val="0"/>
          <c:showSerName val="0"/>
          <c:showPercent val="0"/>
          <c:showBubbleSize val="0"/>
        </c:dLbls>
        <c:gapWidth val="150"/>
        <c:overlap val="100"/>
        <c:axId val="147765888"/>
        <c:axId val="147771776"/>
      </c:barChart>
      <c:lineChart>
        <c:grouping val="standard"/>
        <c:varyColors val="0"/>
        <c:ser>
          <c:idx val="0"/>
          <c:order val="0"/>
          <c:tx>
            <c:strRef>
              <c:f>Sheet1!$D$3</c:f>
              <c:strCache>
                <c:ptCount val="1"/>
                <c:pt idx="0">
                  <c:v>ՀՆԱ</c:v>
                </c:pt>
              </c:strCache>
            </c:strRef>
          </c:tx>
          <c:spPr>
            <a:ln w="28575" cap="rnd">
              <a:solidFill>
                <a:schemeClr val="accent1"/>
              </a:solidFill>
              <a:round/>
            </a:ln>
            <a:effectLst/>
          </c:spPr>
          <c:marker>
            <c:symbol val="none"/>
          </c:marker>
          <c:dLbls>
            <c:dLbl>
              <c:idx val="2"/>
              <c:layout>
                <c:manualLayout>
                  <c:x val="-5.6988997065022043E-2"/>
                  <c:y val="4.48047625331750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906-40A8-A011-A899F1FACDCC}"/>
                </c:ext>
              </c:extLst>
            </c:dLbl>
            <c:dLbl>
              <c:idx val="3"/>
              <c:layout>
                <c:manualLayout>
                  <c:x val="-4.8726129061453523E-2"/>
                  <c:y val="-4.855027199812317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906-40A8-A011-A899F1FACDCC}"/>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Sheet1!$E$2:$K$2</c:f>
              <c:numCache>
                <c:formatCode>General</c:formatCode>
                <c:ptCount val="7"/>
                <c:pt idx="0">
                  <c:v>2018</c:v>
                </c:pt>
                <c:pt idx="1">
                  <c:v>2019</c:v>
                </c:pt>
                <c:pt idx="2">
                  <c:v>2020</c:v>
                </c:pt>
                <c:pt idx="3">
                  <c:v>2021</c:v>
                </c:pt>
                <c:pt idx="4">
                  <c:v>2022</c:v>
                </c:pt>
                <c:pt idx="5">
                  <c:v>2023</c:v>
                </c:pt>
                <c:pt idx="6">
                  <c:v>2024</c:v>
                </c:pt>
              </c:numCache>
            </c:numRef>
          </c:cat>
          <c:val>
            <c:numRef>
              <c:f>Sheet1!$E$3:$K$3</c:f>
              <c:numCache>
                <c:formatCode>0.0</c:formatCode>
                <c:ptCount val="7"/>
                <c:pt idx="0">
                  <c:v>5.194735648257522</c:v>
                </c:pt>
                <c:pt idx="1">
                  <c:v>7.6208632799754925</c:v>
                </c:pt>
                <c:pt idx="2">
                  <c:v>-7.4053975994272516</c:v>
                </c:pt>
                <c:pt idx="3">
                  <c:v>5.9999999999999964</c:v>
                </c:pt>
                <c:pt idx="4">
                  <c:v>5.1786453838779947</c:v>
                </c:pt>
                <c:pt idx="5">
                  <c:v>3.7488412343549933</c:v>
                </c:pt>
                <c:pt idx="6">
                  <c:v>3.9969367072520061</c:v>
                </c:pt>
              </c:numCache>
            </c:numRef>
          </c:val>
          <c:smooth val="0"/>
          <c:extLst>
            <c:ext xmlns:c16="http://schemas.microsoft.com/office/drawing/2014/chart" uri="{C3380CC4-5D6E-409C-BE32-E72D297353CC}">
              <c16:uniqueId val="{00000007-3906-40A8-A011-A899F1FACDCC}"/>
            </c:ext>
          </c:extLst>
        </c:ser>
        <c:dLbls>
          <c:showLegendKey val="0"/>
          <c:showVal val="0"/>
          <c:showCatName val="0"/>
          <c:showSerName val="0"/>
          <c:showPercent val="0"/>
          <c:showBubbleSize val="0"/>
        </c:dLbls>
        <c:marker val="1"/>
        <c:smooth val="0"/>
        <c:axId val="147765888"/>
        <c:axId val="147771776"/>
      </c:lineChart>
      <c:catAx>
        <c:axId val="147765888"/>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7771776"/>
        <c:crosses val="autoZero"/>
        <c:auto val="1"/>
        <c:lblAlgn val="ctr"/>
        <c:lblOffset val="100"/>
        <c:noMultiLvlLbl val="0"/>
      </c:catAx>
      <c:valAx>
        <c:axId val="1477717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7765888"/>
        <c:crosses val="autoZero"/>
        <c:crossBetween val="between"/>
      </c:valAx>
      <c:spPr>
        <a:noFill/>
        <a:ln>
          <a:noFill/>
        </a:ln>
        <a:effectLst/>
      </c:spPr>
    </c:plotArea>
    <c:legend>
      <c:legendPos val="b"/>
      <c:layout>
        <c:manualLayout>
          <c:xMode val="edge"/>
          <c:yMode val="edge"/>
          <c:x val="0"/>
          <c:y val="0.77835400008346001"/>
          <c:w val="1"/>
          <c:h val="0.1581293808862133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30597210264042"/>
          <c:y val="7.201309328968912E-2"/>
          <c:w val="0.81369779122581465"/>
          <c:h val="0.58559531940667808"/>
        </c:manualLayout>
      </c:layout>
      <c:barChart>
        <c:barDir val="col"/>
        <c:grouping val="stacked"/>
        <c:varyColors val="0"/>
        <c:ser>
          <c:idx val="1"/>
          <c:order val="1"/>
          <c:tx>
            <c:strRef>
              <c:f>Sheet1!$A$3</c:f>
              <c:strCache>
                <c:ptCount val="1"/>
                <c:pt idx="0">
                  <c:v>Սպառում</c:v>
                </c:pt>
              </c:strCache>
            </c:strRef>
          </c:tx>
          <c:spPr>
            <a:solidFill>
              <a:schemeClr val="accent2"/>
            </a:solidFill>
            <a:ln>
              <a:noFill/>
            </a:ln>
            <a:effectLst/>
          </c:spPr>
          <c:invertIfNegative val="0"/>
          <c:cat>
            <c:strRef>
              <c:f>Sheet1!$B$1:$H$1</c:f>
              <c:strCache>
                <c:ptCount val="7"/>
                <c:pt idx="0">
                  <c:v>2018</c:v>
                </c:pt>
                <c:pt idx="1">
                  <c:v>2019</c:v>
                </c:pt>
                <c:pt idx="2">
                  <c:v>2020</c:v>
                </c:pt>
                <c:pt idx="3">
                  <c:v>2021</c:v>
                </c:pt>
                <c:pt idx="4">
                  <c:v>2022</c:v>
                </c:pt>
                <c:pt idx="5">
                  <c:v>2023</c:v>
                </c:pt>
                <c:pt idx="6">
                  <c:v>2024</c:v>
                </c:pt>
              </c:strCache>
            </c:strRef>
          </c:cat>
          <c:val>
            <c:numRef>
              <c:f>Sheet1!$B$3:$H$3</c:f>
              <c:numCache>
                <c:formatCode>0.0</c:formatCode>
                <c:ptCount val="7"/>
                <c:pt idx="0">
                  <c:v>3.5092447105651088</c:v>
                </c:pt>
                <c:pt idx="1">
                  <c:v>10.680646817555598</c:v>
                </c:pt>
                <c:pt idx="2">
                  <c:v>-9.6964062213782558</c:v>
                </c:pt>
                <c:pt idx="3">
                  <c:v>6.3226555141555023</c:v>
                </c:pt>
                <c:pt idx="4">
                  <c:v>4.807892174076204</c:v>
                </c:pt>
                <c:pt idx="5">
                  <c:v>3.5044747122101549</c:v>
                </c:pt>
                <c:pt idx="6">
                  <c:v>3.6242816341433883</c:v>
                </c:pt>
              </c:numCache>
            </c:numRef>
          </c:val>
          <c:extLst>
            <c:ext xmlns:c16="http://schemas.microsoft.com/office/drawing/2014/chart" uri="{C3380CC4-5D6E-409C-BE32-E72D297353CC}">
              <c16:uniqueId val="{00000000-EAD4-4D64-A498-700E6410E10F}"/>
            </c:ext>
          </c:extLst>
        </c:ser>
        <c:ser>
          <c:idx val="2"/>
          <c:order val="2"/>
          <c:tx>
            <c:strRef>
              <c:f>Sheet1!$A$4</c:f>
              <c:strCache>
                <c:ptCount val="1"/>
                <c:pt idx="0">
                  <c:v>Հիմնական միջոցներում կապիտալ ներդրումներ</c:v>
                </c:pt>
              </c:strCache>
            </c:strRef>
          </c:tx>
          <c:spPr>
            <a:solidFill>
              <a:schemeClr val="accent3"/>
            </a:solidFill>
            <a:ln>
              <a:noFill/>
            </a:ln>
            <a:effectLst/>
          </c:spPr>
          <c:invertIfNegative val="0"/>
          <c:cat>
            <c:strRef>
              <c:f>Sheet1!$B$1:$H$1</c:f>
              <c:strCache>
                <c:ptCount val="7"/>
                <c:pt idx="0">
                  <c:v>2018</c:v>
                </c:pt>
                <c:pt idx="1">
                  <c:v>2019</c:v>
                </c:pt>
                <c:pt idx="2">
                  <c:v>2020</c:v>
                </c:pt>
                <c:pt idx="3">
                  <c:v>2021</c:v>
                </c:pt>
                <c:pt idx="4">
                  <c:v>2022</c:v>
                </c:pt>
                <c:pt idx="5">
                  <c:v>2023</c:v>
                </c:pt>
                <c:pt idx="6">
                  <c:v>2024</c:v>
                </c:pt>
              </c:strCache>
            </c:strRef>
          </c:cat>
          <c:val>
            <c:numRef>
              <c:f>Sheet1!$B$4:$H$4</c:f>
              <c:numCache>
                <c:formatCode>0.0</c:formatCode>
                <c:ptCount val="7"/>
                <c:pt idx="0">
                  <c:v>0.84712204793201873</c:v>
                </c:pt>
                <c:pt idx="1">
                  <c:v>0.73660007839076713</c:v>
                </c:pt>
                <c:pt idx="2">
                  <c:v>-1.360141465150009</c:v>
                </c:pt>
                <c:pt idx="3">
                  <c:v>0.86013400504262205</c:v>
                </c:pt>
                <c:pt idx="4">
                  <c:v>1.1689737492189967</c:v>
                </c:pt>
                <c:pt idx="5">
                  <c:v>0.74641847073474399</c:v>
                </c:pt>
                <c:pt idx="6">
                  <c:v>1.0128497469010687</c:v>
                </c:pt>
              </c:numCache>
            </c:numRef>
          </c:val>
          <c:extLst>
            <c:ext xmlns:c16="http://schemas.microsoft.com/office/drawing/2014/chart" uri="{C3380CC4-5D6E-409C-BE32-E72D297353CC}">
              <c16:uniqueId val="{00000001-EAD4-4D64-A498-700E6410E10F}"/>
            </c:ext>
          </c:extLst>
        </c:ser>
        <c:ser>
          <c:idx val="3"/>
          <c:order val="3"/>
          <c:tx>
            <c:strRef>
              <c:f>Sheet1!$A$5</c:f>
              <c:strCache>
                <c:ptCount val="1"/>
                <c:pt idx="0">
                  <c:v>Զուտ արտահանում</c:v>
                </c:pt>
              </c:strCache>
            </c:strRef>
          </c:tx>
          <c:spPr>
            <a:solidFill>
              <a:schemeClr val="accent4"/>
            </a:solidFill>
            <a:ln>
              <a:noFill/>
            </a:ln>
            <a:effectLst/>
          </c:spPr>
          <c:invertIfNegative val="0"/>
          <c:cat>
            <c:strRef>
              <c:f>Sheet1!$B$1:$H$1</c:f>
              <c:strCache>
                <c:ptCount val="7"/>
                <c:pt idx="0">
                  <c:v>2018</c:v>
                </c:pt>
                <c:pt idx="1">
                  <c:v>2019</c:v>
                </c:pt>
                <c:pt idx="2">
                  <c:v>2020</c:v>
                </c:pt>
                <c:pt idx="3">
                  <c:v>2021</c:v>
                </c:pt>
                <c:pt idx="4">
                  <c:v>2022</c:v>
                </c:pt>
                <c:pt idx="5">
                  <c:v>2023</c:v>
                </c:pt>
                <c:pt idx="6">
                  <c:v>2024</c:v>
                </c:pt>
              </c:strCache>
            </c:strRef>
          </c:cat>
          <c:val>
            <c:numRef>
              <c:f>Sheet1!$B$5:$H$5</c:f>
              <c:numCache>
                <c:formatCode>0.0</c:formatCode>
                <c:ptCount val="7"/>
                <c:pt idx="0">
                  <c:v>-4.6043797249248186</c:v>
                </c:pt>
                <c:pt idx="1">
                  <c:v>0.14555833743502422</c:v>
                </c:pt>
                <c:pt idx="2">
                  <c:v>3.9623231857555883</c:v>
                </c:pt>
                <c:pt idx="3">
                  <c:v>-1.182789519198125</c:v>
                </c:pt>
                <c:pt idx="4">
                  <c:v>-0.79822053941719473</c:v>
                </c:pt>
                <c:pt idx="5">
                  <c:v>-0.50205194858991542</c:v>
                </c:pt>
                <c:pt idx="6">
                  <c:v>-0.64019467379245321</c:v>
                </c:pt>
              </c:numCache>
            </c:numRef>
          </c:val>
          <c:extLst>
            <c:ext xmlns:c16="http://schemas.microsoft.com/office/drawing/2014/chart" uri="{C3380CC4-5D6E-409C-BE32-E72D297353CC}">
              <c16:uniqueId val="{00000002-EAD4-4D64-A498-700E6410E10F}"/>
            </c:ext>
          </c:extLst>
        </c:ser>
        <c:dLbls>
          <c:showLegendKey val="0"/>
          <c:showVal val="0"/>
          <c:showCatName val="0"/>
          <c:showSerName val="0"/>
          <c:showPercent val="0"/>
          <c:showBubbleSize val="0"/>
        </c:dLbls>
        <c:gapWidth val="150"/>
        <c:overlap val="100"/>
        <c:axId val="147890176"/>
        <c:axId val="147891712"/>
      </c:barChart>
      <c:lineChart>
        <c:grouping val="standard"/>
        <c:varyColors val="0"/>
        <c:ser>
          <c:idx val="0"/>
          <c:order val="0"/>
          <c:tx>
            <c:strRef>
              <c:f>Sheet1!$A$2</c:f>
              <c:strCache>
                <c:ptCount val="1"/>
                <c:pt idx="0">
                  <c:v>ՀՆԱ</c:v>
                </c:pt>
              </c:strCache>
            </c:strRef>
          </c:tx>
          <c:spPr>
            <a:ln w="28575" cap="rnd">
              <a:solidFill>
                <a:schemeClr val="accent1"/>
              </a:solidFill>
              <a:round/>
            </a:ln>
            <a:effectLst/>
          </c:spPr>
          <c:marker>
            <c:symbol val="none"/>
          </c:marker>
          <c:dLbls>
            <c:dLbl>
              <c:idx val="0"/>
              <c:layout>
                <c:manualLayout>
                  <c:x val="-4.47245375076235E-2"/>
                  <c:y val="-5.3171287504747471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AD4-4D64-A498-700E6410E10F}"/>
                </c:ext>
              </c:extLst>
            </c:dLbl>
            <c:dLbl>
              <c:idx val="1"/>
              <c:layout>
                <c:manualLayout>
                  <c:x val="-5.2856271599918722E-2"/>
                  <c:y val="-3.7979491074819599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AD4-4D64-A498-700E6410E10F}"/>
                </c:ext>
              </c:extLst>
            </c:dLbl>
            <c:dLbl>
              <c:idx val="2"/>
              <c:layout>
                <c:manualLayout>
                  <c:x val="-6.0988005692213867E-2"/>
                  <c:y val="3.7979491074819599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AD4-4D64-A498-700E6410E10F}"/>
                </c:ext>
              </c:extLst>
            </c:dLbl>
            <c:dLbl>
              <c:idx val="3"/>
              <c:layout>
                <c:manualLayout>
                  <c:x val="-4.4724537507623577E-2"/>
                  <c:y val="-6.076718571971135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AD4-4D64-A498-700E6410E10F}"/>
                </c:ext>
              </c:extLst>
            </c:dLbl>
            <c:dLbl>
              <c:idx val="4"/>
              <c:layout>
                <c:manualLayout>
                  <c:x val="-5.0985652611679283E-2"/>
                  <c:y val="-4.580027572512418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AD4-4D64-A498-700E6410E10F}"/>
                </c:ext>
              </c:extLst>
            </c:dLbl>
            <c:dLbl>
              <c:idx val="5"/>
              <c:layout>
                <c:manualLayout>
                  <c:x val="-5.8613475307861367E-2"/>
                  <c:y val="-5.4261627854816703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AD4-4D64-A498-700E6410E10F}"/>
                </c:ext>
              </c:extLst>
            </c:dLbl>
            <c:dLbl>
              <c:idx val="6"/>
              <c:layout>
                <c:manualLayout>
                  <c:x val="-5.6802723810773906E-2"/>
                  <c:y val="-4.01595736727364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AD4-4D64-A498-700E6410E10F}"/>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2018</c:v>
                </c:pt>
                <c:pt idx="1">
                  <c:v>2019</c:v>
                </c:pt>
                <c:pt idx="2">
                  <c:v>2020</c:v>
                </c:pt>
                <c:pt idx="3">
                  <c:v>2021</c:v>
                </c:pt>
                <c:pt idx="4">
                  <c:v>2022</c:v>
                </c:pt>
                <c:pt idx="5">
                  <c:v>2023</c:v>
                </c:pt>
                <c:pt idx="6">
                  <c:v>2024</c:v>
                </c:pt>
              </c:strCache>
            </c:strRef>
          </c:cat>
          <c:val>
            <c:numRef>
              <c:f>Sheet1!$B$2:$H$2</c:f>
              <c:numCache>
                <c:formatCode>0.0</c:formatCode>
                <c:ptCount val="7"/>
                <c:pt idx="0">
                  <c:v>5.1947356482575344</c:v>
                </c:pt>
                <c:pt idx="1">
                  <c:v>7.620863279975481</c:v>
                </c:pt>
                <c:pt idx="2">
                  <c:v>-7.4053975994272463</c:v>
                </c:pt>
                <c:pt idx="3">
                  <c:v>6</c:v>
                </c:pt>
                <c:pt idx="4">
                  <c:v>5.1786453838780062</c:v>
                </c:pt>
                <c:pt idx="5">
                  <c:v>3.748841234354984</c:v>
                </c:pt>
                <c:pt idx="6">
                  <c:v>3.9969367072520043</c:v>
                </c:pt>
              </c:numCache>
            </c:numRef>
          </c:val>
          <c:smooth val="0"/>
          <c:extLst>
            <c:ext xmlns:c16="http://schemas.microsoft.com/office/drawing/2014/chart" uri="{C3380CC4-5D6E-409C-BE32-E72D297353CC}">
              <c16:uniqueId val="{0000000A-EAD4-4D64-A498-700E6410E10F}"/>
            </c:ext>
          </c:extLst>
        </c:ser>
        <c:dLbls>
          <c:showLegendKey val="0"/>
          <c:showVal val="0"/>
          <c:showCatName val="0"/>
          <c:showSerName val="0"/>
          <c:showPercent val="0"/>
          <c:showBubbleSize val="0"/>
        </c:dLbls>
        <c:marker val="1"/>
        <c:smooth val="0"/>
        <c:axId val="147890176"/>
        <c:axId val="147891712"/>
      </c:lineChart>
      <c:catAx>
        <c:axId val="1478901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7891712"/>
        <c:crosses val="autoZero"/>
        <c:auto val="1"/>
        <c:lblAlgn val="ctr"/>
        <c:lblOffset val="100"/>
        <c:noMultiLvlLbl val="0"/>
      </c:catAx>
      <c:valAx>
        <c:axId val="147891712"/>
        <c:scaling>
          <c:orientation val="minMax"/>
          <c:max val="10"/>
          <c:min val="-1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7890176"/>
        <c:crosses val="autoZero"/>
        <c:crossBetween val="between"/>
      </c:valAx>
      <c:spPr>
        <a:noFill/>
        <a:ln>
          <a:noFill/>
        </a:ln>
        <a:effectLst/>
      </c:spPr>
    </c:plotArea>
    <c:legend>
      <c:legendPos val="b"/>
      <c:layout>
        <c:manualLayout>
          <c:xMode val="edge"/>
          <c:yMode val="edge"/>
          <c:x val="2.091774131948677E-2"/>
          <c:y val="0.76103826800655461"/>
          <c:w val="0.97908241294216225"/>
          <c:h val="0.2389618731869046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2022-2024թթ. ՄԺԾԾ տնտեսական աճի սցենար</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6296296296296294E-3"/>
                  <c:y val="-4.891171435558816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5EE-4427-B819-26D48837CA00}"/>
                </c:ext>
              </c:extLst>
            </c:dLbl>
            <c:dLbl>
              <c:idx val="1"/>
              <c:layout>
                <c:manualLayout>
                  <c:x val="-2.0833333333333332E-2"/>
                  <c:y val="-2.445585717779408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5EE-4427-B819-26D48837CA00}"/>
                </c:ext>
              </c:extLst>
            </c:dLbl>
            <c:dLbl>
              <c:idx val="2"/>
              <c:layout>
                <c:manualLayout>
                  <c:x val="-1.8518518518518517E-2"/>
                  <c:y val="2.93470286133528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5EE-4427-B819-26D48837CA00}"/>
                </c:ext>
              </c:extLst>
            </c:dLbl>
            <c:dLbl>
              <c:idx val="3"/>
              <c:layout>
                <c:manualLayout>
                  <c:x val="-9.2592592592592587E-3"/>
                  <c:y val="-9.782342871117632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5EE-4427-B819-26D48837CA00}"/>
                </c:ext>
              </c:extLst>
            </c:dLbl>
            <c:dLbl>
              <c:idx val="4"/>
              <c:layout>
                <c:manualLayout>
                  <c:x val="-6.9444444444444441E-3"/>
                  <c:y val="4.891171435558816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5EE-4427-B819-26D48837CA00}"/>
                </c:ext>
              </c:extLst>
            </c:dLbl>
            <c:dLbl>
              <c:idx val="5"/>
              <c:layout>
                <c:manualLayout>
                  <c:x val="-1.8518518518518604E-2"/>
                  <c:y val="2.93470286133528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5EE-4427-B819-26D48837CA00}"/>
                </c:ext>
              </c:extLst>
            </c:dLbl>
            <c:dLbl>
              <c:idx val="6"/>
              <c:layout>
                <c:manualLayout>
                  <c:x val="-3.4722222222222224E-2"/>
                  <c:y val="3.91293714844705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5EE-4427-B819-26D48837CA00}"/>
                </c:ext>
              </c:extLst>
            </c:dLbl>
            <c:dLbl>
              <c:idx val="7"/>
              <c:layout>
                <c:manualLayout>
                  <c:x val="-2.5462962962962962E-2"/>
                  <c:y val="2.93470286133529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5EE-4427-B819-26D48837CA00}"/>
                </c:ext>
              </c:extLst>
            </c:dLbl>
            <c:dLbl>
              <c:idx val="8"/>
              <c:layout>
                <c:manualLayout>
                  <c:x val="-2.5462962962962962E-2"/>
                  <c:y val="3.91293714844705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5EE-4427-B819-26D48837CA00}"/>
                </c:ext>
              </c:extLst>
            </c:dLbl>
            <c:dLbl>
              <c:idx val="9"/>
              <c:layout>
                <c:manualLayout>
                  <c:x val="-3.2407407407407579E-2"/>
                  <c:y val="3.4238200048911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EE-4427-B819-26D48837CA00}"/>
                </c:ext>
              </c:extLst>
            </c:dLbl>
            <c:dLbl>
              <c:idx val="10"/>
              <c:layout>
                <c:manualLayout>
                  <c:x val="-3.935185185185202E-2"/>
                  <c:y val="3.91293714844705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5EE-4427-B819-26D48837CA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Sheet1!$B$1:$J$1</c:f>
              <c:strCache>
                <c:ptCount val="9"/>
                <c:pt idx="0">
                  <c:v>2016</c:v>
                </c:pt>
                <c:pt idx="1">
                  <c:v>2017</c:v>
                </c:pt>
                <c:pt idx="2">
                  <c:v>2018</c:v>
                </c:pt>
                <c:pt idx="3">
                  <c:v>2019</c:v>
                </c:pt>
                <c:pt idx="4">
                  <c:v>2020</c:v>
                </c:pt>
                <c:pt idx="5">
                  <c:v>2021</c:v>
                </c:pt>
                <c:pt idx="6">
                  <c:v>2022</c:v>
                </c:pt>
                <c:pt idx="7">
                  <c:v>2023</c:v>
                </c:pt>
                <c:pt idx="8">
                  <c:v>2024</c:v>
                </c:pt>
              </c:strCache>
            </c:strRef>
          </c:cat>
          <c:val>
            <c:numRef>
              <c:f>Sheet1!$B$2:$J$2</c:f>
              <c:numCache>
                <c:formatCode>0.0</c:formatCode>
                <c:ptCount val="9"/>
                <c:pt idx="0">
                  <c:v>0.20000000000000284</c:v>
                </c:pt>
                <c:pt idx="1">
                  <c:v>7.5</c:v>
                </c:pt>
                <c:pt idx="2">
                  <c:v>5.2000000000000028</c:v>
                </c:pt>
                <c:pt idx="3">
                  <c:v>7.5999999999999943</c:v>
                </c:pt>
                <c:pt idx="4">
                  <c:v>-7.4000000000000057</c:v>
                </c:pt>
                <c:pt idx="5">
                  <c:v>6.0239561077160317</c:v>
                </c:pt>
                <c:pt idx="6">
                  <c:v>5.2014113275430844</c:v>
                </c:pt>
                <c:pt idx="7">
                  <c:v>3.6718965917120414</c:v>
                </c:pt>
                <c:pt idx="8">
                  <c:v>4.0244826061059342</c:v>
                </c:pt>
              </c:numCache>
            </c:numRef>
          </c:val>
          <c:smooth val="0"/>
          <c:extLst>
            <c:ext xmlns:c16="http://schemas.microsoft.com/office/drawing/2014/chart" uri="{C3380CC4-5D6E-409C-BE32-E72D297353CC}">
              <c16:uniqueId val="{0000000B-D5EE-4427-B819-26D48837CA00}"/>
            </c:ext>
          </c:extLst>
        </c:ser>
        <c:ser>
          <c:idx val="1"/>
          <c:order val="1"/>
          <c:tx>
            <c:strRef>
              <c:f>Sheet1!$A$3</c:f>
              <c:strCache>
                <c:ptCount val="1"/>
                <c:pt idx="0">
                  <c:v>Տնտեսական աճի թիրախներ</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5"/>
              <c:layout>
                <c:manualLayout>
                  <c:x val="-2.7777777777777776E-2"/>
                  <c:y val="-4.40205429200293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5EE-4427-B819-26D48837CA00}"/>
                </c:ext>
              </c:extLst>
            </c:dLbl>
            <c:dLbl>
              <c:idx val="6"/>
              <c:layout>
                <c:manualLayout>
                  <c:x val="-3.2407407407407406E-2"/>
                  <c:y val="-2.93470286133528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D5EE-4427-B819-26D48837CA00}"/>
                </c:ext>
              </c:extLst>
            </c:dLbl>
            <c:dLbl>
              <c:idx val="7"/>
              <c:layout>
                <c:manualLayout>
                  <c:x val="-3.4722222222222224E-2"/>
                  <c:y val="-2.44558571777941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D5EE-4427-B819-26D48837CA00}"/>
                </c:ext>
              </c:extLst>
            </c:dLbl>
            <c:dLbl>
              <c:idx val="8"/>
              <c:layout>
                <c:manualLayout>
                  <c:x val="-3.0092592592592591E-2"/>
                  <c:y val="-3.42382000489117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D5EE-4427-B819-26D48837CA00}"/>
                </c:ext>
              </c:extLst>
            </c:dLbl>
            <c:dLbl>
              <c:idx val="9"/>
              <c:layout>
                <c:manualLayout>
                  <c:x val="-3.0092592592592591E-2"/>
                  <c:y val="-2.9347028613352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5EE-4427-B819-26D48837CA00}"/>
                </c:ext>
              </c:extLst>
            </c:dLbl>
            <c:dLbl>
              <c:idx val="10"/>
              <c:layout>
                <c:manualLayout>
                  <c:x val="-3.7037037037037035E-2"/>
                  <c:y val="-3.423820004891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5EE-4427-B819-26D48837CA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Sheet1!$B$1:$J$1</c:f>
              <c:strCache>
                <c:ptCount val="9"/>
                <c:pt idx="0">
                  <c:v>2016</c:v>
                </c:pt>
                <c:pt idx="1">
                  <c:v>2017</c:v>
                </c:pt>
                <c:pt idx="2">
                  <c:v>2018</c:v>
                </c:pt>
                <c:pt idx="3">
                  <c:v>2019</c:v>
                </c:pt>
                <c:pt idx="4">
                  <c:v>2020</c:v>
                </c:pt>
                <c:pt idx="5">
                  <c:v>2021</c:v>
                </c:pt>
                <c:pt idx="6">
                  <c:v>2022</c:v>
                </c:pt>
                <c:pt idx="7">
                  <c:v>2023</c:v>
                </c:pt>
                <c:pt idx="8">
                  <c:v>2024</c:v>
                </c:pt>
              </c:strCache>
            </c:strRef>
          </c:cat>
          <c:val>
            <c:numRef>
              <c:f>Sheet1!$B$3:$J$3</c:f>
              <c:numCache>
                <c:formatCode>General</c:formatCode>
                <c:ptCount val="9"/>
                <c:pt idx="5" formatCode="0.0">
                  <c:v>6.0239561077160317</c:v>
                </c:pt>
                <c:pt idx="6" formatCode="0.0">
                  <c:v>7.100630942999075</c:v>
                </c:pt>
                <c:pt idx="7" formatCode="0.0">
                  <c:v>7.1032971533586817</c:v>
                </c:pt>
                <c:pt idx="8" formatCode="0.0">
                  <c:v>7.044990393660413</c:v>
                </c:pt>
              </c:numCache>
            </c:numRef>
          </c:val>
          <c:smooth val="0"/>
          <c:extLst>
            <c:ext xmlns:c16="http://schemas.microsoft.com/office/drawing/2014/chart" uri="{C3380CC4-5D6E-409C-BE32-E72D297353CC}">
              <c16:uniqueId val="{00000012-D5EE-4427-B819-26D48837CA00}"/>
            </c:ext>
          </c:extLst>
        </c:ser>
        <c:dLbls>
          <c:showLegendKey val="0"/>
          <c:showVal val="0"/>
          <c:showCatName val="0"/>
          <c:showSerName val="0"/>
          <c:showPercent val="0"/>
          <c:showBubbleSize val="0"/>
        </c:dLbls>
        <c:marker val="1"/>
        <c:smooth val="0"/>
        <c:axId val="147946112"/>
        <c:axId val="147964288"/>
      </c:lineChart>
      <c:catAx>
        <c:axId val="14794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964288"/>
        <c:crosses val="autoZero"/>
        <c:auto val="1"/>
        <c:lblAlgn val="ctr"/>
        <c:lblOffset val="100"/>
        <c:noMultiLvlLbl val="0"/>
      </c:catAx>
      <c:valAx>
        <c:axId val="147964288"/>
        <c:scaling>
          <c:orientation val="minMax"/>
          <c:min val="-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946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36046999039115"/>
          <c:y val="8.6819258089976328E-2"/>
          <c:w val="0.84559448496456369"/>
          <c:h val="0.6190958864948537"/>
        </c:manualLayout>
      </c:layout>
      <c:barChart>
        <c:barDir val="col"/>
        <c:grouping val="percentStacked"/>
        <c:varyColors val="0"/>
        <c:ser>
          <c:idx val="0"/>
          <c:order val="0"/>
          <c:tx>
            <c:strRef>
              <c:f>Sheet1!$A$2</c:f>
              <c:strCache>
                <c:ptCount val="1"/>
                <c:pt idx="0">
                  <c:v>Սպառում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2018 </c:v>
                </c:pt>
                <c:pt idx="1">
                  <c:v>2019 </c:v>
                </c:pt>
                <c:pt idx="2">
                  <c:v>2020</c:v>
                </c:pt>
                <c:pt idx="3">
                  <c:v>2021</c:v>
                </c:pt>
                <c:pt idx="4">
                  <c:v>2022</c:v>
                </c:pt>
                <c:pt idx="5">
                  <c:v>2023</c:v>
                </c:pt>
                <c:pt idx="6">
                  <c:v>2024</c:v>
                </c:pt>
              </c:strCache>
            </c:strRef>
          </c:cat>
          <c:val>
            <c:numRef>
              <c:f>Sheet1!$B$2:$H$2</c:f>
              <c:numCache>
                <c:formatCode>0.0</c:formatCode>
                <c:ptCount val="7"/>
                <c:pt idx="0">
                  <c:v>91.28757963722731</c:v>
                </c:pt>
                <c:pt idx="1">
                  <c:v>96.004021993844162</c:v>
                </c:pt>
                <c:pt idx="2">
                  <c:v>91.422990776868645</c:v>
                </c:pt>
                <c:pt idx="3">
                  <c:v>93.111748914949615</c:v>
                </c:pt>
                <c:pt idx="4">
                  <c:v>93.258227714132857</c:v>
                </c:pt>
                <c:pt idx="5">
                  <c:v>93.190149818598911</c:v>
                </c:pt>
                <c:pt idx="6">
                  <c:v>92.70399568050162</c:v>
                </c:pt>
              </c:numCache>
            </c:numRef>
          </c:val>
          <c:extLst>
            <c:ext xmlns:c16="http://schemas.microsoft.com/office/drawing/2014/chart" uri="{C3380CC4-5D6E-409C-BE32-E72D297353CC}">
              <c16:uniqueId val="{00000000-DA93-4B7E-A525-E03F53067437}"/>
            </c:ext>
          </c:extLst>
        </c:ser>
        <c:ser>
          <c:idx val="1"/>
          <c:order val="1"/>
          <c:tx>
            <c:strRef>
              <c:f>Sheet1!$A$3</c:f>
              <c:strCache>
                <c:ptCount val="1"/>
                <c:pt idx="0">
                  <c:v>Հիմնական միջոցներում կապիտալ ներդրումներ</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2018 </c:v>
                </c:pt>
                <c:pt idx="1">
                  <c:v>2019 </c:v>
                </c:pt>
                <c:pt idx="2">
                  <c:v>2020</c:v>
                </c:pt>
                <c:pt idx="3">
                  <c:v>2021</c:v>
                </c:pt>
                <c:pt idx="4">
                  <c:v>2022</c:v>
                </c:pt>
                <c:pt idx="5">
                  <c:v>2023</c:v>
                </c:pt>
                <c:pt idx="6">
                  <c:v>2024</c:v>
                </c:pt>
              </c:strCache>
            </c:strRef>
          </c:cat>
          <c:val>
            <c:numRef>
              <c:f>Sheet1!$B$3:$H$3</c:f>
              <c:numCache>
                <c:formatCode>0.0</c:formatCode>
                <c:ptCount val="7"/>
                <c:pt idx="0">
                  <c:v>16.740910872517414</c:v>
                </c:pt>
                <c:pt idx="1">
                  <c:v>15.815598431976859</c:v>
                </c:pt>
                <c:pt idx="2">
                  <c:v>16.571815993690116</c:v>
                </c:pt>
                <c:pt idx="3">
                  <c:v>16.540871389335603</c:v>
                </c:pt>
                <c:pt idx="4">
                  <c:v>17.023825230900652</c:v>
                </c:pt>
                <c:pt idx="5">
                  <c:v>17.142156811265348</c:v>
                </c:pt>
                <c:pt idx="6">
                  <c:v>17.377429088112699</c:v>
                </c:pt>
              </c:numCache>
            </c:numRef>
          </c:val>
          <c:extLst>
            <c:ext xmlns:c16="http://schemas.microsoft.com/office/drawing/2014/chart" uri="{C3380CC4-5D6E-409C-BE32-E72D297353CC}">
              <c16:uniqueId val="{00000001-DA93-4B7E-A525-E03F53067437}"/>
            </c:ext>
          </c:extLst>
        </c:ser>
        <c:ser>
          <c:idx val="2"/>
          <c:order val="2"/>
          <c:tx>
            <c:strRef>
              <c:f>Sheet1!$A$4</c:f>
              <c:strCache>
                <c:ptCount val="1"/>
                <c:pt idx="0">
                  <c:v>Ապրանք. և ծառ. արտահանում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2018 </c:v>
                </c:pt>
                <c:pt idx="1">
                  <c:v>2019 </c:v>
                </c:pt>
                <c:pt idx="2">
                  <c:v>2020</c:v>
                </c:pt>
                <c:pt idx="3">
                  <c:v>2021</c:v>
                </c:pt>
                <c:pt idx="4">
                  <c:v>2022</c:v>
                </c:pt>
                <c:pt idx="5">
                  <c:v>2023</c:v>
                </c:pt>
                <c:pt idx="6">
                  <c:v>2024</c:v>
                </c:pt>
              </c:strCache>
            </c:strRef>
          </c:cat>
          <c:val>
            <c:numRef>
              <c:f>Sheet1!$B$4:$H$4</c:f>
              <c:numCache>
                <c:formatCode>0.0</c:formatCode>
                <c:ptCount val="7"/>
                <c:pt idx="0">
                  <c:v>39.392894028607309</c:v>
                </c:pt>
                <c:pt idx="1">
                  <c:v>41.35080136208493</c:v>
                </c:pt>
                <c:pt idx="2">
                  <c:v>30.237914415310925</c:v>
                </c:pt>
                <c:pt idx="3">
                  <c:v>33.426249904322148</c:v>
                </c:pt>
                <c:pt idx="4">
                  <c:v>35.309262694219754</c:v>
                </c:pt>
                <c:pt idx="5">
                  <c:v>36.830543935219374</c:v>
                </c:pt>
                <c:pt idx="6">
                  <c:v>37.791864728713712</c:v>
                </c:pt>
              </c:numCache>
            </c:numRef>
          </c:val>
          <c:extLst>
            <c:ext xmlns:c16="http://schemas.microsoft.com/office/drawing/2014/chart" uri="{C3380CC4-5D6E-409C-BE32-E72D297353CC}">
              <c16:uniqueId val="{00000002-DA93-4B7E-A525-E03F53067437}"/>
            </c:ext>
          </c:extLst>
        </c:ser>
        <c:ser>
          <c:idx val="3"/>
          <c:order val="3"/>
          <c:tx>
            <c:strRef>
              <c:f>Sheet1!$A$5</c:f>
              <c:strCache>
                <c:ptCount val="1"/>
                <c:pt idx="0">
                  <c:v>Ապրանք. և ծառ. ներմուծում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2018 </c:v>
                </c:pt>
                <c:pt idx="1">
                  <c:v>2019 </c:v>
                </c:pt>
                <c:pt idx="2">
                  <c:v>2020</c:v>
                </c:pt>
                <c:pt idx="3">
                  <c:v>2021</c:v>
                </c:pt>
                <c:pt idx="4">
                  <c:v>2022</c:v>
                </c:pt>
                <c:pt idx="5">
                  <c:v>2023</c:v>
                </c:pt>
                <c:pt idx="6">
                  <c:v>2024</c:v>
                </c:pt>
              </c:strCache>
            </c:strRef>
          </c:cat>
          <c:val>
            <c:numRef>
              <c:f>Sheet1!$B$5:$H$5</c:f>
              <c:numCache>
                <c:formatCode>0.0</c:formatCode>
                <c:ptCount val="7"/>
                <c:pt idx="0">
                  <c:v>53.080212992604729</c:v>
                </c:pt>
                <c:pt idx="1">
                  <c:v>54.763352766785822</c:v>
                </c:pt>
                <c:pt idx="2">
                  <c:v>39.608460770296468</c:v>
                </c:pt>
                <c:pt idx="3">
                  <c:v>43.078870199584159</c:v>
                </c:pt>
                <c:pt idx="4">
                  <c:v>45.59131563925326</c:v>
                </c:pt>
                <c:pt idx="5">
                  <c:v>47.162850565083609</c:v>
                </c:pt>
                <c:pt idx="6">
                  <c:v>47.873289497328031</c:v>
                </c:pt>
              </c:numCache>
            </c:numRef>
          </c:val>
          <c:extLst>
            <c:ext xmlns:c16="http://schemas.microsoft.com/office/drawing/2014/chart" uri="{C3380CC4-5D6E-409C-BE32-E72D297353CC}">
              <c16:uniqueId val="{00000003-DA93-4B7E-A525-E03F53067437}"/>
            </c:ext>
          </c:extLst>
        </c:ser>
        <c:dLbls>
          <c:showLegendKey val="0"/>
          <c:showVal val="0"/>
          <c:showCatName val="0"/>
          <c:showSerName val="0"/>
          <c:showPercent val="0"/>
          <c:showBubbleSize val="0"/>
        </c:dLbls>
        <c:gapWidth val="150"/>
        <c:overlap val="100"/>
        <c:axId val="148216832"/>
        <c:axId val="148222720"/>
      </c:barChart>
      <c:catAx>
        <c:axId val="14821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8222720"/>
        <c:crosses val="autoZero"/>
        <c:auto val="1"/>
        <c:lblAlgn val="ctr"/>
        <c:lblOffset val="100"/>
        <c:noMultiLvlLbl val="0"/>
      </c:catAx>
      <c:valAx>
        <c:axId val="148222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8216832"/>
        <c:crosses val="autoZero"/>
        <c:crossBetween val="between"/>
      </c:valAx>
      <c:spPr>
        <a:noFill/>
        <a:ln>
          <a:noFill/>
        </a:ln>
        <a:effectLst/>
      </c:spPr>
    </c:plotArea>
    <c:legend>
      <c:legendPos val="b"/>
      <c:layout>
        <c:manualLayout>
          <c:xMode val="edge"/>
          <c:yMode val="edge"/>
          <c:x val="5.2434256574987008E-3"/>
          <c:y val="0.82079933378493464"/>
          <c:w val="0.99475646011079077"/>
          <c:h val="0.1456102517572048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22703412073505E-2"/>
          <c:y val="5.0925925925925923E-2"/>
          <c:w val="0.87232174103237092"/>
          <c:h val="0.58299139690871971"/>
        </c:manualLayout>
      </c:layout>
      <c:barChart>
        <c:barDir val="col"/>
        <c:grouping val="percentStacked"/>
        <c:varyColors val="0"/>
        <c:ser>
          <c:idx val="0"/>
          <c:order val="0"/>
          <c:tx>
            <c:strRef>
              <c:f>Sheet1!$A$8</c:f>
              <c:strCache>
                <c:ptCount val="1"/>
                <c:pt idx="0">
                  <c:v>Արդյունաբերություն</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Sheet1!$B$7:$H$7</c:f>
              <c:numCache>
                <c:formatCode>0_)</c:formatCode>
                <c:ptCount val="7"/>
                <c:pt idx="0">
                  <c:v>2018</c:v>
                </c:pt>
                <c:pt idx="1">
                  <c:v>2019</c:v>
                </c:pt>
                <c:pt idx="2" formatCode="General">
                  <c:v>2020</c:v>
                </c:pt>
                <c:pt idx="3" formatCode="General">
                  <c:v>2021</c:v>
                </c:pt>
                <c:pt idx="4" formatCode="General">
                  <c:v>2022</c:v>
                </c:pt>
                <c:pt idx="5" formatCode="General">
                  <c:v>2023</c:v>
                </c:pt>
                <c:pt idx="6" formatCode="General">
                  <c:v>2024</c:v>
                </c:pt>
              </c:numCache>
            </c:numRef>
          </c:cat>
          <c:val>
            <c:numRef>
              <c:f>Sheet1!$B$8:$H$8</c:f>
              <c:numCache>
                <c:formatCode>0.0</c:formatCode>
                <c:ptCount val="7"/>
                <c:pt idx="0">
                  <c:v>18.152724119014625</c:v>
                </c:pt>
                <c:pt idx="1">
                  <c:v>18.62246328768363</c:v>
                </c:pt>
                <c:pt idx="2">
                  <c:v>20.076394962967974</c:v>
                </c:pt>
                <c:pt idx="3">
                  <c:v>19.868055015239065</c:v>
                </c:pt>
                <c:pt idx="4">
                  <c:v>20.023207409915504</c:v>
                </c:pt>
                <c:pt idx="5">
                  <c:v>20.129579357293441</c:v>
                </c:pt>
                <c:pt idx="6">
                  <c:v>20.207596025805721</c:v>
                </c:pt>
              </c:numCache>
            </c:numRef>
          </c:val>
          <c:extLst>
            <c:ext xmlns:c16="http://schemas.microsoft.com/office/drawing/2014/chart" uri="{C3380CC4-5D6E-409C-BE32-E72D297353CC}">
              <c16:uniqueId val="{00000000-4CF7-444D-884A-0D2EF8FE0BBA}"/>
            </c:ext>
          </c:extLst>
        </c:ser>
        <c:ser>
          <c:idx val="1"/>
          <c:order val="1"/>
          <c:tx>
            <c:strRef>
              <c:f>Sheet1!$A$9</c:f>
              <c:strCache>
                <c:ptCount val="1"/>
                <c:pt idx="0">
                  <c:v>Գյուղատնտեսություն և անտառային տնտեսություն</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Sheet1!$B$7:$H$7</c:f>
              <c:numCache>
                <c:formatCode>0_)</c:formatCode>
                <c:ptCount val="7"/>
                <c:pt idx="0">
                  <c:v>2018</c:v>
                </c:pt>
                <c:pt idx="1">
                  <c:v>2019</c:v>
                </c:pt>
                <c:pt idx="2" formatCode="General">
                  <c:v>2020</c:v>
                </c:pt>
                <c:pt idx="3" formatCode="General">
                  <c:v>2021</c:v>
                </c:pt>
                <c:pt idx="4" formatCode="General">
                  <c:v>2022</c:v>
                </c:pt>
                <c:pt idx="5" formatCode="General">
                  <c:v>2023</c:v>
                </c:pt>
                <c:pt idx="6" formatCode="General">
                  <c:v>2024</c:v>
                </c:pt>
              </c:numCache>
            </c:numRef>
          </c:cat>
          <c:val>
            <c:numRef>
              <c:f>Sheet1!$B$9:$H$9</c:f>
              <c:numCache>
                <c:formatCode>0.0</c:formatCode>
                <c:ptCount val="7"/>
                <c:pt idx="0">
                  <c:v>13.94231165541461</c:v>
                </c:pt>
                <c:pt idx="1">
                  <c:v>11.525610737958814</c:v>
                </c:pt>
                <c:pt idx="2">
                  <c:v>11.213423906355571</c:v>
                </c:pt>
                <c:pt idx="3">
                  <c:v>10.906641554200558</c:v>
                </c:pt>
                <c:pt idx="4">
                  <c:v>10.628875806732117</c:v>
                </c:pt>
                <c:pt idx="5">
                  <c:v>10.480444717185332</c:v>
                </c:pt>
                <c:pt idx="6">
                  <c:v>10.329588712170079</c:v>
                </c:pt>
              </c:numCache>
            </c:numRef>
          </c:val>
          <c:extLst>
            <c:ext xmlns:c16="http://schemas.microsoft.com/office/drawing/2014/chart" uri="{C3380CC4-5D6E-409C-BE32-E72D297353CC}">
              <c16:uniqueId val="{00000001-4CF7-444D-884A-0D2EF8FE0BBA}"/>
            </c:ext>
          </c:extLst>
        </c:ser>
        <c:ser>
          <c:idx val="2"/>
          <c:order val="2"/>
          <c:tx>
            <c:strRef>
              <c:f>Sheet1!$A$10</c:f>
              <c:strCache>
                <c:ptCount val="1"/>
                <c:pt idx="0">
                  <c:v>Շինարարություն</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Sheet1!$B$7:$H$7</c:f>
              <c:numCache>
                <c:formatCode>0_)</c:formatCode>
                <c:ptCount val="7"/>
                <c:pt idx="0">
                  <c:v>2018</c:v>
                </c:pt>
                <c:pt idx="1">
                  <c:v>2019</c:v>
                </c:pt>
                <c:pt idx="2" formatCode="General">
                  <c:v>2020</c:v>
                </c:pt>
                <c:pt idx="3" formatCode="General">
                  <c:v>2021</c:v>
                </c:pt>
                <c:pt idx="4" formatCode="General">
                  <c:v>2022</c:v>
                </c:pt>
                <c:pt idx="5" formatCode="General">
                  <c:v>2023</c:v>
                </c:pt>
                <c:pt idx="6" formatCode="General">
                  <c:v>2024</c:v>
                </c:pt>
              </c:numCache>
            </c:numRef>
          </c:cat>
          <c:val>
            <c:numRef>
              <c:f>Sheet1!$B$10:$H$10</c:f>
              <c:numCache>
                <c:formatCode>0.0</c:formatCode>
                <c:ptCount val="7"/>
                <c:pt idx="0">
                  <c:v>6.6038337286110611</c:v>
                </c:pt>
                <c:pt idx="1">
                  <c:v>6.3491451696598507</c:v>
                </c:pt>
                <c:pt idx="2">
                  <c:v>6.9788311532488461</c:v>
                </c:pt>
                <c:pt idx="3">
                  <c:v>6.9442265170508293</c:v>
                </c:pt>
                <c:pt idx="4">
                  <c:v>7.0182618921202771</c:v>
                </c:pt>
                <c:pt idx="5">
                  <c:v>6.9811346194291346</c:v>
                </c:pt>
                <c:pt idx="6">
                  <c:v>7.0618941789727927</c:v>
                </c:pt>
              </c:numCache>
            </c:numRef>
          </c:val>
          <c:extLst>
            <c:ext xmlns:c16="http://schemas.microsoft.com/office/drawing/2014/chart" uri="{C3380CC4-5D6E-409C-BE32-E72D297353CC}">
              <c16:uniqueId val="{00000002-4CF7-444D-884A-0D2EF8FE0BBA}"/>
            </c:ext>
          </c:extLst>
        </c:ser>
        <c:ser>
          <c:idx val="3"/>
          <c:order val="3"/>
          <c:tx>
            <c:strRef>
              <c:f>Sheet1!$A$11</c:f>
              <c:strCache>
                <c:ptCount val="1"/>
                <c:pt idx="0">
                  <c:v>Ծառայություններ</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Sheet1!$B$7:$H$7</c:f>
              <c:numCache>
                <c:formatCode>0_)</c:formatCode>
                <c:ptCount val="7"/>
                <c:pt idx="0">
                  <c:v>2018</c:v>
                </c:pt>
                <c:pt idx="1">
                  <c:v>2019</c:v>
                </c:pt>
                <c:pt idx="2" formatCode="General">
                  <c:v>2020</c:v>
                </c:pt>
                <c:pt idx="3" formatCode="General">
                  <c:v>2021</c:v>
                </c:pt>
                <c:pt idx="4" formatCode="General">
                  <c:v>2022</c:v>
                </c:pt>
                <c:pt idx="5" formatCode="General">
                  <c:v>2023</c:v>
                </c:pt>
                <c:pt idx="6" formatCode="General">
                  <c:v>2024</c:v>
                </c:pt>
              </c:numCache>
            </c:numRef>
          </c:cat>
          <c:val>
            <c:numRef>
              <c:f>Sheet1!$B$11:$H$11</c:f>
              <c:numCache>
                <c:formatCode>0.0</c:formatCode>
                <c:ptCount val="7"/>
                <c:pt idx="0">
                  <c:v>50.67754631051519</c:v>
                </c:pt>
                <c:pt idx="1">
                  <c:v>52.112404130880442</c:v>
                </c:pt>
                <c:pt idx="2">
                  <c:v>50.845593502888654</c:v>
                </c:pt>
                <c:pt idx="3">
                  <c:v>51.343972531071827</c:v>
                </c:pt>
                <c:pt idx="4">
                  <c:v>51.385130629199558</c:v>
                </c:pt>
                <c:pt idx="5">
                  <c:v>51.458920276778528</c:v>
                </c:pt>
                <c:pt idx="6">
                  <c:v>51.461206597534769</c:v>
                </c:pt>
              </c:numCache>
            </c:numRef>
          </c:val>
          <c:extLst>
            <c:ext xmlns:c16="http://schemas.microsoft.com/office/drawing/2014/chart" uri="{C3380CC4-5D6E-409C-BE32-E72D297353CC}">
              <c16:uniqueId val="{00000003-4CF7-444D-884A-0D2EF8FE0BBA}"/>
            </c:ext>
          </c:extLst>
        </c:ser>
        <c:ser>
          <c:idx val="4"/>
          <c:order val="4"/>
          <c:tx>
            <c:strRef>
              <c:f>Sheet1!$A$12</c:f>
              <c:strCache>
                <c:ptCount val="1"/>
                <c:pt idx="0">
                  <c:v>Զուտ հարկեր</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Sheet1!$B$7:$H$7</c:f>
              <c:numCache>
                <c:formatCode>0_)</c:formatCode>
                <c:ptCount val="7"/>
                <c:pt idx="0">
                  <c:v>2018</c:v>
                </c:pt>
                <c:pt idx="1">
                  <c:v>2019</c:v>
                </c:pt>
                <c:pt idx="2" formatCode="General">
                  <c:v>2020</c:v>
                </c:pt>
                <c:pt idx="3" formatCode="General">
                  <c:v>2021</c:v>
                </c:pt>
                <c:pt idx="4" formatCode="General">
                  <c:v>2022</c:v>
                </c:pt>
                <c:pt idx="5" formatCode="General">
                  <c:v>2023</c:v>
                </c:pt>
                <c:pt idx="6" formatCode="General">
                  <c:v>2024</c:v>
                </c:pt>
              </c:numCache>
            </c:numRef>
          </c:cat>
          <c:val>
            <c:numRef>
              <c:f>Sheet1!$B$12:$H$12</c:f>
              <c:numCache>
                <c:formatCode>0.0</c:formatCode>
                <c:ptCount val="7"/>
                <c:pt idx="0">
                  <c:v>10.623584186444511</c:v>
                </c:pt>
                <c:pt idx="1">
                  <c:v>11.390376673817263</c:v>
                </c:pt>
                <c:pt idx="2">
                  <c:v>10.885756474538951</c:v>
                </c:pt>
                <c:pt idx="3">
                  <c:v>10.937104382437719</c:v>
                </c:pt>
                <c:pt idx="4">
                  <c:v>10.944524262032546</c:v>
                </c:pt>
                <c:pt idx="5">
                  <c:v>10.949921029313568</c:v>
                </c:pt>
                <c:pt idx="6">
                  <c:v>10.939714485516621</c:v>
                </c:pt>
              </c:numCache>
            </c:numRef>
          </c:val>
          <c:extLst>
            <c:ext xmlns:c16="http://schemas.microsoft.com/office/drawing/2014/chart" uri="{C3380CC4-5D6E-409C-BE32-E72D297353CC}">
              <c16:uniqueId val="{00000004-4CF7-444D-884A-0D2EF8FE0BBA}"/>
            </c:ext>
          </c:extLst>
        </c:ser>
        <c:dLbls>
          <c:showLegendKey val="0"/>
          <c:showVal val="0"/>
          <c:showCatName val="0"/>
          <c:showSerName val="0"/>
          <c:showPercent val="0"/>
          <c:showBubbleSize val="0"/>
        </c:dLbls>
        <c:gapWidth val="150"/>
        <c:overlap val="100"/>
        <c:axId val="148288256"/>
        <c:axId val="148289792"/>
      </c:barChart>
      <c:catAx>
        <c:axId val="148288256"/>
        <c:scaling>
          <c:orientation val="minMax"/>
        </c:scaling>
        <c:delete val="0"/>
        <c:axPos val="b"/>
        <c:numFmt formatCode="0_)"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8289792"/>
        <c:crosses val="autoZero"/>
        <c:auto val="1"/>
        <c:lblAlgn val="ctr"/>
        <c:lblOffset val="100"/>
        <c:noMultiLvlLbl val="0"/>
      </c:catAx>
      <c:valAx>
        <c:axId val="148289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8288256"/>
        <c:crosses val="autoZero"/>
        <c:crossBetween val="between"/>
      </c:valAx>
      <c:spPr>
        <a:noFill/>
        <a:ln>
          <a:noFill/>
        </a:ln>
        <a:effectLst/>
      </c:spPr>
    </c:plotArea>
    <c:legend>
      <c:legendPos val="b"/>
      <c:layout>
        <c:manualLayout>
          <c:xMode val="edge"/>
          <c:yMode val="edge"/>
          <c:x val="0"/>
          <c:y val="0.73565859823077828"/>
          <c:w val="0.97725437445319496"/>
          <c:h val="0.236563948025015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53434608552719"/>
          <c:y val="0.15695898950131296"/>
          <c:w val="0.79438558816511551"/>
          <c:h val="0.50461383816384664"/>
        </c:manualLayout>
      </c:layout>
      <c:barChart>
        <c:barDir val="col"/>
        <c:grouping val="clustered"/>
        <c:varyColors val="0"/>
        <c:ser>
          <c:idx val="0"/>
          <c:order val="0"/>
          <c:tx>
            <c:strRef>
              <c:f>Лист1!$B$1</c:f>
              <c:strCache>
                <c:ptCount val="1"/>
                <c:pt idx="0">
                  <c:v>Գործազուրկներ, հազ. մարդ</c:v>
                </c:pt>
              </c:strCache>
            </c:strRef>
          </c:tx>
          <c:spPr>
            <a:solidFill>
              <a:schemeClr val="accent1"/>
            </a:solidFill>
            <a:ln>
              <a:noFill/>
            </a:ln>
            <a:effectLst/>
          </c:spPr>
          <c:invertIfNegative val="0"/>
          <c:cat>
            <c:numRef>
              <c:f>Лист1!$A$2:$A$3</c:f>
              <c:numCache>
                <c:formatCode>General</c:formatCode>
                <c:ptCount val="2"/>
                <c:pt idx="0">
                  <c:v>2019</c:v>
                </c:pt>
                <c:pt idx="1">
                  <c:v>2020</c:v>
                </c:pt>
              </c:numCache>
            </c:numRef>
          </c:cat>
          <c:val>
            <c:numRef>
              <c:f>Лист1!$B$2:$B$3</c:f>
              <c:numCache>
                <c:formatCode>General</c:formatCode>
                <c:ptCount val="2"/>
                <c:pt idx="0">
                  <c:v>220.8</c:v>
                </c:pt>
                <c:pt idx="1">
                  <c:v>218.6</c:v>
                </c:pt>
              </c:numCache>
            </c:numRef>
          </c:val>
          <c:extLst>
            <c:ext xmlns:c16="http://schemas.microsoft.com/office/drawing/2014/chart" uri="{C3380CC4-5D6E-409C-BE32-E72D297353CC}">
              <c16:uniqueId val="{00000000-E8DF-49F7-B869-C260A5E5AF8B}"/>
            </c:ext>
          </c:extLst>
        </c:ser>
        <c:ser>
          <c:idx val="1"/>
          <c:order val="1"/>
          <c:tx>
            <c:strRef>
              <c:f>Лист1!$C$1</c:f>
              <c:strCache>
                <c:ptCount val="1"/>
                <c:pt idx="0">
                  <c:v>Զբաղվածներ, հազ. մարդ</c:v>
                </c:pt>
              </c:strCache>
            </c:strRef>
          </c:tx>
          <c:spPr>
            <a:solidFill>
              <a:schemeClr val="accent2"/>
            </a:solidFill>
            <a:ln>
              <a:noFill/>
            </a:ln>
            <a:effectLst/>
          </c:spPr>
          <c:invertIfNegative val="0"/>
          <c:cat>
            <c:numRef>
              <c:f>Лист1!$A$2:$A$3</c:f>
              <c:numCache>
                <c:formatCode>General</c:formatCode>
                <c:ptCount val="2"/>
                <c:pt idx="0">
                  <c:v>2019</c:v>
                </c:pt>
                <c:pt idx="1">
                  <c:v>2020</c:v>
                </c:pt>
              </c:numCache>
            </c:numRef>
          </c:cat>
          <c:val>
            <c:numRef>
              <c:f>Лист1!$C$2:$C$3</c:f>
              <c:numCache>
                <c:formatCode>General</c:formatCode>
                <c:ptCount val="2"/>
                <c:pt idx="0">
                  <c:v>1009.8</c:v>
                </c:pt>
                <c:pt idx="1">
                  <c:v>991</c:v>
                </c:pt>
              </c:numCache>
            </c:numRef>
          </c:val>
          <c:extLst>
            <c:ext xmlns:c16="http://schemas.microsoft.com/office/drawing/2014/chart" uri="{C3380CC4-5D6E-409C-BE32-E72D297353CC}">
              <c16:uniqueId val="{00000001-E8DF-49F7-B869-C260A5E5AF8B}"/>
            </c:ext>
          </c:extLst>
        </c:ser>
        <c:dLbls>
          <c:showLegendKey val="0"/>
          <c:showVal val="0"/>
          <c:showCatName val="0"/>
          <c:showSerName val="0"/>
          <c:showPercent val="0"/>
          <c:showBubbleSize val="0"/>
        </c:dLbls>
        <c:gapWidth val="219"/>
        <c:overlap val="-27"/>
        <c:axId val="148779392"/>
        <c:axId val="148780928"/>
      </c:barChart>
      <c:lineChart>
        <c:grouping val="standard"/>
        <c:varyColors val="0"/>
        <c:ser>
          <c:idx val="2"/>
          <c:order val="2"/>
          <c:tx>
            <c:strRef>
              <c:f>Лист1!$D$1</c:f>
              <c:strCache>
                <c:ptCount val="1"/>
                <c:pt idx="0">
                  <c:v>Գործազրկության մակարդակ, %, աջ առանցք</c:v>
                </c:pt>
              </c:strCache>
            </c:strRef>
          </c:tx>
          <c:spPr>
            <a:ln w="28575" cap="rnd">
              <a:solidFill>
                <a:srgbClr val="C00000"/>
              </a:solidFill>
              <a:round/>
            </a:ln>
            <a:effectLst/>
          </c:spPr>
          <c:marker>
            <c:symbol val="none"/>
          </c:marker>
          <c:dLbls>
            <c:dLbl>
              <c:idx val="0"/>
              <c:layout>
                <c:manualLayout>
                  <c:x val="-0.11163589523400605"/>
                  <c:y val="-4.123711340206185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8DF-49F7-B869-C260A5E5AF8B}"/>
                </c:ext>
              </c:extLst>
            </c:dLbl>
            <c:dLbl>
              <c:idx val="1"/>
              <c:layout>
                <c:manualLayout>
                  <c:x val="-5.1524259338772006E-2"/>
                  <c:y val="-5.49828178694158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8DF-49F7-B869-C260A5E5AF8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Лист1!$A$2:$A$3</c:f>
              <c:numCache>
                <c:formatCode>General</c:formatCode>
                <c:ptCount val="2"/>
                <c:pt idx="0">
                  <c:v>2019</c:v>
                </c:pt>
                <c:pt idx="1">
                  <c:v>2020</c:v>
                </c:pt>
              </c:numCache>
            </c:numRef>
          </c:cat>
          <c:val>
            <c:numRef>
              <c:f>Лист1!$D$2:$D$3</c:f>
              <c:numCache>
                <c:formatCode>General</c:formatCode>
                <c:ptCount val="2"/>
                <c:pt idx="0">
                  <c:v>17.899999999999999</c:v>
                </c:pt>
                <c:pt idx="1">
                  <c:v>18.100000000000001</c:v>
                </c:pt>
              </c:numCache>
            </c:numRef>
          </c:val>
          <c:smooth val="0"/>
          <c:extLst>
            <c:ext xmlns:c16="http://schemas.microsoft.com/office/drawing/2014/chart" uri="{C3380CC4-5D6E-409C-BE32-E72D297353CC}">
              <c16:uniqueId val="{00000004-E8DF-49F7-B869-C260A5E5AF8B}"/>
            </c:ext>
          </c:extLst>
        </c:ser>
        <c:dLbls>
          <c:showLegendKey val="0"/>
          <c:showVal val="0"/>
          <c:showCatName val="0"/>
          <c:showSerName val="0"/>
          <c:showPercent val="0"/>
          <c:showBubbleSize val="0"/>
        </c:dLbls>
        <c:marker val="1"/>
        <c:smooth val="0"/>
        <c:axId val="148792448"/>
        <c:axId val="148782464"/>
      </c:lineChart>
      <c:catAx>
        <c:axId val="14877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8780928"/>
        <c:crosses val="autoZero"/>
        <c:auto val="1"/>
        <c:lblAlgn val="ctr"/>
        <c:lblOffset val="100"/>
        <c:noMultiLvlLbl val="0"/>
      </c:catAx>
      <c:valAx>
        <c:axId val="14878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8779392"/>
        <c:crosses val="autoZero"/>
        <c:crossBetween val="between"/>
        <c:majorUnit val="200"/>
      </c:valAx>
      <c:valAx>
        <c:axId val="14878246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8792448"/>
        <c:crosses val="max"/>
        <c:crossBetween val="between"/>
      </c:valAx>
      <c:catAx>
        <c:axId val="148792448"/>
        <c:scaling>
          <c:orientation val="minMax"/>
        </c:scaling>
        <c:delete val="1"/>
        <c:axPos val="b"/>
        <c:numFmt formatCode="General" sourceLinked="1"/>
        <c:majorTickMark val="none"/>
        <c:minorTickMark val="none"/>
        <c:tickLblPos val="none"/>
        <c:crossAx val="148782464"/>
        <c:crosses val="autoZero"/>
        <c:auto val="1"/>
        <c:lblAlgn val="ctr"/>
        <c:lblOffset val="100"/>
        <c:noMultiLvlLbl val="0"/>
      </c:catAx>
      <c:spPr>
        <a:noFill/>
        <a:ln>
          <a:noFill/>
        </a:ln>
        <a:effectLst/>
      </c:spPr>
    </c:plotArea>
    <c:legend>
      <c:legendPos val="b"/>
      <c:layout>
        <c:manualLayout>
          <c:xMode val="edge"/>
          <c:yMode val="edge"/>
          <c:x val="1.1575282854656208E-2"/>
          <c:y val="0.79644947529258736"/>
          <c:w val="0.81583986074847825"/>
          <c:h val="0.1620423960322154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a:p>
            <a:pPr>
              <a:defRPr sz="1400" b="0" i="0" u="none" strike="noStrike" kern="1200" spc="0" baseline="0">
                <a:solidFill>
                  <a:schemeClr val="tx1">
                    <a:lumMod val="65000"/>
                    <a:lumOff val="35000"/>
                  </a:schemeClr>
                </a:solidFill>
                <a:latin typeface="+mn-lt"/>
                <a:ea typeface="+mn-ea"/>
                <a:cs typeface="+mn-cs"/>
              </a:defRPr>
            </a:pPr>
            <a:endParaRPr lang="ru-RU"/>
          </a:p>
        </c:rich>
      </c:tx>
      <c:layout>
        <c:manualLayout>
          <c:xMode val="edge"/>
          <c:yMode val="edge"/>
          <c:x val="9.3106574844288706E-2"/>
          <c:y val="0"/>
        </c:manualLayout>
      </c:layout>
      <c:overlay val="0"/>
      <c:spPr>
        <a:noFill/>
        <a:ln>
          <a:noFill/>
        </a:ln>
        <a:effectLst/>
      </c:spPr>
    </c:title>
    <c:autoTitleDeleted val="0"/>
    <c:plotArea>
      <c:layout>
        <c:manualLayout>
          <c:layoutTarget val="inner"/>
          <c:xMode val="edge"/>
          <c:yMode val="edge"/>
          <c:x val="0.11873917014291722"/>
          <c:y val="7.0087221630047492E-2"/>
          <c:w val="0.80804307316570445"/>
          <c:h val="0.61867847769029127"/>
        </c:manualLayout>
      </c:layout>
      <c:barChart>
        <c:barDir val="col"/>
        <c:grouping val="clustered"/>
        <c:varyColors val="0"/>
        <c:ser>
          <c:idx val="0"/>
          <c:order val="0"/>
          <c:tx>
            <c:strRef>
              <c:f>Лист1!$B$1</c:f>
              <c:strCache>
                <c:ptCount val="1"/>
                <c:pt idx="0">
                  <c:v>Աշխատուժի մասնակցության մակարդակ, %</c:v>
                </c:pt>
              </c:strCache>
            </c:strRef>
          </c:tx>
          <c:spPr>
            <a:solidFill>
              <a:schemeClr val="accent1"/>
            </a:solidFill>
            <a:ln>
              <a:noFill/>
            </a:ln>
            <a:effectLst/>
          </c:spPr>
          <c:invertIfNegative val="0"/>
          <c:cat>
            <c:numRef>
              <c:f>Лист1!$A$2:$A$3</c:f>
              <c:numCache>
                <c:formatCode>General</c:formatCode>
                <c:ptCount val="2"/>
                <c:pt idx="0">
                  <c:v>2019</c:v>
                </c:pt>
                <c:pt idx="1">
                  <c:v>2020</c:v>
                </c:pt>
              </c:numCache>
            </c:numRef>
          </c:cat>
          <c:val>
            <c:numRef>
              <c:f>Лист1!$B$2:$B$3</c:f>
              <c:numCache>
                <c:formatCode>General</c:formatCode>
                <c:ptCount val="2"/>
                <c:pt idx="0">
                  <c:v>58.9</c:v>
                </c:pt>
                <c:pt idx="1">
                  <c:v>57.7</c:v>
                </c:pt>
              </c:numCache>
            </c:numRef>
          </c:val>
          <c:extLst>
            <c:ext xmlns:c16="http://schemas.microsoft.com/office/drawing/2014/chart" uri="{C3380CC4-5D6E-409C-BE32-E72D297353CC}">
              <c16:uniqueId val="{00000000-1B4E-4546-BF1B-47569680A3ED}"/>
            </c:ext>
          </c:extLst>
        </c:ser>
        <c:dLbls>
          <c:showLegendKey val="0"/>
          <c:showVal val="0"/>
          <c:showCatName val="0"/>
          <c:showSerName val="0"/>
          <c:showPercent val="0"/>
          <c:showBubbleSize val="0"/>
        </c:dLbls>
        <c:gapWidth val="219"/>
        <c:overlap val="-27"/>
        <c:axId val="148509824"/>
        <c:axId val="148511360"/>
      </c:barChart>
      <c:lineChart>
        <c:grouping val="standard"/>
        <c:varyColors val="0"/>
        <c:ser>
          <c:idx val="1"/>
          <c:order val="1"/>
          <c:tx>
            <c:strRef>
              <c:f>Лист1!$C$1</c:f>
              <c:strCache>
                <c:ptCount val="1"/>
                <c:pt idx="0">
                  <c:v>Իրական աշխատավարձի փոփոխություն, % (աջ առանցք)</c:v>
                </c:pt>
              </c:strCache>
            </c:strRef>
          </c:tx>
          <c:spPr>
            <a:ln w="28575" cap="rnd">
              <a:solidFill>
                <a:srgbClr val="C00000"/>
              </a:solidFill>
              <a:round/>
            </a:ln>
            <a:effectLst/>
          </c:spPr>
          <c:marker>
            <c:symbol val="none"/>
          </c:marker>
          <c:dLbls>
            <c:dLbl>
              <c:idx val="0"/>
              <c:layout>
                <c:manualLayout>
                  <c:x val="-5.5272108843537414E-2"/>
                  <c:y val="-4.65735196274118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B4E-4546-BF1B-47569680A3ED}"/>
                </c:ext>
              </c:extLst>
            </c:dLbl>
            <c:dLbl>
              <c:idx val="1"/>
              <c:layout>
                <c:manualLayout>
                  <c:x val="-5.527210884353749E-2"/>
                  <c:y val="-0.10645375914836996"/>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B4E-4546-BF1B-47569680A3ED}"/>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Лист1!$A$2:$A$3</c:f>
              <c:numCache>
                <c:formatCode>General</c:formatCode>
                <c:ptCount val="2"/>
                <c:pt idx="0">
                  <c:v>2019</c:v>
                </c:pt>
                <c:pt idx="1">
                  <c:v>2020</c:v>
                </c:pt>
              </c:numCache>
            </c:numRef>
          </c:cat>
          <c:val>
            <c:numRef>
              <c:f>Лист1!$C$2:$C$3</c:f>
              <c:numCache>
                <c:formatCode>0.0</c:formatCode>
                <c:ptCount val="2"/>
                <c:pt idx="0">
                  <c:v>4.2945636588436003</c:v>
                </c:pt>
                <c:pt idx="1">
                  <c:v>2.6563838373978825</c:v>
                </c:pt>
              </c:numCache>
            </c:numRef>
          </c:val>
          <c:smooth val="0"/>
          <c:extLst>
            <c:ext xmlns:c16="http://schemas.microsoft.com/office/drawing/2014/chart" uri="{C3380CC4-5D6E-409C-BE32-E72D297353CC}">
              <c16:uniqueId val="{00000003-1B4E-4546-BF1B-47569680A3ED}"/>
            </c:ext>
          </c:extLst>
        </c:ser>
        <c:dLbls>
          <c:showLegendKey val="0"/>
          <c:showVal val="0"/>
          <c:showCatName val="0"/>
          <c:showSerName val="0"/>
          <c:showPercent val="0"/>
          <c:showBubbleSize val="0"/>
        </c:dLbls>
        <c:marker val="1"/>
        <c:smooth val="0"/>
        <c:axId val="148526976"/>
        <c:axId val="148525440"/>
      </c:lineChart>
      <c:catAx>
        <c:axId val="14850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8511360"/>
        <c:crosses val="autoZero"/>
        <c:auto val="1"/>
        <c:lblAlgn val="ctr"/>
        <c:lblOffset val="100"/>
        <c:noMultiLvlLbl val="0"/>
      </c:catAx>
      <c:valAx>
        <c:axId val="148511360"/>
        <c:scaling>
          <c:orientation val="minMax"/>
          <c:min val="5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8509824"/>
        <c:crosses val="autoZero"/>
        <c:crossBetween val="between"/>
        <c:majorUnit val="1"/>
      </c:valAx>
      <c:valAx>
        <c:axId val="148525440"/>
        <c:scaling>
          <c:orientation val="minMax"/>
          <c:max val="5"/>
          <c:min val="0"/>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8526976"/>
        <c:crosses val="max"/>
        <c:crossBetween val="between"/>
        <c:majorUnit val="1"/>
      </c:valAx>
      <c:catAx>
        <c:axId val="148526976"/>
        <c:scaling>
          <c:orientation val="minMax"/>
        </c:scaling>
        <c:delete val="1"/>
        <c:axPos val="b"/>
        <c:numFmt formatCode="General" sourceLinked="1"/>
        <c:majorTickMark val="none"/>
        <c:minorTickMark val="none"/>
        <c:tickLblPos val="none"/>
        <c:crossAx val="148525440"/>
        <c:crosses val="autoZero"/>
        <c:auto val="1"/>
        <c:lblAlgn val="ctr"/>
        <c:lblOffset val="100"/>
        <c:noMultiLvlLbl val="0"/>
      </c:catAx>
      <c:spPr>
        <a:noFill/>
        <a:ln>
          <a:noFill/>
        </a:ln>
        <a:effectLst/>
      </c:spPr>
    </c:plotArea>
    <c:legend>
      <c:legendPos val="b"/>
      <c:layout>
        <c:manualLayout>
          <c:xMode val="edge"/>
          <c:yMode val="edge"/>
          <c:x val="5.8843537414965986E-2"/>
          <c:y val="0.80372399534053762"/>
          <c:w val="0.82704081632653315"/>
          <c:h val="0.158440211999607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47"/>
          <c:y val="2.7462631000912119E-2"/>
          <c:w val="0.83619698175608326"/>
          <c:h val="0.66128895652749486"/>
        </c:manualLayout>
      </c:layout>
      <c:barChart>
        <c:barDir val="col"/>
        <c:grouping val="clustered"/>
        <c:varyColors val="0"/>
        <c:ser>
          <c:idx val="1"/>
          <c:order val="1"/>
          <c:tx>
            <c:strRef>
              <c:f>Sheet1!$A$3</c:f>
              <c:strCache>
                <c:ptCount val="1"/>
                <c:pt idx="0">
                  <c:v>Ապրանքների  հաշվեկշիռ</c:v>
                </c:pt>
              </c:strCache>
            </c:strRef>
          </c:tx>
          <c:spPr>
            <a:solidFill>
              <a:srgbClr val="C00000"/>
            </a:solidFill>
            <a:ln>
              <a:solidFill>
                <a:srgbClr val="C00000"/>
              </a:solidFill>
              <a:headEnd type="none"/>
              <a:tailEnd type="none"/>
            </a:ln>
            <a:effectLst/>
          </c:spPr>
          <c:invertIfNegative val="0"/>
          <c:cat>
            <c:strRef>
              <c:f>Sheet1!$B$1:$H$1</c:f>
              <c:strCache>
                <c:ptCount val="7"/>
                <c:pt idx="0">
                  <c:v>2018</c:v>
                </c:pt>
                <c:pt idx="1">
                  <c:v>2019</c:v>
                </c:pt>
                <c:pt idx="2">
                  <c:v>2020</c:v>
                </c:pt>
                <c:pt idx="3">
                  <c:v>2021*</c:v>
                </c:pt>
                <c:pt idx="4">
                  <c:v>2022*</c:v>
                </c:pt>
                <c:pt idx="5">
                  <c:v>2023*</c:v>
                </c:pt>
                <c:pt idx="6">
                  <c:v>2024*</c:v>
                </c:pt>
              </c:strCache>
            </c:strRef>
          </c:cat>
          <c:val>
            <c:numRef>
              <c:f>Sheet1!$B$3:$H$3</c:f>
              <c:numCache>
                <c:formatCode>0.0</c:formatCode>
                <c:ptCount val="7"/>
                <c:pt idx="0">
                  <c:v>-13.842083065988167</c:v>
                </c:pt>
                <c:pt idx="1">
                  <c:v>-12.687293555985313</c:v>
                </c:pt>
                <c:pt idx="2">
                  <c:v>-10.72870561682311</c:v>
                </c:pt>
                <c:pt idx="3">
                  <c:v>-11.537528086958471</c:v>
                </c:pt>
                <c:pt idx="4">
                  <c:v>-12.151313788263879</c:v>
                </c:pt>
                <c:pt idx="5">
                  <c:v>-12.107760829193989</c:v>
                </c:pt>
                <c:pt idx="6">
                  <c:v>-11.948541841080045</c:v>
                </c:pt>
              </c:numCache>
            </c:numRef>
          </c:val>
          <c:extLst>
            <c:ext xmlns:c16="http://schemas.microsoft.com/office/drawing/2014/chart" uri="{C3380CC4-5D6E-409C-BE32-E72D297353CC}">
              <c16:uniqueId val="{00000000-0910-4465-A23C-8D01B749CB31}"/>
            </c:ext>
          </c:extLst>
        </c:ser>
        <c:ser>
          <c:idx val="2"/>
          <c:order val="2"/>
          <c:tx>
            <c:strRef>
              <c:f>Sheet1!$A$4</c:f>
              <c:strCache>
                <c:ptCount val="1"/>
                <c:pt idx="0">
                  <c:v>Դրամական փոխանցումներ</c:v>
                </c:pt>
              </c:strCache>
            </c:strRef>
          </c:tx>
          <c:spPr>
            <a:solidFill>
              <a:srgbClr val="0070C0"/>
            </a:solidFill>
            <a:ln>
              <a:solidFill>
                <a:srgbClr val="0070C0"/>
              </a:solidFill>
            </a:ln>
            <a:effectLst/>
          </c:spPr>
          <c:invertIfNegative val="0"/>
          <c:cat>
            <c:strRef>
              <c:f>Sheet1!$B$1:$H$1</c:f>
              <c:strCache>
                <c:ptCount val="7"/>
                <c:pt idx="0">
                  <c:v>2018</c:v>
                </c:pt>
                <c:pt idx="1">
                  <c:v>2019</c:v>
                </c:pt>
                <c:pt idx="2">
                  <c:v>2020</c:v>
                </c:pt>
                <c:pt idx="3">
                  <c:v>2021*</c:v>
                </c:pt>
                <c:pt idx="4">
                  <c:v>2022*</c:v>
                </c:pt>
                <c:pt idx="5">
                  <c:v>2023*</c:v>
                </c:pt>
                <c:pt idx="6">
                  <c:v>2024*</c:v>
                </c:pt>
              </c:strCache>
            </c:strRef>
          </c:cat>
          <c:val>
            <c:numRef>
              <c:f>Sheet1!$B$4:$H$4</c:f>
              <c:numCache>
                <c:formatCode>0.0</c:formatCode>
                <c:ptCount val="7"/>
                <c:pt idx="0">
                  <c:v>9.12006102267061</c:v>
                </c:pt>
                <c:pt idx="1">
                  <c:v>8.3981963185381812</c:v>
                </c:pt>
                <c:pt idx="2">
                  <c:v>8.2287451267512584</c:v>
                </c:pt>
                <c:pt idx="3">
                  <c:v>10.390576204956629</c:v>
                </c:pt>
                <c:pt idx="4">
                  <c:v>10.024002480029386</c:v>
                </c:pt>
                <c:pt idx="5">
                  <c:v>9.8006338303314937</c:v>
                </c:pt>
                <c:pt idx="6">
                  <c:v>9.5645398394809718</c:v>
                </c:pt>
              </c:numCache>
            </c:numRef>
          </c:val>
          <c:extLst>
            <c:ext xmlns:c16="http://schemas.microsoft.com/office/drawing/2014/chart" uri="{C3380CC4-5D6E-409C-BE32-E72D297353CC}">
              <c16:uniqueId val="{00000001-0910-4465-A23C-8D01B749CB31}"/>
            </c:ext>
          </c:extLst>
        </c:ser>
        <c:ser>
          <c:idx val="3"/>
          <c:order val="3"/>
          <c:tx>
            <c:strRef>
              <c:f>Sheet1!$A$5</c:f>
              <c:strCache>
                <c:ptCount val="1"/>
                <c:pt idx="0">
                  <c:v>Ծառայությունների հաշվեկշիռ</c:v>
                </c:pt>
              </c:strCache>
            </c:strRef>
          </c:tx>
          <c:spPr>
            <a:solidFill>
              <a:srgbClr val="ED7D31"/>
            </a:solidFill>
            <a:ln w="28575" cap="rnd">
              <a:solidFill>
                <a:srgbClr val="ED7D31"/>
              </a:solidFill>
              <a:round/>
            </a:ln>
            <a:effectLst/>
          </c:spPr>
          <c:invertIfNegative val="0"/>
          <c:cat>
            <c:strRef>
              <c:f>Sheet1!$B$1:$H$1</c:f>
              <c:strCache>
                <c:ptCount val="7"/>
                <c:pt idx="0">
                  <c:v>2018</c:v>
                </c:pt>
                <c:pt idx="1">
                  <c:v>2019</c:v>
                </c:pt>
                <c:pt idx="2">
                  <c:v>2020</c:v>
                </c:pt>
                <c:pt idx="3">
                  <c:v>2021*</c:v>
                </c:pt>
                <c:pt idx="4">
                  <c:v>2022*</c:v>
                </c:pt>
                <c:pt idx="5">
                  <c:v>2023*</c:v>
                </c:pt>
                <c:pt idx="6">
                  <c:v>2024*</c:v>
                </c:pt>
              </c:strCache>
            </c:strRef>
          </c:cat>
          <c:val>
            <c:numRef>
              <c:f>Sheet1!$B$5:$H$5</c:f>
              <c:numCache>
                <c:formatCode>0.0</c:formatCode>
                <c:ptCount val="7"/>
                <c:pt idx="0">
                  <c:v>0.19789519811247197</c:v>
                </c:pt>
                <c:pt idx="1">
                  <c:v>-0.49137771962102195</c:v>
                </c:pt>
                <c:pt idx="2">
                  <c:v>0.79215216104683872</c:v>
                </c:pt>
                <c:pt idx="3">
                  <c:v>1.2608655788782781</c:v>
                </c:pt>
                <c:pt idx="4">
                  <c:v>1.2098698768002827</c:v>
                </c:pt>
                <c:pt idx="5">
                  <c:v>1.0885624030972918</c:v>
                </c:pt>
                <c:pt idx="6">
                  <c:v>1.1635144702344489</c:v>
                </c:pt>
              </c:numCache>
            </c:numRef>
          </c:val>
          <c:extLst>
            <c:ext xmlns:c16="http://schemas.microsoft.com/office/drawing/2014/chart" uri="{C3380CC4-5D6E-409C-BE32-E72D297353CC}">
              <c16:uniqueId val="{00000002-0910-4465-A23C-8D01B749CB31}"/>
            </c:ext>
          </c:extLst>
        </c:ser>
        <c:dLbls>
          <c:showLegendKey val="0"/>
          <c:showVal val="0"/>
          <c:showCatName val="0"/>
          <c:showSerName val="0"/>
          <c:showPercent val="0"/>
          <c:showBubbleSize val="0"/>
        </c:dLbls>
        <c:gapWidth val="150"/>
        <c:axId val="148449152"/>
        <c:axId val="148447616"/>
      </c:barChart>
      <c:lineChart>
        <c:grouping val="stacked"/>
        <c:varyColors val="0"/>
        <c:ser>
          <c:idx val="0"/>
          <c:order val="0"/>
          <c:tx>
            <c:strRef>
              <c:f>Sheet1!$A$2</c:f>
              <c:strCache>
                <c:ptCount val="1"/>
                <c:pt idx="0">
                  <c:v>Ընթացիկ հաշիվ</c:v>
                </c:pt>
              </c:strCache>
            </c:strRef>
          </c:tx>
          <c:spPr>
            <a:ln w="28575" cap="rnd">
              <a:solidFill>
                <a:srgbClr val="FFC000">
                  <a:lumMod val="60000"/>
                  <a:lumOff val="40000"/>
                </a:srgbClr>
              </a:solidFill>
              <a:round/>
            </a:ln>
            <a:effectLst/>
          </c:spPr>
          <c:marker>
            <c:symbol val="circle"/>
            <c:size val="5"/>
            <c:spPr>
              <a:solidFill>
                <a:srgbClr val="FFC000">
                  <a:lumMod val="60000"/>
                  <a:lumOff val="40000"/>
                </a:srgbClr>
              </a:solidFill>
              <a:ln w="9525">
                <a:solidFill>
                  <a:srgbClr val="FFC000">
                    <a:lumMod val="60000"/>
                    <a:lumOff val="40000"/>
                  </a:srgb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2018</c:v>
                </c:pt>
                <c:pt idx="1">
                  <c:v>2019</c:v>
                </c:pt>
                <c:pt idx="2">
                  <c:v>2020</c:v>
                </c:pt>
                <c:pt idx="3">
                  <c:v>2021*</c:v>
                </c:pt>
                <c:pt idx="4">
                  <c:v>2022*</c:v>
                </c:pt>
                <c:pt idx="5">
                  <c:v>2023*</c:v>
                </c:pt>
                <c:pt idx="6">
                  <c:v>2024*</c:v>
                </c:pt>
              </c:strCache>
            </c:strRef>
          </c:cat>
          <c:val>
            <c:numRef>
              <c:f>Sheet1!$B$2:$H$2</c:f>
              <c:numCache>
                <c:formatCode>0.0</c:formatCode>
                <c:ptCount val="7"/>
                <c:pt idx="0">
                  <c:v>-7.0305485843998303</c:v>
                </c:pt>
                <c:pt idx="1">
                  <c:v>-7.3591240712202897</c:v>
                </c:pt>
                <c:pt idx="2">
                  <c:v>-3.786869106981785</c:v>
                </c:pt>
                <c:pt idx="3">
                  <c:v>-2.0813333178343938</c:v>
                </c:pt>
                <c:pt idx="4">
                  <c:v>-2.8658865313126927</c:v>
                </c:pt>
                <c:pt idx="5">
                  <c:v>-3.5253821595054551</c:v>
                </c:pt>
                <c:pt idx="6">
                  <c:v>-3.7728781994290341</c:v>
                </c:pt>
              </c:numCache>
            </c:numRef>
          </c:val>
          <c:smooth val="0"/>
          <c:extLst>
            <c:ext xmlns:c16="http://schemas.microsoft.com/office/drawing/2014/chart" uri="{C3380CC4-5D6E-409C-BE32-E72D297353CC}">
              <c16:uniqueId val="{00000003-0910-4465-A23C-8D01B749CB31}"/>
            </c:ext>
          </c:extLst>
        </c:ser>
        <c:dLbls>
          <c:showLegendKey val="0"/>
          <c:showVal val="0"/>
          <c:showCatName val="0"/>
          <c:showSerName val="0"/>
          <c:showPercent val="0"/>
          <c:showBubbleSize val="0"/>
        </c:dLbls>
        <c:marker val="1"/>
        <c:smooth val="0"/>
        <c:axId val="148460672"/>
        <c:axId val="148450688"/>
      </c:lineChart>
      <c:valAx>
        <c:axId val="148447616"/>
        <c:scaling>
          <c:orientation val="minMax"/>
          <c:max val="11"/>
          <c:min val="-1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8449152"/>
        <c:crosses val="autoZero"/>
        <c:crossBetween val="between"/>
      </c:valAx>
      <c:catAx>
        <c:axId val="1484491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8447616"/>
        <c:crosses val="autoZero"/>
        <c:auto val="1"/>
        <c:lblAlgn val="ctr"/>
        <c:lblOffset val="100"/>
        <c:noMultiLvlLbl val="0"/>
      </c:catAx>
      <c:valAx>
        <c:axId val="148450688"/>
        <c:scaling>
          <c:orientation val="minMax"/>
        </c:scaling>
        <c:delete val="1"/>
        <c:axPos val="r"/>
        <c:numFmt formatCode="0.0" sourceLinked="1"/>
        <c:majorTickMark val="out"/>
        <c:minorTickMark val="none"/>
        <c:tickLblPos val="none"/>
        <c:crossAx val="148460672"/>
        <c:crosses val="max"/>
        <c:crossBetween val="between"/>
      </c:valAx>
      <c:catAx>
        <c:axId val="148460672"/>
        <c:scaling>
          <c:orientation val="minMax"/>
        </c:scaling>
        <c:delete val="1"/>
        <c:axPos val="b"/>
        <c:numFmt formatCode="General" sourceLinked="1"/>
        <c:majorTickMark val="out"/>
        <c:minorTickMark val="none"/>
        <c:tickLblPos val="none"/>
        <c:crossAx val="148450688"/>
        <c:crosses val="autoZero"/>
        <c:auto val="1"/>
        <c:lblAlgn val="ctr"/>
        <c:lblOffset val="100"/>
        <c:noMultiLvlLbl val="0"/>
      </c:catAx>
      <c:spPr>
        <a:solidFill>
          <a:schemeClr val="bg1"/>
        </a:solidFill>
        <a:ln>
          <a:noFill/>
        </a:ln>
        <a:effectLst/>
      </c:spPr>
    </c:plotArea>
    <c:legend>
      <c:legendPos val="b"/>
      <c:layout>
        <c:manualLayout>
          <c:xMode val="edge"/>
          <c:yMode val="edge"/>
          <c:x val="5.3783209225543843E-3"/>
          <c:y val="0.8238687853548996"/>
          <c:w val="0.97570090670484477"/>
          <c:h val="0.17613136593219991"/>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zero"/>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47"/>
          <c:y val="2.7462631000912119E-2"/>
          <c:w val="0.86378599935282063"/>
          <c:h val="0.73564911528916255"/>
        </c:manualLayout>
      </c:layout>
      <c:barChart>
        <c:barDir val="col"/>
        <c:grouping val="clustered"/>
        <c:varyColors val="0"/>
        <c:ser>
          <c:idx val="0"/>
          <c:order val="0"/>
          <c:tx>
            <c:strRef>
              <c:f>Sheet1!$A$2</c:f>
              <c:strCache>
                <c:ptCount val="1"/>
                <c:pt idx="0">
                  <c:v>Ապրանքների և ծառայությունների արտահանում</c:v>
                </c:pt>
              </c:strCache>
            </c:strRef>
          </c:tx>
          <c:spPr>
            <a:ln w="28575" cap="rnd">
              <a:solidFill>
                <a:srgbClr val="4472C4"/>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2018</c:v>
                </c:pt>
                <c:pt idx="1">
                  <c:v>2019</c:v>
                </c:pt>
                <c:pt idx="2">
                  <c:v>2020</c:v>
                </c:pt>
                <c:pt idx="3">
                  <c:v>2021*</c:v>
                </c:pt>
                <c:pt idx="4">
                  <c:v>2022*</c:v>
                </c:pt>
                <c:pt idx="5">
                  <c:v>2023*</c:v>
                </c:pt>
                <c:pt idx="6">
                  <c:v>2024*</c:v>
                </c:pt>
              </c:strCache>
            </c:strRef>
          </c:cat>
          <c:val>
            <c:numRef>
              <c:f>Sheet1!$B$2:$H$2</c:f>
              <c:numCache>
                <c:formatCode>#\,##0.0</c:formatCode>
                <c:ptCount val="7"/>
                <c:pt idx="0">
                  <c:v>39.667608515572965</c:v>
                </c:pt>
                <c:pt idx="1">
                  <c:v>41.985467543342466</c:v>
                </c:pt>
                <c:pt idx="2">
                  <c:v>29.764298371950591</c:v>
                </c:pt>
                <c:pt idx="3">
                  <c:v>32.902667998836911</c:v>
                </c:pt>
                <c:pt idx="4">
                  <c:v>34.756341334635053</c:v>
                </c:pt>
                <c:pt idx="5">
                  <c:v>36.253587155934071</c:v>
                </c:pt>
                <c:pt idx="6">
                  <c:v>37.199976381601282</c:v>
                </c:pt>
              </c:numCache>
            </c:numRef>
          </c:val>
          <c:extLst>
            <c:ext xmlns:c16="http://schemas.microsoft.com/office/drawing/2014/chart" uri="{C3380CC4-5D6E-409C-BE32-E72D297353CC}">
              <c16:uniqueId val="{00000000-1AFB-4930-B31F-C44F6B23D55A}"/>
            </c:ext>
          </c:extLst>
        </c:ser>
        <c:ser>
          <c:idx val="1"/>
          <c:order val="1"/>
          <c:tx>
            <c:strRef>
              <c:f>Sheet1!$A$3</c:f>
              <c:strCache>
                <c:ptCount val="1"/>
                <c:pt idx="0">
                  <c:v>Ապրանքների և ծառայությունների ներմուծում</c:v>
                </c:pt>
              </c:strCache>
            </c:strRef>
          </c:tx>
          <c:spPr>
            <a:solidFill>
              <a:srgbClr val="C00000"/>
            </a:solidFill>
            <a:ln>
              <a:solidFill>
                <a:srgbClr val="C00000"/>
              </a:solidFill>
              <a:headEnd type="none"/>
              <a:tailEnd type="none"/>
            </a:ln>
            <a:effectLst/>
          </c:spPr>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Sheet1!$B$1:$H$1</c:f>
              <c:strCache>
                <c:ptCount val="7"/>
                <c:pt idx="0">
                  <c:v>2018</c:v>
                </c:pt>
                <c:pt idx="1">
                  <c:v>2019</c:v>
                </c:pt>
                <c:pt idx="2">
                  <c:v>2020</c:v>
                </c:pt>
                <c:pt idx="3">
                  <c:v>2021*</c:v>
                </c:pt>
                <c:pt idx="4">
                  <c:v>2022*</c:v>
                </c:pt>
                <c:pt idx="5">
                  <c:v>2023*</c:v>
                </c:pt>
                <c:pt idx="6">
                  <c:v>2024*</c:v>
                </c:pt>
              </c:strCache>
            </c:strRef>
          </c:cat>
          <c:val>
            <c:numRef>
              <c:f>Sheet1!$B$3:$H$3</c:f>
              <c:numCache>
                <c:formatCode>#\,##0.0</c:formatCode>
                <c:ptCount val="7"/>
                <c:pt idx="0">
                  <c:v>53.31186683755206</c:v>
                </c:pt>
                <c:pt idx="1">
                  <c:v>55.164226569505161</c:v>
                </c:pt>
                <c:pt idx="2">
                  <c:v>39.70086105537515</c:v>
                </c:pt>
                <c:pt idx="3">
                  <c:v>43.17933096018843</c:v>
                </c:pt>
                <c:pt idx="4">
                  <c:v>45.697840148557972</c:v>
                </c:pt>
                <c:pt idx="5">
                  <c:v>47.27276912120341</c:v>
                </c:pt>
                <c:pt idx="6">
                  <c:v>47.985028520940901</c:v>
                </c:pt>
              </c:numCache>
            </c:numRef>
          </c:val>
          <c:extLst>
            <c:ext xmlns:c16="http://schemas.microsoft.com/office/drawing/2014/chart" uri="{C3380CC4-5D6E-409C-BE32-E72D297353CC}">
              <c16:uniqueId val="{00000001-1AFB-4930-B31F-C44F6B23D55A}"/>
            </c:ext>
          </c:extLst>
        </c:ser>
        <c:dLbls>
          <c:showLegendKey val="0"/>
          <c:showVal val="0"/>
          <c:showCatName val="0"/>
          <c:showSerName val="0"/>
          <c:showPercent val="0"/>
          <c:showBubbleSize val="0"/>
        </c:dLbls>
        <c:gapWidth val="150"/>
        <c:axId val="148879232"/>
        <c:axId val="148877696"/>
      </c:barChart>
      <c:valAx>
        <c:axId val="148877696"/>
        <c:scaling>
          <c:orientation val="minMax"/>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n-US"/>
          </a:p>
        </c:txPr>
        <c:crossAx val="148879232"/>
        <c:crosses val="autoZero"/>
        <c:crossBetween val="between"/>
        <c:majorUnit val="10"/>
      </c:valAx>
      <c:catAx>
        <c:axId val="1488792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8877696"/>
        <c:crosses val="autoZero"/>
        <c:auto val="1"/>
        <c:lblAlgn val="ctr"/>
        <c:lblOffset val="100"/>
        <c:noMultiLvlLbl val="0"/>
      </c:catAx>
      <c:spPr>
        <a:solidFill>
          <a:schemeClr val="bg1"/>
        </a:solidFill>
        <a:ln>
          <a:noFill/>
        </a:ln>
        <a:effectLst/>
      </c:spPr>
    </c:plotArea>
    <c:legend>
      <c:legendPos val="b"/>
      <c:layout>
        <c:manualLayout>
          <c:xMode val="edge"/>
          <c:yMode val="edge"/>
          <c:x val="2.3948413133595022E-2"/>
          <c:y val="0.85107968646776411"/>
          <c:w val="0.9211160248804503"/>
          <c:h val="0.14008205652993741"/>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22200096683625"/>
          <c:y val="9.7387132828492137E-2"/>
          <c:w val="0.77075361005773846"/>
          <c:h val="0.53498227413516442"/>
        </c:manualLayout>
      </c:layout>
      <c:lineChart>
        <c:grouping val="standard"/>
        <c:varyColors val="0"/>
        <c:ser>
          <c:idx val="0"/>
          <c:order val="0"/>
          <c:tx>
            <c:strRef>
              <c:f>Sheet1!$B$1</c:f>
              <c:strCache>
                <c:ptCount val="1"/>
                <c:pt idx="0">
                  <c:v>Զարգացող երկրների արժույթ</c:v>
                </c:pt>
              </c:strCache>
            </c:strRef>
          </c:tx>
          <c:spPr>
            <a:ln w="28575" cap="rnd">
              <a:solidFill>
                <a:schemeClr val="accent1"/>
              </a:solidFill>
              <a:round/>
            </a:ln>
            <a:effectLst/>
          </c:spPr>
          <c:marker>
            <c:symbol val="none"/>
          </c:marker>
          <c:cat>
            <c:numRef>
              <c:f>Sheet1!$A$2:$A$622</c:f>
              <c:numCache>
                <c:formatCode>dd\-mmm\-yy</c:formatCode>
                <c:ptCount val="621"/>
                <c:pt idx="0">
                  <c:v>43473</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43494</c:v>
                </c:pt>
                <c:pt idx="15">
                  <c:v>43495</c:v>
                </c:pt>
                <c:pt idx="16">
                  <c:v>43496</c:v>
                </c:pt>
                <c:pt idx="17">
                  <c:v>43497</c:v>
                </c:pt>
                <c:pt idx="18">
                  <c:v>43500</c:v>
                </c:pt>
                <c:pt idx="19">
                  <c:v>43501</c:v>
                </c:pt>
                <c:pt idx="20">
                  <c:v>43502</c:v>
                </c:pt>
                <c:pt idx="21">
                  <c:v>43503</c:v>
                </c:pt>
                <c:pt idx="22">
                  <c:v>43504</c:v>
                </c:pt>
                <c:pt idx="23">
                  <c:v>43507</c:v>
                </c:pt>
                <c:pt idx="24">
                  <c:v>43508</c:v>
                </c:pt>
                <c:pt idx="25">
                  <c:v>43509</c:v>
                </c:pt>
                <c:pt idx="26">
                  <c:v>43510</c:v>
                </c:pt>
                <c:pt idx="27">
                  <c:v>43511</c:v>
                </c:pt>
                <c:pt idx="28">
                  <c:v>43514</c:v>
                </c:pt>
                <c:pt idx="29">
                  <c:v>43515</c:v>
                </c:pt>
                <c:pt idx="30">
                  <c:v>43516</c:v>
                </c:pt>
                <c:pt idx="31">
                  <c:v>43517</c:v>
                </c:pt>
                <c:pt idx="32">
                  <c:v>43518</c:v>
                </c:pt>
                <c:pt idx="33">
                  <c:v>43521</c:v>
                </c:pt>
                <c:pt idx="34">
                  <c:v>43522</c:v>
                </c:pt>
                <c:pt idx="35">
                  <c:v>43523</c:v>
                </c:pt>
                <c:pt idx="36">
                  <c:v>43524</c:v>
                </c:pt>
                <c:pt idx="37">
                  <c:v>43525</c:v>
                </c:pt>
                <c:pt idx="38">
                  <c:v>43528</c:v>
                </c:pt>
                <c:pt idx="39">
                  <c:v>43529</c:v>
                </c:pt>
                <c:pt idx="40">
                  <c:v>43530</c:v>
                </c:pt>
                <c:pt idx="41">
                  <c:v>43531</c:v>
                </c:pt>
                <c:pt idx="42">
                  <c:v>43535</c:v>
                </c:pt>
                <c:pt idx="43">
                  <c:v>43536</c:v>
                </c:pt>
                <c:pt idx="44">
                  <c:v>43537</c:v>
                </c:pt>
                <c:pt idx="45">
                  <c:v>43538</c:v>
                </c:pt>
                <c:pt idx="46">
                  <c:v>43539</c:v>
                </c:pt>
                <c:pt idx="47">
                  <c:v>43542</c:v>
                </c:pt>
                <c:pt idx="48">
                  <c:v>43543</c:v>
                </c:pt>
                <c:pt idx="49">
                  <c:v>43544</c:v>
                </c:pt>
                <c:pt idx="50">
                  <c:v>43545</c:v>
                </c:pt>
                <c:pt idx="51">
                  <c:v>43546</c:v>
                </c:pt>
                <c:pt idx="52">
                  <c:v>43549</c:v>
                </c:pt>
                <c:pt idx="53">
                  <c:v>43550</c:v>
                </c:pt>
                <c:pt idx="54">
                  <c:v>43551</c:v>
                </c:pt>
                <c:pt idx="55">
                  <c:v>43552</c:v>
                </c:pt>
                <c:pt idx="56">
                  <c:v>43553</c:v>
                </c:pt>
                <c:pt idx="57">
                  <c:v>43556</c:v>
                </c:pt>
                <c:pt idx="58">
                  <c:v>43557</c:v>
                </c:pt>
                <c:pt idx="59">
                  <c:v>43558</c:v>
                </c:pt>
                <c:pt idx="60">
                  <c:v>43559</c:v>
                </c:pt>
                <c:pt idx="61">
                  <c:v>43560</c:v>
                </c:pt>
                <c:pt idx="62">
                  <c:v>43563</c:v>
                </c:pt>
                <c:pt idx="63">
                  <c:v>43564</c:v>
                </c:pt>
                <c:pt idx="64">
                  <c:v>43565</c:v>
                </c:pt>
                <c:pt idx="65">
                  <c:v>43566</c:v>
                </c:pt>
                <c:pt idx="66">
                  <c:v>43567</c:v>
                </c:pt>
                <c:pt idx="67">
                  <c:v>43570</c:v>
                </c:pt>
                <c:pt idx="68">
                  <c:v>43571</c:v>
                </c:pt>
                <c:pt idx="69">
                  <c:v>43572</c:v>
                </c:pt>
                <c:pt idx="70">
                  <c:v>43573</c:v>
                </c:pt>
                <c:pt idx="71">
                  <c:v>43577</c:v>
                </c:pt>
                <c:pt idx="72">
                  <c:v>43578</c:v>
                </c:pt>
                <c:pt idx="73">
                  <c:v>43579</c:v>
                </c:pt>
                <c:pt idx="74">
                  <c:v>43580</c:v>
                </c:pt>
                <c:pt idx="75">
                  <c:v>43581</c:v>
                </c:pt>
                <c:pt idx="76">
                  <c:v>43584</c:v>
                </c:pt>
                <c:pt idx="77">
                  <c:v>43585</c:v>
                </c:pt>
                <c:pt idx="78">
                  <c:v>43587</c:v>
                </c:pt>
                <c:pt idx="79">
                  <c:v>43588</c:v>
                </c:pt>
                <c:pt idx="80">
                  <c:v>43591</c:v>
                </c:pt>
                <c:pt idx="81">
                  <c:v>43592</c:v>
                </c:pt>
                <c:pt idx="82">
                  <c:v>43593</c:v>
                </c:pt>
                <c:pt idx="83">
                  <c:v>43595</c:v>
                </c:pt>
                <c:pt idx="84">
                  <c:v>43598</c:v>
                </c:pt>
                <c:pt idx="85">
                  <c:v>43599</c:v>
                </c:pt>
                <c:pt idx="86">
                  <c:v>43600</c:v>
                </c:pt>
                <c:pt idx="87">
                  <c:v>43601</c:v>
                </c:pt>
                <c:pt idx="88">
                  <c:v>43602</c:v>
                </c:pt>
                <c:pt idx="89">
                  <c:v>43605</c:v>
                </c:pt>
                <c:pt idx="90">
                  <c:v>43606</c:v>
                </c:pt>
                <c:pt idx="91">
                  <c:v>43607</c:v>
                </c:pt>
                <c:pt idx="92">
                  <c:v>43608</c:v>
                </c:pt>
                <c:pt idx="93">
                  <c:v>43609</c:v>
                </c:pt>
                <c:pt idx="94">
                  <c:v>43612</c:v>
                </c:pt>
                <c:pt idx="95">
                  <c:v>43614</c:v>
                </c:pt>
                <c:pt idx="96">
                  <c:v>43615</c:v>
                </c:pt>
                <c:pt idx="97">
                  <c:v>43616</c:v>
                </c:pt>
                <c:pt idx="98">
                  <c:v>43619</c:v>
                </c:pt>
                <c:pt idx="99">
                  <c:v>43620</c:v>
                </c:pt>
                <c:pt idx="100">
                  <c:v>43621</c:v>
                </c:pt>
                <c:pt idx="101">
                  <c:v>43622</c:v>
                </c:pt>
                <c:pt idx="102">
                  <c:v>43623</c:v>
                </c:pt>
                <c:pt idx="103">
                  <c:v>43626</c:v>
                </c:pt>
                <c:pt idx="104">
                  <c:v>43627</c:v>
                </c:pt>
                <c:pt idx="105">
                  <c:v>43628</c:v>
                </c:pt>
                <c:pt idx="106">
                  <c:v>43629</c:v>
                </c:pt>
                <c:pt idx="107">
                  <c:v>43630</c:v>
                </c:pt>
                <c:pt idx="108">
                  <c:v>43633</c:v>
                </c:pt>
                <c:pt idx="109">
                  <c:v>43634</c:v>
                </c:pt>
                <c:pt idx="110">
                  <c:v>43635</c:v>
                </c:pt>
                <c:pt idx="111">
                  <c:v>43636</c:v>
                </c:pt>
                <c:pt idx="112">
                  <c:v>43637</c:v>
                </c:pt>
                <c:pt idx="113">
                  <c:v>43640</c:v>
                </c:pt>
                <c:pt idx="114">
                  <c:v>43641</c:v>
                </c:pt>
                <c:pt idx="115">
                  <c:v>43642</c:v>
                </c:pt>
                <c:pt idx="116">
                  <c:v>43643</c:v>
                </c:pt>
                <c:pt idx="117">
                  <c:v>43644</c:v>
                </c:pt>
                <c:pt idx="118">
                  <c:v>43647</c:v>
                </c:pt>
                <c:pt idx="119">
                  <c:v>43648</c:v>
                </c:pt>
                <c:pt idx="120">
                  <c:v>43649</c:v>
                </c:pt>
                <c:pt idx="121">
                  <c:v>43650</c:v>
                </c:pt>
                <c:pt idx="122">
                  <c:v>43654</c:v>
                </c:pt>
                <c:pt idx="123">
                  <c:v>43655</c:v>
                </c:pt>
                <c:pt idx="124">
                  <c:v>43656</c:v>
                </c:pt>
                <c:pt idx="125">
                  <c:v>43657</c:v>
                </c:pt>
                <c:pt idx="126">
                  <c:v>43658</c:v>
                </c:pt>
                <c:pt idx="127">
                  <c:v>43661</c:v>
                </c:pt>
                <c:pt idx="128">
                  <c:v>43662</c:v>
                </c:pt>
                <c:pt idx="129">
                  <c:v>43663</c:v>
                </c:pt>
                <c:pt idx="130">
                  <c:v>43664</c:v>
                </c:pt>
                <c:pt idx="131">
                  <c:v>43665</c:v>
                </c:pt>
                <c:pt idx="132">
                  <c:v>43668</c:v>
                </c:pt>
                <c:pt idx="133">
                  <c:v>43669</c:v>
                </c:pt>
                <c:pt idx="134">
                  <c:v>43670</c:v>
                </c:pt>
                <c:pt idx="135">
                  <c:v>43671</c:v>
                </c:pt>
                <c:pt idx="136">
                  <c:v>43672</c:v>
                </c:pt>
                <c:pt idx="137">
                  <c:v>43675</c:v>
                </c:pt>
                <c:pt idx="138">
                  <c:v>43676</c:v>
                </c:pt>
                <c:pt idx="139">
                  <c:v>43677</c:v>
                </c:pt>
                <c:pt idx="140">
                  <c:v>43678</c:v>
                </c:pt>
                <c:pt idx="141">
                  <c:v>43679</c:v>
                </c:pt>
                <c:pt idx="142">
                  <c:v>43682</c:v>
                </c:pt>
                <c:pt idx="143">
                  <c:v>43683</c:v>
                </c:pt>
                <c:pt idx="144">
                  <c:v>43684</c:v>
                </c:pt>
                <c:pt idx="145">
                  <c:v>43685</c:v>
                </c:pt>
                <c:pt idx="146">
                  <c:v>43686</c:v>
                </c:pt>
                <c:pt idx="147">
                  <c:v>43689</c:v>
                </c:pt>
                <c:pt idx="148">
                  <c:v>43690</c:v>
                </c:pt>
                <c:pt idx="149">
                  <c:v>43691</c:v>
                </c:pt>
                <c:pt idx="150">
                  <c:v>43692</c:v>
                </c:pt>
                <c:pt idx="151">
                  <c:v>43693</c:v>
                </c:pt>
                <c:pt idx="152">
                  <c:v>43696</c:v>
                </c:pt>
                <c:pt idx="153">
                  <c:v>43697</c:v>
                </c:pt>
                <c:pt idx="154">
                  <c:v>43698</c:v>
                </c:pt>
                <c:pt idx="155">
                  <c:v>43699</c:v>
                </c:pt>
                <c:pt idx="156">
                  <c:v>43700</c:v>
                </c:pt>
                <c:pt idx="157">
                  <c:v>43703</c:v>
                </c:pt>
                <c:pt idx="158">
                  <c:v>43704</c:v>
                </c:pt>
                <c:pt idx="159">
                  <c:v>43705</c:v>
                </c:pt>
                <c:pt idx="160">
                  <c:v>43706</c:v>
                </c:pt>
                <c:pt idx="161">
                  <c:v>43707</c:v>
                </c:pt>
                <c:pt idx="162">
                  <c:v>43710</c:v>
                </c:pt>
                <c:pt idx="163">
                  <c:v>43711</c:v>
                </c:pt>
                <c:pt idx="164">
                  <c:v>43712</c:v>
                </c:pt>
                <c:pt idx="165">
                  <c:v>43713</c:v>
                </c:pt>
                <c:pt idx="166">
                  <c:v>43714</c:v>
                </c:pt>
                <c:pt idx="167">
                  <c:v>43717</c:v>
                </c:pt>
                <c:pt idx="168">
                  <c:v>43718</c:v>
                </c:pt>
                <c:pt idx="169">
                  <c:v>43719</c:v>
                </c:pt>
                <c:pt idx="170">
                  <c:v>43720</c:v>
                </c:pt>
                <c:pt idx="171">
                  <c:v>43721</c:v>
                </c:pt>
                <c:pt idx="172">
                  <c:v>43724</c:v>
                </c:pt>
                <c:pt idx="173">
                  <c:v>43725</c:v>
                </c:pt>
                <c:pt idx="174">
                  <c:v>43726</c:v>
                </c:pt>
                <c:pt idx="175">
                  <c:v>43727</c:v>
                </c:pt>
                <c:pt idx="176">
                  <c:v>43728</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43763</c:v>
                </c:pt>
                <c:pt idx="202">
                  <c:v>43766</c:v>
                </c:pt>
                <c:pt idx="203">
                  <c:v>43767</c:v>
                </c:pt>
                <c:pt idx="204">
                  <c:v>43768</c:v>
                </c:pt>
                <c:pt idx="205">
                  <c:v>43769</c:v>
                </c:pt>
                <c:pt idx="206">
                  <c:v>43770</c:v>
                </c:pt>
                <c:pt idx="207">
                  <c:v>43773</c:v>
                </c:pt>
                <c:pt idx="208">
                  <c:v>43774</c:v>
                </c:pt>
                <c:pt idx="209">
                  <c:v>43775</c:v>
                </c:pt>
                <c:pt idx="210">
                  <c:v>43776</c:v>
                </c:pt>
                <c:pt idx="211">
                  <c:v>43777</c:v>
                </c:pt>
                <c:pt idx="212">
                  <c:v>43780</c:v>
                </c:pt>
                <c:pt idx="213">
                  <c:v>43781</c:v>
                </c:pt>
                <c:pt idx="214">
                  <c:v>43782</c:v>
                </c:pt>
                <c:pt idx="215">
                  <c:v>43783</c:v>
                </c:pt>
                <c:pt idx="216">
                  <c:v>43784</c:v>
                </c:pt>
                <c:pt idx="217">
                  <c:v>43787</c:v>
                </c:pt>
                <c:pt idx="218">
                  <c:v>43788</c:v>
                </c:pt>
                <c:pt idx="219">
                  <c:v>43789</c:v>
                </c:pt>
                <c:pt idx="220">
                  <c:v>43790</c:v>
                </c:pt>
                <c:pt idx="221">
                  <c:v>43791</c:v>
                </c:pt>
                <c:pt idx="222">
                  <c:v>43794</c:v>
                </c:pt>
                <c:pt idx="223">
                  <c:v>43795</c:v>
                </c:pt>
                <c:pt idx="224">
                  <c:v>43796</c:v>
                </c:pt>
                <c:pt idx="225">
                  <c:v>43797</c:v>
                </c:pt>
                <c:pt idx="226">
                  <c:v>43798</c:v>
                </c:pt>
                <c:pt idx="227">
                  <c:v>43801</c:v>
                </c:pt>
                <c:pt idx="228">
                  <c:v>43802</c:v>
                </c:pt>
                <c:pt idx="229">
                  <c:v>43803</c:v>
                </c:pt>
                <c:pt idx="230">
                  <c:v>43804</c:v>
                </c:pt>
                <c:pt idx="231">
                  <c:v>43805</c:v>
                </c:pt>
                <c:pt idx="232">
                  <c:v>43808</c:v>
                </c:pt>
                <c:pt idx="233">
                  <c:v>43809</c:v>
                </c:pt>
                <c:pt idx="234">
                  <c:v>43810</c:v>
                </c:pt>
                <c:pt idx="235">
                  <c:v>43811</c:v>
                </c:pt>
                <c:pt idx="236">
                  <c:v>43812</c:v>
                </c:pt>
                <c:pt idx="237">
                  <c:v>43815</c:v>
                </c:pt>
                <c:pt idx="238">
                  <c:v>43816</c:v>
                </c:pt>
                <c:pt idx="239">
                  <c:v>43817</c:v>
                </c:pt>
                <c:pt idx="240">
                  <c:v>43818</c:v>
                </c:pt>
                <c:pt idx="241">
                  <c:v>43819</c:v>
                </c:pt>
                <c:pt idx="242">
                  <c:v>43822</c:v>
                </c:pt>
                <c:pt idx="243">
                  <c:v>43823</c:v>
                </c:pt>
                <c:pt idx="244">
                  <c:v>43825</c:v>
                </c:pt>
                <c:pt idx="245">
                  <c:v>43826</c:v>
                </c:pt>
                <c:pt idx="246">
                  <c:v>43829</c:v>
                </c:pt>
                <c:pt idx="247">
                  <c:v>43838</c:v>
                </c:pt>
                <c:pt idx="248">
                  <c:v>43839</c:v>
                </c:pt>
                <c:pt idx="249">
                  <c:v>43840</c:v>
                </c:pt>
                <c:pt idx="250">
                  <c:v>43843</c:v>
                </c:pt>
                <c:pt idx="251">
                  <c:v>43844</c:v>
                </c:pt>
                <c:pt idx="252">
                  <c:v>43845</c:v>
                </c:pt>
                <c:pt idx="253">
                  <c:v>43846</c:v>
                </c:pt>
                <c:pt idx="254">
                  <c:v>43847</c:v>
                </c:pt>
                <c:pt idx="255">
                  <c:v>43850</c:v>
                </c:pt>
                <c:pt idx="256">
                  <c:v>43851</c:v>
                </c:pt>
                <c:pt idx="257">
                  <c:v>43852</c:v>
                </c:pt>
                <c:pt idx="258">
                  <c:v>43853</c:v>
                </c:pt>
                <c:pt idx="259">
                  <c:v>43854</c:v>
                </c:pt>
                <c:pt idx="260">
                  <c:v>43859</c:v>
                </c:pt>
                <c:pt idx="261">
                  <c:v>43860</c:v>
                </c:pt>
                <c:pt idx="262">
                  <c:v>43861</c:v>
                </c:pt>
                <c:pt idx="263">
                  <c:v>43864</c:v>
                </c:pt>
                <c:pt idx="264">
                  <c:v>43865</c:v>
                </c:pt>
                <c:pt idx="265">
                  <c:v>43866</c:v>
                </c:pt>
                <c:pt idx="266">
                  <c:v>43867</c:v>
                </c:pt>
                <c:pt idx="267">
                  <c:v>43868</c:v>
                </c:pt>
                <c:pt idx="268">
                  <c:v>43871</c:v>
                </c:pt>
                <c:pt idx="269">
                  <c:v>43872</c:v>
                </c:pt>
                <c:pt idx="270">
                  <c:v>43873</c:v>
                </c:pt>
                <c:pt idx="271">
                  <c:v>43874</c:v>
                </c:pt>
                <c:pt idx="272">
                  <c:v>43875</c:v>
                </c:pt>
                <c:pt idx="273">
                  <c:v>43878</c:v>
                </c:pt>
                <c:pt idx="274">
                  <c:v>43879</c:v>
                </c:pt>
                <c:pt idx="275">
                  <c:v>43880</c:v>
                </c:pt>
                <c:pt idx="276">
                  <c:v>43881</c:v>
                </c:pt>
                <c:pt idx="277">
                  <c:v>43882</c:v>
                </c:pt>
                <c:pt idx="278">
                  <c:v>43885</c:v>
                </c:pt>
                <c:pt idx="279">
                  <c:v>43886</c:v>
                </c:pt>
                <c:pt idx="280">
                  <c:v>43887</c:v>
                </c:pt>
                <c:pt idx="281">
                  <c:v>43888</c:v>
                </c:pt>
                <c:pt idx="282">
                  <c:v>43889</c:v>
                </c:pt>
                <c:pt idx="283">
                  <c:v>43892</c:v>
                </c:pt>
                <c:pt idx="284">
                  <c:v>43893</c:v>
                </c:pt>
                <c:pt idx="285">
                  <c:v>43894</c:v>
                </c:pt>
                <c:pt idx="286">
                  <c:v>43895</c:v>
                </c:pt>
                <c:pt idx="287">
                  <c:v>43896</c:v>
                </c:pt>
                <c:pt idx="288">
                  <c:v>43899</c:v>
                </c:pt>
                <c:pt idx="289">
                  <c:v>43900</c:v>
                </c:pt>
                <c:pt idx="290">
                  <c:v>43901</c:v>
                </c:pt>
                <c:pt idx="291">
                  <c:v>43902</c:v>
                </c:pt>
                <c:pt idx="292">
                  <c:v>43903</c:v>
                </c:pt>
                <c:pt idx="293">
                  <c:v>43906</c:v>
                </c:pt>
                <c:pt idx="294">
                  <c:v>43907</c:v>
                </c:pt>
                <c:pt idx="295">
                  <c:v>43908</c:v>
                </c:pt>
                <c:pt idx="296">
                  <c:v>43909</c:v>
                </c:pt>
                <c:pt idx="297">
                  <c:v>43910</c:v>
                </c:pt>
                <c:pt idx="298">
                  <c:v>43913</c:v>
                </c:pt>
                <c:pt idx="299">
                  <c:v>43914</c:v>
                </c:pt>
                <c:pt idx="300">
                  <c:v>43915</c:v>
                </c:pt>
                <c:pt idx="301">
                  <c:v>43916</c:v>
                </c:pt>
                <c:pt idx="302">
                  <c:v>43917</c:v>
                </c:pt>
                <c:pt idx="303">
                  <c:v>43920</c:v>
                </c:pt>
                <c:pt idx="304">
                  <c:v>43921</c:v>
                </c:pt>
                <c:pt idx="305">
                  <c:v>43922</c:v>
                </c:pt>
                <c:pt idx="306">
                  <c:v>43923</c:v>
                </c:pt>
                <c:pt idx="307">
                  <c:v>43924</c:v>
                </c:pt>
                <c:pt idx="308">
                  <c:v>43927</c:v>
                </c:pt>
                <c:pt idx="309">
                  <c:v>43928</c:v>
                </c:pt>
                <c:pt idx="310">
                  <c:v>43929</c:v>
                </c:pt>
                <c:pt idx="311">
                  <c:v>43930</c:v>
                </c:pt>
                <c:pt idx="312">
                  <c:v>43934</c:v>
                </c:pt>
                <c:pt idx="313">
                  <c:v>43935</c:v>
                </c:pt>
                <c:pt idx="314">
                  <c:v>43936</c:v>
                </c:pt>
                <c:pt idx="315">
                  <c:v>43937</c:v>
                </c:pt>
                <c:pt idx="316">
                  <c:v>43938</c:v>
                </c:pt>
                <c:pt idx="317">
                  <c:v>43941</c:v>
                </c:pt>
                <c:pt idx="318">
                  <c:v>43942</c:v>
                </c:pt>
                <c:pt idx="319">
                  <c:v>43943</c:v>
                </c:pt>
                <c:pt idx="320">
                  <c:v>43944</c:v>
                </c:pt>
                <c:pt idx="321">
                  <c:v>43948</c:v>
                </c:pt>
                <c:pt idx="322">
                  <c:v>43949</c:v>
                </c:pt>
                <c:pt idx="323">
                  <c:v>43950</c:v>
                </c:pt>
                <c:pt idx="324">
                  <c:v>43951</c:v>
                </c:pt>
                <c:pt idx="325">
                  <c:v>43955</c:v>
                </c:pt>
                <c:pt idx="326">
                  <c:v>43956</c:v>
                </c:pt>
                <c:pt idx="327">
                  <c:v>43957</c:v>
                </c:pt>
                <c:pt idx="328">
                  <c:v>43958</c:v>
                </c:pt>
                <c:pt idx="329">
                  <c:v>43959</c:v>
                </c:pt>
                <c:pt idx="330">
                  <c:v>43962</c:v>
                </c:pt>
                <c:pt idx="331">
                  <c:v>43963</c:v>
                </c:pt>
                <c:pt idx="332">
                  <c:v>43964</c:v>
                </c:pt>
                <c:pt idx="333">
                  <c:v>43965</c:v>
                </c:pt>
                <c:pt idx="334">
                  <c:v>43966</c:v>
                </c:pt>
                <c:pt idx="335">
                  <c:v>43969</c:v>
                </c:pt>
                <c:pt idx="336">
                  <c:v>43970</c:v>
                </c:pt>
                <c:pt idx="337">
                  <c:v>43971</c:v>
                </c:pt>
                <c:pt idx="338">
                  <c:v>43972</c:v>
                </c:pt>
                <c:pt idx="339">
                  <c:v>43973</c:v>
                </c:pt>
                <c:pt idx="340">
                  <c:v>43976</c:v>
                </c:pt>
                <c:pt idx="341">
                  <c:v>43977</c:v>
                </c:pt>
                <c:pt idx="342">
                  <c:v>43978</c:v>
                </c:pt>
                <c:pt idx="343">
                  <c:v>43983</c:v>
                </c:pt>
                <c:pt idx="344">
                  <c:v>43984</c:v>
                </c:pt>
                <c:pt idx="345">
                  <c:v>43985</c:v>
                </c:pt>
                <c:pt idx="346">
                  <c:v>43986</c:v>
                </c:pt>
                <c:pt idx="347">
                  <c:v>43987</c:v>
                </c:pt>
                <c:pt idx="348">
                  <c:v>43990</c:v>
                </c:pt>
                <c:pt idx="349">
                  <c:v>43991</c:v>
                </c:pt>
                <c:pt idx="350">
                  <c:v>43992</c:v>
                </c:pt>
                <c:pt idx="351">
                  <c:v>43993</c:v>
                </c:pt>
                <c:pt idx="352">
                  <c:v>43994</c:v>
                </c:pt>
                <c:pt idx="353">
                  <c:v>43997</c:v>
                </c:pt>
                <c:pt idx="354">
                  <c:v>43998</c:v>
                </c:pt>
                <c:pt idx="355">
                  <c:v>43999</c:v>
                </c:pt>
                <c:pt idx="356">
                  <c:v>44000</c:v>
                </c:pt>
                <c:pt idx="357">
                  <c:v>44001</c:v>
                </c:pt>
                <c:pt idx="358">
                  <c:v>44004</c:v>
                </c:pt>
                <c:pt idx="359">
                  <c:v>44005</c:v>
                </c:pt>
                <c:pt idx="360">
                  <c:v>44006</c:v>
                </c:pt>
                <c:pt idx="361">
                  <c:v>44007</c:v>
                </c:pt>
                <c:pt idx="362">
                  <c:v>44008</c:v>
                </c:pt>
                <c:pt idx="363">
                  <c:v>44011</c:v>
                </c:pt>
                <c:pt idx="364">
                  <c:v>44012</c:v>
                </c:pt>
                <c:pt idx="365">
                  <c:v>44013</c:v>
                </c:pt>
                <c:pt idx="366">
                  <c:v>44014</c:v>
                </c:pt>
                <c:pt idx="367">
                  <c:v>44015</c:v>
                </c:pt>
                <c:pt idx="368">
                  <c:v>44018</c:v>
                </c:pt>
                <c:pt idx="369">
                  <c:v>44019</c:v>
                </c:pt>
                <c:pt idx="370">
                  <c:v>44020</c:v>
                </c:pt>
                <c:pt idx="371">
                  <c:v>44021</c:v>
                </c:pt>
                <c:pt idx="372">
                  <c:v>44022</c:v>
                </c:pt>
                <c:pt idx="373">
                  <c:v>44025</c:v>
                </c:pt>
                <c:pt idx="374">
                  <c:v>44026</c:v>
                </c:pt>
                <c:pt idx="375">
                  <c:v>44027</c:v>
                </c:pt>
                <c:pt idx="376">
                  <c:v>44028</c:v>
                </c:pt>
                <c:pt idx="377">
                  <c:v>44029</c:v>
                </c:pt>
                <c:pt idx="378">
                  <c:v>44032</c:v>
                </c:pt>
                <c:pt idx="379">
                  <c:v>44033</c:v>
                </c:pt>
                <c:pt idx="380">
                  <c:v>44034</c:v>
                </c:pt>
                <c:pt idx="381">
                  <c:v>44035</c:v>
                </c:pt>
                <c:pt idx="382">
                  <c:v>44036</c:v>
                </c:pt>
                <c:pt idx="383">
                  <c:v>44039</c:v>
                </c:pt>
                <c:pt idx="384">
                  <c:v>44040</c:v>
                </c:pt>
                <c:pt idx="385">
                  <c:v>44041</c:v>
                </c:pt>
                <c:pt idx="386">
                  <c:v>44042</c:v>
                </c:pt>
                <c:pt idx="387">
                  <c:v>44043</c:v>
                </c:pt>
                <c:pt idx="388">
                  <c:v>44046</c:v>
                </c:pt>
                <c:pt idx="389">
                  <c:v>44047</c:v>
                </c:pt>
                <c:pt idx="390">
                  <c:v>44048</c:v>
                </c:pt>
                <c:pt idx="391">
                  <c:v>44049</c:v>
                </c:pt>
                <c:pt idx="392">
                  <c:v>44050</c:v>
                </c:pt>
                <c:pt idx="393">
                  <c:v>44053</c:v>
                </c:pt>
                <c:pt idx="394">
                  <c:v>44054</c:v>
                </c:pt>
                <c:pt idx="395">
                  <c:v>44055</c:v>
                </c:pt>
                <c:pt idx="396">
                  <c:v>44056</c:v>
                </c:pt>
                <c:pt idx="397">
                  <c:v>44057</c:v>
                </c:pt>
                <c:pt idx="398">
                  <c:v>44060</c:v>
                </c:pt>
                <c:pt idx="399">
                  <c:v>44061</c:v>
                </c:pt>
                <c:pt idx="400">
                  <c:v>44062</c:v>
                </c:pt>
                <c:pt idx="401">
                  <c:v>44063</c:v>
                </c:pt>
                <c:pt idx="402">
                  <c:v>44064</c:v>
                </c:pt>
                <c:pt idx="403">
                  <c:v>44067</c:v>
                </c:pt>
                <c:pt idx="404">
                  <c:v>44068</c:v>
                </c:pt>
                <c:pt idx="405">
                  <c:v>44069</c:v>
                </c:pt>
                <c:pt idx="406">
                  <c:v>44070</c:v>
                </c:pt>
                <c:pt idx="407">
                  <c:v>44071</c:v>
                </c:pt>
                <c:pt idx="408">
                  <c:v>44074</c:v>
                </c:pt>
                <c:pt idx="409">
                  <c:v>44075</c:v>
                </c:pt>
                <c:pt idx="410">
                  <c:v>44076</c:v>
                </c:pt>
                <c:pt idx="411">
                  <c:v>44077</c:v>
                </c:pt>
                <c:pt idx="412">
                  <c:v>44078</c:v>
                </c:pt>
                <c:pt idx="413">
                  <c:v>44081</c:v>
                </c:pt>
                <c:pt idx="414">
                  <c:v>44082</c:v>
                </c:pt>
                <c:pt idx="415">
                  <c:v>44083</c:v>
                </c:pt>
                <c:pt idx="416">
                  <c:v>44084</c:v>
                </c:pt>
                <c:pt idx="417">
                  <c:v>44085</c:v>
                </c:pt>
                <c:pt idx="418">
                  <c:v>44088</c:v>
                </c:pt>
                <c:pt idx="419">
                  <c:v>44089</c:v>
                </c:pt>
                <c:pt idx="420">
                  <c:v>44090</c:v>
                </c:pt>
                <c:pt idx="421">
                  <c:v>44091</c:v>
                </c:pt>
                <c:pt idx="422">
                  <c:v>44092</c:v>
                </c:pt>
                <c:pt idx="423">
                  <c:v>44096</c:v>
                </c:pt>
                <c:pt idx="424">
                  <c:v>44097</c:v>
                </c:pt>
                <c:pt idx="425">
                  <c:v>44098</c:v>
                </c:pt>
                <c:pt idx="426">
                  <c:v>44099</c:v>
                </c:pt>
                <c:pt idx="427">
                  <c:v>44102</c:v>
                </c:pt>
                <c:pt idx="428">
                  <c:v>44103</c:v>
                </c:pt>
                <c:pt idx="429">
                  <c:v>44104</c:v>
                </c:pt>
                <c:pt idx="430">
                  <c:v>44105</c:v>
                </c:pt>
                <c:pt idx="431">
                  <c:v>44106</c:v>
                </c:pt>
                <c:pt idx="432">
                  <c:v>44109</c:v>
                </c:pt>
                <c:pt idx="433">
                  <c:v>44110</c:v>
                </c:pt>
                <c:pt idx="434">
                  <c:v>44111</c:v>
                </c:pt>
                <c:pt idx="435">
                  <c:v>44112</c:v>
                </c:pt>
                <c:pt idx="436">
                  <c:v>44113</c:v>
                </c:pt>
                <c:pt idx="437">
                  <c:v>44116</c:v>
                </c:pt>
                <c:pt idx="438">
                  <c:v>44117</c:v>
                </c:pt>
                <c:pt idx="439">
                  <c:v>44118</c:v>
                </c:pt>
                <c:pt idx="440">
                  <c:v>44119</c:v>
                </c:pt>
                <c:pt idx="441">
                  <c:v>44120</c:v>
                </c:pt>
                <c:pt idx="442">
                  <c:v>44123</c:v>
                </c:pt>
                <c:pt idx="443">
                  <c:v>44124</c:v>
                </c:pt>
                <c:pt idx="444">
                  <c:v>44125</c:v>
                </c:pt>
                <c:pt idx="445">
                  <c:v>44126</c:v>
                </c:pt>
                <c:pt idx="446">
                  <c:v>44127</c:v>
                </c:pt>
                <c:pt idx="447">
                  <c:v>44130</c:v>
                </c:pt>
                <c:pt idx="448">
                  <c:v>44131</c:v>
                </c:pt>
                <c:pt idx="449">
                  <c:v>44132</c:v>
                </c:pt>
                <c:pt idx="450">
                  <c:v>44133</c:v>
                </c:pt>
                <c:pt idx="451">
                  <c:v>44134</c:v>
                </c:pt>
                <c:pt idx="452">
                  <c:v>44137</c:v>
                </c:pt>
                <c:pt idx="453">
                  <c:v>44138</c:v>
                </c:pt>
                <c:pt idx="454">
                  <c:v>44139</c:v>
                </c:pt>
                <c:pt idx="455">
                  <c:v>44140</c:v>
                </c:pt>
                <c:pt idx="456">
                  <c:v>44141</c:v>
                </c:pt>
                <c:pt idx="457">
                  <c:v>44144</c:v>
                </c:pt>
                <c:pt idx="458">
                  <c:v>44145</c:v>
                </c:pt>
                <c:pt idx="459">
                  <c:v>44146</c:v>
                </c:pt>
                <c:pt idx="460">
                  <c:v>44147</c:v>
                </c:pt>
                <c:pt idx="461">
                  <c:v>44148</c:v>
                </c:pt>
                <c:pt idx="462">
                  <c:v>44151</c:v>
                </c:pt>
                <c:pt idx="463">
                  <c:v>44152</c:v>
                </c:pt>
                <c:pt idx="464">
                  <c:v>44153</c:v>
                </c:pt>
                <c:pt idx="465">
                  <c:v>44154</c:v>
                </c:pt>
                <c:pt idx="466">
                  <c:v>44155</c:v>
                </c:pt>
                <c:pt idx="467">
                  <c:v>44158</c:v>
                </c:pt>
                <c:pt idx="468">
                  <c:v>44159</c:v>
                </c:pt>
                <c:pt idx="469">
                  <c:v>44160</c:v>
                </c:pt>
                <c:pt idx="470">
                  <c:v>44161</c:v>
                </c:pt>
                <c:pt idx="471">
                  <c:v>44162</c:v>
                </c:pt>
                <c:pt idx="472">
                  <c:v>44165</c:v>
                </c:pt>
                <c:pt idx="473">
                  <c:v>44166</c:v>
                </c:pt>
                <c:pt idx="474">
                  <c:v>44167</c:v>
                </c:pt>
                <c:pt idx="475">
                  <c:v>44168</c:v>
                </c:pt>
                <c:pt idx="476">
                  <c:v>44169</c:v>
                </c:pt>
                <c:pt idx="477">
                  <c:v>44172</c:v>
                </c:pt>
                <c:pt idx="478">
                  <c:v>44173</c:v>
                </c:pt>
                <c:pt idx="479">
                  <c:v>44174</c:v>
                </c:pt>
                <c:pt idx="480">
                  <c:v>44175</c:v>
                </c:pt>
                <c:pt idx="481">
                  <c:v>44176</c:v>
                </c:pt>
                <c:pt idx="482">
                  <c:v>44179</c:v>
                </c:pt>
                <c:pt idx="483">
                  <c:v>44180</c:v>
                </c:pt>
                <c:pt idx="484">
                  <c:v>44181</c:v>
                </c:pt>
                <c:pt idx="485">
                  <c:v>44182</c:v>
                </c:pt>
                <c:pt idx="486">
                  <c:v>44183</c:v>
                </c:pt>
                <c:pt idx="487">
                  <c:v>44186</c:v>
                </c:pt>
                <c:pt idx="488">
                  <c:v>44187</c:v>
                </c:pt>
                <c:pt idx="489">
                  <c:v>44188</c:v>
                </c:pt>
                <c:pt idx="490">
                  <c:v>44189</c:v>
                </c:pt>
                <c:pt idx="491">
                  <c:v>44193</c:v>
                </c:pt>
                <c:pt idx="492">
                  <c:v>44194</c:v>
                </c:pt>
                <c:pt idx="493">
                  <c:v>44195</c:v>
                </c:pt>
                <c:pt idx="494">
                  <c:v>44196</c:v>
                </c:pt>
                <c:pt idx="495">
                  <c:v>44204</c:v>
                </c:pt>
                <c:pt idx="496">
                  <c:v>44207</c:v>
                </c:pt>
                <c:pt idx="497">
                  <c:v>44208</c:v>
                </c:pt>
                <c:pt idx="498">
                  <c:v>44209</c:v>
                </c:pt>
                <c:pt idx="499">
                  <c:v>44210</c:v>
                </c:pt>
                <c:pt idx="500">
                  <c:v>44211</c:v>
                </c:pt>
                <c:pt idx="501">
                  <c:v>44214</c:v>
                </c:pt>
                <c:pt idx="502">
                  <c:v>44215</c:v>
                </c:pt>
                <c:pt idx="503">
                  <c:v>44216</c:v>
                </c:pt>
                <c:pt idx="504">
                  <c:v>44217</c:v>
                </c:pt>
                <c:pt idx="505">
                  <c:v>44218</c:v>
                </c:pt>
                <c:pt idx="506">
                  <c:v>44221</c:v>
                </c:pt>
                <c:pt idx="507">
                  <c:v>44222</c:v>
                </c:pt>
                <c:pt idx="508">
                  <c:v>44223</c:v>
                </c:pt>
                <c:pt idx="509">
                  <c:v>44225</c:v>
                </c:pt>
                <c:pt idx="510">
                  <c:v>44228</c:v>
                </c:pt>
                <c:pt idx="511">
                  <c:v>44229</c:v>
                </c:pt>
                <c:pt idx="512">
                  <c:v>44230</c:v>
                </c:pt>
                <c:pt idx="513">
                  <c:v>44231</c:v>
                </c:pt>
                <c:pt idx="514">
                  <c:v>44232</c:v>
                </c:pt>
                <c:pt idx="515">
                  <c:v>44235</c:v>
                </c:pt>
                <c:pt idx="516">
                  <c:v>44236</c:v>
                </c:pt>
                <c:pt idx="517">
                  <c:v>44237</c:v>
                </c:pt>
                <c:pt idx="518">
                  <c:v>44238</c:v>
                </c:pt>
                <c:pt idx="519">
                  <c:v>44239</c:v>
                </c:pt>
                <c:pt idx="520">
                  <c:v>44242</c:v>
                </c:pt>
                <c:pt idx="521">
                  <c:v>44243</c:v>
                </c:pt>
                <c:pt idx="522">
                  <c:v>44244</c:v>
                </c:pt>
                <c:pt idx="523">
                  <c:v>44245</c:v>
                </c:pt>
                <c:pt idx="524">
                  <c:v>44246</c:v>
                </c:pt>
                <c:pt idx="525">
                  <c:v>44249</c:v>
                </c:pt>
                <c:pt idx="526">
                  <c:v>44250</c:v>
                </c:pt>
                <c:pt idx="527">
                  <c:v>44251</c:v>
                </c:pt>
                <c:pt idx="528">
                  <c:v>44252</c:v>
                </c:pt>
                <c:pt idx="529">
                  <c:v>44253</c:v>
                </c:pt>
                <c:pt idx="530">
                  <c:v>44256</c:v>
                </c:pt>
                <c:pt idx="531">
                  <c:v>44257</c:v>
                </c:pt>
                <c:pt idx="532">
                  <c:v>44258</c:v>
                </c:pt>
                <c:pt idx="533">
                  <c:v>44259</c:v>
                </c:pt>
                <c:pt idx="534">
                  <c:v>44260</c:v>
                </c:pt>
                <c:pt idx="535">
                  <c:v>44264</c:v>
                </c:pt>
                <c:pt idx="536">
                  <c:v>44265</c:v>
                </c:pt>
                <c:pt idx="537">
                  <c:v>44266</c:v>
                </c:pt>
                <c:pt idx="538">
                  <c:v>44267</c:v>
                </c:pt>
                <c:pt idx="539">
                  <c:v>44270</c:v>
                </c:pt>
                <c:pt idx="540">
                  <c:v>44271</c:v>
                </c:pt>
                <c:pt idx="541">
                  <c:v>44272</c:v>
                </c:pt>
                <c:pt idx="542">
                  <c:v>44273</c:v>
                </c:pt>
                <c:pt idx="543">
                  <c:v>44274</c:v>
                </c:pt>
                <c:pt idx="544">
                  <c:v>44277</c:v>
                </c:pt>
                <c:pt idx="545">
                  <c:v>44278</c:v>
                </c:pt>
                <c:pt idx="546">
                  <c:v>44279</c:v>
                </c:pt>
                <c:pt idx="547">
                  <c:v>44280</c:v>
                </c:pt>
                <c:pt idx="548">
                  <c:v>44281</c:v>
                </c:pt>
                <c:pt idx="549">
                  <c:v>44284</c:v>
                </c:pt>
                <c:pt idx="550">
                  <c:v>44285</c:v>
                </c:pt>
                <c:pt idx="551">
                  <c:v>44286</c:v>
                </c:pt>
                <c:pt idx="552">
                  <c:v>44287</c:v>
                </c:pt>
                <c:pt idx="553">
                  <c:v>44288</c:v>
                </c:pt>
                <c:pt idx="554">
                  <c:v>44291</c:v>
                </c:pt>
                <c:pt idx="555">
                  <c:v>44292</c:v>
                </c:pt>
                <c:pt idx="556">
                  <c:v>44293</c:v>
                </c:pt>
                <c:pt idx="557">
                  <c:v>44294</c:v>
                </c:pt>
                <c:pt idx="558">
                  <c:v>44295</c:v>
                </c:pt>
                <c:pt idx="559">
                  <c:v>44298</c:v>
                </c:pt>
                <c:pt idx="560">
                  <c:v>44299</c:v>
                </c:pt>
                <c:pt idx="561">
                  <c:v>44300</c:v>
                </c:pt>
                <c:pt idx="562">
                  <c:v>44301</c:v>
                </c:pt>
                <c:pt idx="563">
                  <c:v>44302</c:v>
                </c:pt>
                <c:pt idx="564">
                  <c:v>44305</c:v>
                </c:pt>
                <c:pt idx="565">
                  <c:v>44306</c:v>
                </c:pt>
                <c:pt idx="566">
                  <c:v>44307</c:v>
                </c:pt>
                <c:pt idx="567">
                  <c:v>44308</c:v>
                </c:pt>
                <c:pt idx="568">
                  <c:v>44309</c:v>
                </c:pt>
                <c:pt idx="569">
                  <c:v>44312</c:v>
                </c:pt>
                <c:pt idx="570">
                  <c:v>44313</c:v>
                </c:pt>
                <c:pt idx="571">
                  <c:v>44314</c:v>
                </c:pt>
                <c:pt idx="572">
                  <c:v>44315</c:v>
                </c:pt>
                <c:pt idx="573">
                  <c:v>44316</c:v>
                </c:pt>
                <c:pt idx="574">
                  <c:v>44319</c:v>
                </c:pt>
                <c:pt idx="575">
                  <c:v>44320</c:v>
                </c:pt>
                <c:pt idx="576">
                  <c:v>44321</c:v>
                </c:pt>
                <c:pt idx="577">
                  <c:v>44322</c:v>
                </c:pt>
                <c:pt idx="578">
                  <c:v>44323</c:v>
                </c:pt>
                <c:pt idx="579">
                  <c:v>44326</c:v>
                </c:pt>
                <c:pt idx="580">
                  <c:v>44327</c:v>
                </c:pt>
                <c:pt idx="581">
                  <c:v>44328</c:v>
                </c:pt>
                <c:pt idx="582">
                  <c:v>44329</c:v>
                </c:pt>
                <c:pt idx="583">
                  <c:v>44330</c:v>
                </c:pt>
                <c:pt idx="584">
                  <c:v>44333</c:v>
                </c:pt>
                <c:pt idx="585">
                  <c:v>44334</c:v>
                </c:pt>
                <c:pt idx="586">
                  <c:v>44335</c:v>
                </c:pt>
                <c:pt idx="587">
                  <c:v>44336</c:v>
                </c:pt>
                <c:pt idx="588">
                  <c:v>44341</c:v>
                </c:pt>
                <c:pt idx="589" formatCode="d\-mmm\-yy">
                  <c:v>44342</c:v>
                </c:pt>
                <c:pt idx="590" formatCode="d\-mmm\-yy">
                  <c:v>44343</c:v>
                </c:pt>
                <c:pt idx="591" formatCode="d\-mmm\-yy">
                  <c:v>44347</c:v>
                </c:pt>
                <c:pt idx="592" formatCode="d\-mmm\-yy">
                  <c:v>44348</c:v>
                </c:pt>
                <c:pt idx="593" formatCode="d\-mmm\-yy">
                  <c:v>44349</c:v>
                </c:pt>
                <c:pt idx="594" formatCode="d\-mmm\-yy">
                  <c:v>44350</c:v>
                </c:pt>
                <c:pt idx="595" formatCode="d\-mmm\-yy">
                  <c:v>44351</c:v>
                </c:pt>
                <c:pt idx="596" formatCode="d\-mmm\-yy">
                  <c:v>44354</c:v>
                </c:pt>
                <c:pt idx="597" formatCode="d\-mmm\-yy">
                  <c:v>44355</c:v>
                </c:pt>
                <c:pt idx="598" formatCode="d\-mmm\-yy">
                  <c:v>44356</c:v>
                </c:pt>
                <c:pt idx="599" formatCode="d\-mmm\-yy">
                  <c:v>44357</c:v>
                </c:pt>
                <c:pt idx="600" formatCode="d\-mmm\-yy">
                  <c:v>44358</c:v>
                </c:pt>
                <c:pt idx="601" formatCode="d\-mmm\-yy">
                  <c:v>44361</c:v>
                </c:pt>
                <c:pt idx="602" formatCode="d\-mmm\-yy">
                  <c:v>44362</c:v>
                </c:pt>
                <c:pt idx="603" formatCode="d\-mmm\-yy">
                  <c:v>44363</c:v>
                </c:pt>
                <c:pt idx="604" formatCode="d\-mmm\-yy">
                  <c:v>44364</c:v>
                </c:pt>
                <c:pt idx="605" formatCode="d\-mmm\-yy">
                  <c:v>44365</c:v>
                </c:pt>
                <c:pt idx="606" formatCode="d\-mmm\-yy">
                  <c:v>44368</c:v>
                </c:pt>
                <c:pt idx="607" formatCode="d\-mmm\-yy">
                  <c:v>44369</c:v>
                </c:pt>
                <c:pt idx="608" formatCode="d\-mmm\-yy">
                  <c:v>44370</c:v>
                </c:pt>
                <c:pt idx="609" formatCode="d\-mmm\-yy">
                  <c:v>44371</c:v>
                </c:pt>
                <c:pt idx="610" formatCode="d\-mmm\-yy">
                  <c:v>44372</c:v>
                </c:pt>
                <c:pt idx="611" formatCode="d\-mmm\-yy">
                  <c:v>44375</c:v>
                </c:pt>
                <c:pt idx="612" formatCode="d\-mmm\-yy">
                  <c:v>44376</c:v>
                </c:pt>
                <c:pt idx="613" formatCode="d\-mmm\-yy">
                  <c:v>44377</c:v>
                </c:pt>
                <c:pt idx="614" formatCode="d\-mmm\-yy">
                  <c:v>44378</c:v>
                </c:pt>
                <c:pt idx="615" formatCode="d\-mmm\-yy">
                  <c:v>44379</c:v>
                </c:pt>
                <c:pt idx="616" formatCode="d\-mmm\-yy">
                  <c:v>44383</c:v>
                </c:pt>
                <c:pt idx="617" formatCode="d\-mmm\-yy">
                  <c:v>44384</c:v>
                </c:pt>
                <c:pt idx="618" formatCode="d\-mmm\-yy">
                  <c:v>44385</c:v>
                </c:pt>
                <c:pt idx="619" formatCode="d\-mmm\-yy">
                  <c:v>44386</c:v>
                </c:pt>
                <c:pt idx="620" formatCode="d\-mmm\-yy">
                  <c:v>44389</c:v>
                </c:pt>
              </c:numCache>
            </c:numRef>
          </c:cat>
          <c:val>
            <c:numRef>
              <c:f>Sheet1!$B$2:$B$622</c:f>
              <c:numCache>
                <c:formatCode>0</c:formatCode>
                <c:ptCount val="621"/>
                <c:pt idx="0">
                  <c:v>100</c:v>
                </c:pt>
                <c:pt idx="1">
                  <c:v>100</c:v>
                </c:pt>
                <c:pt idx="2">
                  <c:v>99</c:v>
                </c:pt>
                <c:pt idx="3">
                  <c:v>99</c:v>
                </c:pt>
                <c:pt idx="4">
                  <c:v>99</c:v>
                </c:pt>
                <c:pt idx="5">
                  <c:v>100</c:v>
                </c:pt>
                <c:pt idx="6">
                  <c:v>99</c:v>
                </c:pt>
                <c:pt idx="7">
                  <c:v>99</c:v>
                </c:pt>
                <c:pt idx="8">
                  <c:v>99</c:v>
                </c:pt>
                <c:pt idx="9">
                  <c:v>100</c:v>
                </c:pt>
                <c:pt idx="10">
                  <c:v>100</c:v>
                </c:pt>
                <c:pt idx="11">
                  <c:v>99</c:v>
                </c:pt>
                <c:pt idx="12">
                  <c:v>99</c:v>
                </c:pt>
                <c:pt idx="13">
                  <c:v>99</c:v>
                </c:pt>
                <c:pt idx="14">
                  <c:v>99</c:v>
                </c:pt>
                <c:pt idx="15">
                  <c:v>98</c:v>
                </c:pt>
                <c:pt idx="16">
                  <c:v>98</c:v>
                </c:pt>
                <c:pt idx="17">
                  <c:v>98</c:v>
                </c:pt>
                <c:pt idx="18">
                  <c:v>98</c:v>
                </c:pt>
                <c:pt idx="19">
                  <c:v>98</c:v>
                </c:pt>
                <c:pt idx="20">
                  <c:v>99</c:v>
                </c:pt>
                <c:pt idx="21">
                  <c:v>99</c:v>
                </c:pt>
                <c:pt idx="22">
                  <c:v>99</c:v>
                </c:pt>
                <c:pt idx="23">
                  <c:v>99</c:v>
                </c:pt>
                <c:pt idx="24">
                  <c:v>99</c:v>
                </c:pt>
                <c:pt idx="25">
                  <c:v>100</c:v>
                </c:pt>
                <c:pt idx="26">
                  <c:v>100</c:v>
                </c:pt>
                <c:pt idx="27">
                  <c:v>99</c:v>
                </c:pt>
                <c:pt idx="28">
                  <c:v>100</c:v>
                </c:pt>
                <c:pt idx="29">
                  <c:v>99</c:v>
                </c:pt>
                <c:pt idx="30">
                  <c:v>99</c:v>
                </c:pt>
                <c:pt idx="31">
                  <c:v>99</c:v>
                </c:pt>
                <c:pt idx="32">
                  <c:v>99</c:v>
                </c:pt>
                <c:pt idx="33">
                  <c:v>99</c:v>
                </c:pt>
                <c:pt idx="34">
                  <c:v>99</c:v>
                </c:pt>
                <c:pt idx="35">
                  <c:v>99</c:v>
                </c:pt>
                <c:pt idx="36">
                  <c:v>99</c:v>
                </c:pt>
                <c:pt idx="37">
                  <c:v>99</c:v>
                </c:pt>
                <c:pt idx="38">
                  <c:v>99</c:v>
                </c:pt>
                <c:pt idx="39">
                  <c:v>99</c:v>
                </c:pt>
                <c:pt idx="40">
                  <c:v>100</c:v>
                </c:pt>
                <c:pt idx="41">
                  <c:v>101</c:v>
                </c:pt>
                <c:pt idx="42">
                  <c:v>100</c:v>
                </c:pt>
                <c:pt idx="43">
                  <c:v>100</c:v>
                </c:pt>
                <c:pt idx="44">
                  <c:v>100</c:v>
                </c:pt>
                <c:pt idx="45">
                  <c:v>100</c:v>
                </c:pt>
                <c:pt idx="46">
                  <c:v>99</c:v>
                </c:pt>
                <c:pt idx="47">
                  <c:v>99</c:v>
                </c:pt>
                <c:pt idx="48">
                  <c:v>99</c:v>
                </c:pt>
                <c:pt idx="49">
                  <c:v>98</c:v>
                </c:pt>
                <c:pt idx="50">
                  <c:v>99</c:v>
                </c:pt>
                <c:pt idx="51">
                  <c:v>100</c:v>
                </c:pt>
                <c:pt idx="52">
                  <c:v>100</c:v>
                </c:pt>
                <c:pt idx="53">
                  <c:v>100</c:v>
                </c:pt>
                <c:pt idx="54">
                  <c:v>100</c:v>
                </c:pt>
                <c:pt idx="55">
                  <c:v>101</c:v>
                </c:pt>
                <c:pt idx="56">
                  <c:v>101</c:v>
                </c:pt>
                <c:pt idx="57">
                  <c:v>100</c:v>
                </c:pt>
                <c:pt idx="58">
                  <c:v>100</c:v>
                </c:pt>
                <c:pt idx="59">
                  <c:v>100</c:v>
                </c:pt>
                <c:pt idx="60">
                  <c:v>100</c:v>
                </c:pt>
                <c:pt idx="61">
                  <c:v>100</c:v>
                </c:pt>
                <c:pt idx="62">
                  <c:v>100</c:v>
                </c:pt>
                <c:pt idx="63">
                  <c:v>100</c:v>
                </c:pt>
                <c:pt idx="64">
                  <c:v>99</c:v>
                </c:pt>
                <c:pt idx="65">
                  <c:v>100</c:v>
                </c:pt>
                <c:pt idx="66">
                  <c:v>100</c:v>
                </c:pt>
                <c:pt idx="67">
                  <c:v>100</c:v>
                </c:pt>
                <c:pt idx="68">
                  <c:v>100</c:v>
                </c:pt>
                <c:pt idx="69">
                  <c:v>100</c:v>
                </c:pt>
                <c:pt idx="70">
                  <c:v>100</c:v>
                </c:pt>
                <c:pt idx="71">
                  <c:v>100</c:v>
                </c:pt>
                <c:pt idx="72">
                  <c:v>100</c:v>
                </c:pt>
                <c:pt idx="73">
                  <c:v>100</c:v>
                </c:pt>
                <c:pt idx="74">
                  <c:v>101</c:v>
                </c:pt>
                <c:pt idx="75">
                  <c:v>101</c:v>
                </c:pt>
                <c:pt idx="76">
                  <c:v>101</c:v>
                </c:pt>
                <c:pt idx="77">
                  <c:v>101</c:v>
                </c:pt>
                <c:pt idx="78">
                  <c:v>101</c:v>
                </c:pt>
                <c:pt idx="79">
                  <c:v>101</c:v>
                </c:pt>
                <c:pt idx="80">
                  <c:v>101</c:v>
                </c:pt>
                <c:pt idx="81">
                  <c:v>102</c:v>
                </c:pt>
                <c:pt idx="82">
                  <c:v>102</c:v>
                </c:pt>
                <c:pt idx="83">
                  <c:v>102</c:v>
                </c:pt>
                <c:pt idx="84">
                  <c:v>102</c:v>
                </c:pt>
                <c:pt idx="85">
                  <c:v>102</c:v>
                </c:pt>
                <c:pt idx="86">
                  <c:v>102</c:v>
                </c:pt>
                <c:pt idx="87">
                  <c:v>102</c:v>
                </c:pt>
                <c:pt idx="88">
                  <c:v>103</c:v>
                </c:pt>
                <c:pt idx="89">
                  <c:v>103</c:v>
                </c:pt>
                <c:pt idx="90">
                  <c:v>102</c:v>
                </c:pt>
                <c:pt idx="91">
                  <c:v>102</c:v>
                </c:pt>
                <c:pt idx="92">
                  <c:v>103</c:v>
                </c:pt>
                <c:pt idx="93">
                  <c:v>102</c:v>
                </c:pt>
                <c:pt idx="94">
                  <c:v>102</c:v>
                </c:pt>
                <c:pt idx="95">
                  <c:v>103</c:v>
                </c:pt>
                <c:pt idx="96">
                  <c:v>103</c:v>
                </c:pt>
                <c:pt idx="97">
                  <c:v>102</c:v>
                </c:pt>
                <c:pt idx="98">
                  <c:v>102</c:v>
                </c:pt>
                <c:pt idx="99">
                  <c:v>102</c:v>
                </c:pt>
                <c:pt idx="100">
                  <c:v>102</c:v>
                </c:pt>
                <c:pt idx="101">
                  <c:v>102</c:v>
                </c:pt>
                <c:pt idx="102">
                  <c:v>102</c:v>
                </c:pt>
                <c:pt idx="103">
                  <c:v>102</c:v>
                </c:pt>
                <c:pt idx="104">
                  <c:v>101</c:v>
                </c:pt>
                <c:pt idx="105">
                  <c:v>102</c:v>
                </c:pt>
                <c:pt idx="106">
                  <c:v>102</c:v>
                </c:pt>
                <c:pt idx="107">
                  <c:v>102</c:v>
                </c:pt>
                <c:pt idx="108">
                  <c:v>102</c:v>
                </c:pt>
                <c:pt idx="109">
                  <c:v>101</c:v>
                </c:pt>
                <c:pt idx="110">
                  <c:v>101</c:v>
                </c:pt>
                <c:pt idx="111">
                  <c:v>100</c:v>
                </c:pt>
                <c:pt idx="112">
                  <c:v>101</c:v>
                </c:pt>
                <c:pt idx="113">
                  <c:v>100</c:v>
                </c:pt>
                <c:pt idx="114">
                  <c:v>101</c:v>
                </c:pt>
                <c:pt idx="115">
                  <c:v>100</c:v>
                </c:pt>
                <c:pt idx="116">
                  <c:v>100</c:v>
                </c:pt>
                <c:pt idx="117">
                  <c:v>100</c:v>
                </c:pt>
                <c:pt idx="118">
                  <c:v>100</c:v>
                </c:pt>
                <c:pt idx="119">
                  <c:v>100</c:v>
                </c:pt>
                <c:pt idx="120">
                  <c:v>100</c:v>
                </c:pt>
                <c:pt idx="121">
                  <c:v>100</c:v>
                </c:pt>
                <c:pt idx="122">
                  <c:v>100</c:v>
                </c:pt>
                <c:pt idx="123">
                  <c:v>101</c:v>
                </c:pt>
                <c:pt idx="124">
                  <c:v>100</c:v>
                </c:pt>
                <c:pt idx="125">
                  <c:v>100</c:v>
                </c:pt>
                <c:pt idx="126">
                  <c:v>100</c:v>
                </c:pt>
                <c:pt idx="127">
                  <c:v>100</c:v>
                </c:pt>
                <c:pt idx="128">
                  <c:v>100</c:v>
                </c:pt>
                <c:pt idx="129">
                  <c:v>100</c:v>
                </c:pt>
                <c:pt idx="130">
                  <c:v>100</c:v>
                </c:pt>
                <c:pt idx="131">
                  <c:v>100</c:v>
                </c:pt>
                <c:pt idx="132">
                  <c:v>100</c:v>
                </c:pt>
                <c:pt idx="133">
                  <c:v>100</c:v>
                </c:pt>
                <c:pt idx="134">
                  <c:v>100</c:v>
                </c:pt>
                <c:pt idx="135">
                  <c:v>101</c:v>
                </c:pt>
                <c:pt idx="136">
                  <c:v>101</c:v>
                </c:pt>
                <c:pt idx="137">
                  <c:v>101</c:v>
                </c:pt>
                <c:pt idx="138">
                  <c:v>101</c:v>
                </c:pt>
                <c:pt idx="139">
                  <c:v>101</c:v>
                </c:pt>
                <c:pt idx="140">
                  <c:v>102</c:v>
                </c:pt>
                <c:pt idx="141">
                  <c:v>102</c:v>
                </c:pt>
                <c:pt idx="142">
                  <c:v>103</c:v>
                </c:pt>
                <c:pt idx="143">
                  <c:v>103</c:v>
                </c:pt>
                <c:pt idx="144">
                  <c:v>103</c:v>
                </c:pt>
                <c:pt idx="145">
                  <c:v>102</c:v>
                </c:pt>
                <c:pt idx="146">
                  <c:v>103</c:v>
                </c:pt>
                <c:pt idx="147">
                  <c:v>103</c:v>
                </c:pt>
                <c:pt idx="148">
                  <c:v>103</c:v>
                </c:pt>
                <c:pt idx="149">
                  <c:v>104</c:v>
                </c:pt>
                <c:pt idx="150">
                  <c:v>103</c:v>
                </c:pt>
                <c:pt idx="151">
                  <c:v>103</c:v>
                </c:pt>
                <c:pt idx="152">
                  <c:v>104</c:v>
                </c:pt>
                <c:pt idx="153">
                  <c:v>104</c:v>
                </c:pt>
                <c:pt idx="154">
                  <c:v>104</c:v>
                </c:pt>
                <c:pt idx="155">
                  <c:v>104</c:v>
                </c:pt>
                <c:pt idx="156">
                  <c:v>105</c:v>
                </c:pt>
                <c:pt idx="157">
                  <c:v>105</c:v>
                </c:pt>
                <c:pt idx="158">
                  <c:v>105</c:v>
                </c:pt>
                <c:pt idx="159">
                  <c:v>105</c:v>
                </c:pt>
                <c:pt idx="160">
                  <c:v>105</c:v>
                </c:pt>
                <c:pt idx="161">
                  <c:v>105</c:v>
                </c:pt>
                <c:pt idx="162">
                  <c:v>106</c:v>
                </c:pt>
                <c:pt idx="163">
                  <c:v>105</c:v>
                </c:pt>
                <c:pt idx="164">
                  <c:v>104</c:v>
                </c:pt>
                <c:pt idx="165">
                  <c:v>104</c:v>
                </c:pt>
                <c:pt idx="166">
                  <c:v>104</c:v>
                </c:pt>
                <c:pt idx="167">
                  <c:v>104</c:v>
                </c:pt>
                <c:pt idx="168">
                  <c:v>104</c:v>
                </c:pt>
                <c:pt idx="169">
                  <c:v>104</c:v>
                </c:pt>
                <c:pt idx="170">
                  <c:v>103</c:v>
                </c:pt>
                <c:pt idx="171">
                  <c:v>103</c:v>
                </c:pt>
                <c:pt idx="172">
                  <c:v>103</c:v>
                </c:pt>
                <c:pt idx="173">
                  <c:v>103</c:v>
                </c:pt>
                <c:pt idx="174">
                  <c:v>104</c:v>
                </c:pt>
                <c:pt idx="175">
                  <c:v>104</c:v>
                </c:pt>
                <c:pt idx="176">
                  <c:v>104</c:v>
                </c:pt>
                <c:pt idx="177">
                  <c:v>104</c:v>
                </c:pt>
                <c:pt idx="178">
                  <c:v>104</c:v>
                </c:pt>
                <c:pt idx="179">
                  <c:v>104</c:v>
                </c:pt>
                <c:pt idx="180">
                  <c:v>104</c:v>
                </c:pt>
                <c:pt idx="181">
                  <c:v>104</c:v>
                </c:pt>
                <c:pt idx="182">
                  <c:v>105</c:v>
                </c:pt>
                <c:pt idx="183">
                  <c:v>105</c:v>
                </c:pt>
                <c:pt idx="184">
                  <c:v>105</c:v>
                </c:pt>
                <c:pt idx="185">
                  <c:v>104</c:v>
                </c:pt>
                <c:pt idx="186">
                  <c:v>104</c:v>
                </c:pt>
                <c:pt idx="187">
                  <c:v>104</c:v>
                </c:pt>
                <c:pt idx="188">
                  <c:v>105</c:v>
                </c:pt>
                <c:pt idx="189">
                  <c:v>104</c:v>
                </c:pt>
                <c:pt idx="190">
                  <c:v>104</c:v>
                </c:pt>
                <c:pt idx="191">
                  <c:v>104</c:v>
                </c:pt>
                <c:pt idx="192">
                  <c:v>104</c:v>
                </c:pt>
                <c:pt idx="193">
                  <c:v>104</c:v>
                </c:pt>
                <c:pt idx="194">
                  <c:v>104</c:v>
                </c:pt>
                <c:pt idx="195">
                  <c:v>103</c:v>
                </c:pt>
                <c:pt idx="196">
                  <c:v>103</c:v>
                </c:pt>
                <c:pt idx="197">
                  <c:v>103</c:v>
                </c:pt>
                <c:pt idx="198">
                  <c:v>103</c:v>
                </c:pt>
                <c:pt idx="199">
                  <c:v>103</c:v>
                </c:pt>
                <c:pt idx="200">
                  <c:v>103</c:v>
                </c:pt>
                <c:pt idx="201">
                  <c:v>103</c:v>
                </c:pt>
                <c:pt idx="202">
                  <c:v>103</c:v>
                </c:pt>
                <c:pt idx="203">
                  <c:v>103</c:v>
                </c:pt>
                <c:pt idx="204">
                  <c:v>103</c:v>
                </c:pt>
                <c:pt idx="205">
                  <c:v>103</c:v>
                </c:pt>
                <c:pt idx="206">
                  <c:v>103</c:v>
                </c:pt>
                <c:pt idx="207">
                  <c:v>103</c:v>
                </c:pt>
                <c:pt idx="208">
                  <c:v>103</c:v>
                </c:pt>
                <c:pt idx="209">
                  <c:v>103</c:v>
                </c:pt>
                <c:pt idx="210">
                  <c:v>103</c:v>
                </c:pt>
                <c:pt idx="211">
                  <c:v>104</c:v>
                </c:pt>
                <c:pt idx="212">
                  <c:v>104</c:v>
                </c:pt>
                <c:pt idx="213">
                  <c:v>105</c:v>
                </c:pt>
                <c:pt idx="214">
                  <c:v>105</c:v>
                </c:pt>
                <c:pt idx="215">
                  <c:v>105</c:v>
                </c:pt>
                <c:pt idx="216">
                  <c:v>104</c:v>
                </c:pt>
                <c:pt idx="217">
                  <c:v>105</c:v>
                </c:pt>
                <c:pt idx="218">
                  <c:v>105</c:v>
                </c:pt>
                <c:pt idx="219">
                  <c:v>105</c:v>
                </c:pt>
                <c:pt idx="220">
                  <c:v>105</c:v>
                </c:pt>
                <c:pt idx="221">
                  <c:v>105</c:v>
                </c:pt>
                <c:pt idx="222">
                  <c:v>105</c:v>
                </c:pt>
                <c:pt idx="223">
                  <c:v>105</c:v>
                </c:pt>
                <c:pt idx="224">
                  <c:v>106</c:v>
                </c:pt>
                <c:pt idx="225">
                  <c:v>106</c:v>
                </c:pt>
                <c:pt idx="226">
                  <c:v>105</c:v>
                </c:pt>
                <c:pt idx="227">
                  <c:v>105</c:v>
                </c:pt>
                <c:pt idx="228">
                  <c:v>105</c:v>
                </c:pt>
                <c:pt idx="229">
                  <c:v>105</c:v>
                </c:pt>
                <c:pt idx="230">
                  <c:v>104</c:v>
                </c:pt>
                <c:pt idx="231">
                  <c:v>104</c:v>
                </c:pt>
                <c:pt idx="232">
                  <c:v>104</c:v>
                </c:pt>
                <c:pt idx="233">
                  <c:v>104</c:v>
                </c:pt>
                <c:pt idx="234">
                  <c:v>104</c:v>
                </c:pt>
                <c:pt idx="235">
                  <c:v>103</c:v>
                </c:pt>
                <c:pt idx="236">
                  <c:v>103</c:v>
                </c:pt>
                <c:pt idx="237">
                  <c:v>103</c:v>
                </c:pt>
                <c:pt idx="238">
                  <c:v>103</c:v>
                </c:pt>
                <c:pt idx="239">
                  <c:v>103</c:v>
                </c:pt>
                <c:pt idx="240">
                  <c:v>103</c:v>
                </c:pt>
                <c:pt idx="241">
                  <c:v>103</c:v>
                </c:pt>
                <c:pt idx="242">
                  <c:v>103</c:v>
                </c:pt>
                <c:pt idx="243">
                  <c:v>103</c:v>
                </c:pt>
                <c:pt idx="244">
                  <c:v>103</c:v>
                </c:pt>
                <c:pt idx="245">
                  <c:v>103</c:v>
                </c:pt>
                <c:pt idx="246">
                  <c:v>103</c:v>
                </c:pt>
                <c:pt idx="247">
                  <c:v>103</c:v>
                </c:pt>
                <c:pt idx="248">
                  <c:v>103</c:v>
                </c:pt>
                <c:pt idx="249">
                  <c:v>103</c:v>
                </c:pt>
                <c:pt idx="250">
                  <c:v>103</c:v>
                </c:pt>
                <c:pt idx="251">
                  <c:v>103</c:v>
                </c:pt>
                <c:pt idx="252">
                  <c:v>103</c:v>
                </c:pt>
                <c:pt idx="253">
                  <c:v>103</c:v>
                </c:pt>
                <c:pt idx="254">
                  <c:v>103</c:v>
                </c:pt>
                <c:pt idx="255">
                  <c:v>103</c:v>
                </c:pt>
                <c:pt idx="256">
                  <c:v>104</c:v>
                </c:pt>
                <c:pt idx="257">
                  <c:v>103</c:v>
                </c:pt>
                <c:pt idx="258">
                  <c:v>104</c:v>
                </c:pt>
                <c:pt idx="259">
                  <c:v>104</c:v>
                </c:pt>
                <c:pt idx="260">
                  <c:v>105</c:v>
                </c:pt>
                <c:pt idx="261">
                  <c:v>105</c:v>
                </c:pt>
                <c:pt idx="262">
                  <c:v>105</c:v>
                </c:pt>
                <c:pt idx="263">
                  <c:v>105</c:v>
                </c:pt>
                <c:pt idx="264">
                  <c:v>105</c:v>
                </c:pt>
                <c:pt idx="265">
                  <c:v>105</c:v>
                </c:pt>
                <c:pt idx="266">
                  <c:v>106</c:v>
                </c:pt>
                <c:pt idx="267">
                  <c:v>106</c:v>
                </c:pt>
                <c:pt idx="268">
                  <c:v>105</c:v>
                </c:pt>
                <c:pt idx="269">
                  <c:v>106</c:v>
                </c:pt>
                <c:pt idx="270">
                  <c:v>106</c:v>
                </c:pt>
                <c:pt idx="271">
                  <c:v>105</c:v>
                </c:pt>
                <c:pt idx="272">
                  <c:v>106</c:v>
                </c:pt>
                <c:pt idx="273">
                  <c:v>106</c:v>
                </c:pt>
                <c:pt idx="274">
                  <c:v>106</c:v>
                </c:pt>
                <c:pt idx="275">
                  <c:v>107</c:v>
                </c:pt>
                <c:pt idx="276">
                  <c:v>107</c:v>
                </c:pt>
                <c:pt idx="277">
                  <c:v>107</c:v>
                </c:pt>
                <c:pt idx="278">
                  <c:v>107</c:v>
                </c:pt>
                <c:pt idx="279">
                  <c:v>108</c:v>
                </c:pt>
                <c:pt idx="280">
                  <c:v>108</c:v>
                </c:pt>
                <c:pt idx="281">
                  <c:v>108</c:v>
                </c:pt>
                <c:pt idx="282">
                  <c:v>108</c:v>
                </c:pt>
                <c:pt idx="283">
                  <c:v>107</c:v>
                </c:pt>
                <c:pt idx="284">
                  <c:v>108</c:v>
                </c:pt>
                <c:pt idx="285">
                  <c:v>109</c:v>
                </c:pt>
                <c:pt idx="286">
                  <c:v>109</c:v>
                </c:pt>
                <c:pt idx="287">
                  <c:v>111</c:v>
                </c:pt>
                <c:pt idx="288">
                  <c:v>110</c:v>
                </c:pt>
                <c:pt idx="289">
                  <c:v>112</c:v>
                </c:pt>
                <c:pt idx="290">
                  <c:v>113</c:v>
                </c:pt>
                <c:pt idx="291">
                  <c:v>113</c:v>
                </c:pt>
                <c:pt idx="292">
                  <c:v>114</c:v>
                </c:pt>
                <c:pt idx="293">
                  <c:v>115</c:v>
                </c:pt>
                <c:pt idx="294">
                  <c:v>119</c:v>
                </c:pt>
                <c:pt idx="295">
                  <c:v>118</c:v>
                </c:pt>
                <c:pt idx="296">
                  <c:v>118</c:v>
                </c:pt>
                <c:pt idx="297">
                  <c:v>119</c:v>
                </c:pt>
                <c:pt idx="298">
                  <c:v>118</c:v>
                </c:pt>
                <c:pt idx="299">
                  <c:v>117</c:v>
                </c:pt>
                <c:pt idx="300">
                  <c:v>116</c:v>
                </c:pt>
                <c:pt idx="301">
                  <c:v>117</c:v>
                </c:pt>
                <c:pt idx="302">
                  <c:v>118</c:v>
                </c:pt>
                <c:pt idx="303">
                  <c:v>118</c:v>
                </c:pt>
                <c:pt idx="304">
                  <c:v>119</c:v>
                </c:pt>
                <c:pt idx="305">
                  <c:v>119</c:v>
                </c:pt>
                <c:pt idx="306">
                  <c:v>120</c:v>
                </c:pt>
                <c:pt idx="307">
                  <c:v>119</c:v>
                </c:pt>
                <c:pt idx="308">
                  <c:v>119</c:v>
                </c:pt>
                <c:pt idx="309">
                  <c:v>118</c:v>
                </c:pt>
                <c:pt idx="310">
                  <c:v>117</c:v>
                </c:pt>
                <c:pt idx="311">
                  <c:v>117</c:v>
                </c:pt>
                <c:pt idx="312">
                  <c:v>117</c:v>
                </c:pt>
                <c:pt idx="313">
                  <c:v>119</c:v>
                </c:pt>
                <c:pt idx="314">
                  <c:v>118</c:v>
                </c:pt>
                <c:pt idx="315">
                  <c:v>118</c:v>
                </c:pt>
                <c:pt idx="316">
                  <c:v>119</c:v>
                </c:pt>
                <c:pt idx="317">
                  <c:v>120</c:v>
                </c:pt>
                <c:pt idx="318">
                  <c:v>120</c:v>
                </c:pt>
                <c:pt idx="319">
                  <c:v>120</c:v>
                </c:pt>
                <c:pt idx="320">
                  <c:v>120</c:v>
                </c:pt>
                <c:pt idx="321">
                  <c:v>119</c:v>
                </c:pt>
                <c:pt idx="322">
                  <c:v>118</c:v>
                </c:pt>
                <c:pt idx="323">
                  <c:v>119</c:v>
                </c:pt>
                <c:pt idx="324">
                  <c:v>119</c:v>
                </c:pt>
                <c:pt idx="325">
                  <c:v>119</c:v>
                </c:pt>
                <c:pt idx="326">
                  <c:v>119</c:v>
                </c:pt>
                <c:pt idx="327">
                  <c:v>120</c:v>
                </c:pt>
                <c:pt idx="328">
                  <c:v>120</c:v>
                </c:pt>
                <c:pt idx="329">
                  <c:v>119</c:v>
                </c:pt>
                <c:pt idx="330">
                  <c:v>119</c:v>
                </c:pt>
                <c:pt idx="331">
                  <c:v>119</c:v>
                </c:pt>
                <c:pt idx="332">
                  <c:v>120</c:v>
                </c:pt>
                <c:pt idx="333">
                  <c:v>119</c:v>
                </c:pt>
                <c:pt idx="334">
                  <c:v>120</c:v>
                </c:pt>
                <c:pt idx="335">
                  <c:v>118</c:v>
                </c:pt>
                <c:pt idx="336">
                  <c:v>118</c:v>
                </c:pt>
                <c:pt idx="337">
                  <c:v>117</c:v>
                </c:pt>
                <c:pt idx="338">
                  <c:v>117</c:v>
                </c:pt>
                <c:pt idx="339">
                  <c:v>117</c:v>
                </c:pt>
                <c:pt idx="340">
                  <c:v>115</c:v>
                </c:pt>
                <c:pt idx="341">
                  <c:v>116</c:v>
                </c:pt>
                <c:pt idx="342">
                  <c:v>115</c:v>
                </c:pt>
                <c:pt idx="343">
                  <c:v>113</c:v>
                </c:pt>
                <c:pt idx="344">
                  <c:v>113</c:v>
                </c:pt>
                <c:pt idx="345">
                  <c:v>113</c:v>
                </c:pt>
                <c:pt idx="346">
                  <c:v>112</c:v>
                </c:pt>
                <c:pt idx="347">
                  <c:v>112</c:v>
                </c:pt>
                <c:pt idx="348">
                  <c:v>112</c:v>
                </c:pt>
                <c:pt idx="349">
                  <c:v>112</c:v>
                </c:pt>
                <c:pt idx="350">
                  <c:v>114</c:v>
                </c:pt>
                <c:pt idx="351">
                  <c:v>114</c:v>
                </c:pt>
                <c:pt idx="352">
                  <c:v>113</c:v>
                </c:pt>
                <c:pt idx="353">
                  <c:v>114</c:v>
                </c:pt>
                <c:pt idx="354">
                  <c:v>114</c:v>
                </c:pt>
                <c:pt idx="355">
                  <c:v>115</c:v>
                </c:pt>
                <c:pt idx="356">
                  <c:v>115</c:v>
                </c:pt>
                <c:pt idx="357">
                  <c:v>115</c:v>
                </c:pt>
                <c:pt idx="358">
                  <c:v>114</c:v>
                </c:pt>
                <c:pt idx="359">
                  <c:v>115</c:v>
                </c:pt>
                <c:pt idx="360">
                  <c:v>115</c:v>
                </c:pt>
                <c:pt idx="361">
                  <c:v>116</c:v>
                </c:pt>
                <c:pt idx="362">
                  <c:v>116</c:v>
                </c:pt>
                <c:pt idx="363">
                  <c:v>116</c:v>
                </c:pt>
                <c:pt idx="364">
                  <c:v>115</c:v>
                </c:pt>
                <c:pt idx="365">
                  <c:v>115</c:v>
                </c:pt>
                <c:pt idx="366">
                  <c:v>115</c:v>
                </c:pt>
                <c:pt idx="367">
                  <c:v>115</c:v>
                </c:pt>
                <c:pt idx="368">
                  <c:v>115</c:v>
                </c:pt>
                <c:pt idx="369">
                  <c:v>115</c:v>
                </c:pt>
                <c:pt idx="370">
                  <c:v>115</c:v>
                </c:pt>
                <c:pt idx="371">
                  <c:v>114</c:v>
                </c:pt>
                <c:pt idx="372">
                  <c:v>115</c:v>
                </c:pt>
                <c:pt idx="373">
                  <c:v>114</c:v>
                </c:pt>
                <c:pt idx="374">
                  <c:v>114</c:v>
                </c:pt>
                <c:pt idx="375">
                  <c:v>114</c:v>
                </c:pt>
                <c:pt idx="376">
                  <c:v>114</c:v>
                </c:pt>
                <c:pt idx="377">
                  <c:v>114</c:v>
                </c:pt>
                <c:pt idx="378">
                  <c:v>113</c:v>
                </c:pt>
                <c:pt idx="379">
                  <c:v>113</c:v>
                </c:pt>
                <c:pt idx="380">
                  <c:v>113</c:v>
                </c:pt>
                <c:pt idx="381">
                  <c:v>113</c:v>
                </c:pt>
                <c:pt idx="382">
                  <c:v>113</c:v>
                </c:pt>
                <c:pt idx="383">
                  <c:v>113</c:v>
                </c:pt>
                <c:pt idx="384">
                  <c:v>113</c:v>
                </c:pt>
                <c:pt idx="385">
                  <c:v>113</c:v>
                </c:pt>
                <c:pt idx="386">
                  <c:v>113</c:v>
                </c:pt>
                <c:pt idx="387">
                  <c:v>114</c:v>
                </c:pt>
                <c:pt idx="388">
                  <c:v>114</c:v>
                </c:pt>
                <c:pt idx="389">
                  <c:v>114</c:v>
                </c:pt>
                <c:pt idx="390">
                  <c:v>115</c:v>
                </c:pt>
                <c:pt idx="391">
                  <c:v>115</c:v>
                </c:pt>
                <c:pt idx="392">
                  <c:v>115</c:v>
                </c:pt>
                <c:pt idx="393">
                  <c:v>116</c:v>
                </c:pt>
                <c:pt idx="394">
                  <c:v>116</c:v>
                </c:pt>
                <c:pt idx="395">
                  <c:v>116</c:v>
                </c:pt>
                <c:pt idx="396">
                  <c:v>116</c:v>
                </c:pt>
                <c:pt idx="397">
                  <c:v>116</c:v>
                </c:pt>
                <c:pt idx="398">
                  <c:v>116</c:v>
                </c:pt>
                <c:pt idx="399">
                  <c:v>116</c:v>
                </c:pt>
                <c:pt idx="400">
                  <c:v>116</c:v>
                </c:pt>
                <c:pt idx="401">
                  <c:v>116</c:v>
                </c:pt>
                <c:pt idx="402">
                  <c:v>116</c:v>
                </c:pt>
                <c:pt idx="403">
                  <c:v>116</c:v>
                </c:pt>
                <c:pt idx="404">
                  <c:v>116</c:v>
                </c:pt>
                <c:pt idx="405">
                  <c:v>116</c:v>
                </c:pt>
                <c:pt idx="406">
                  <c:v>118</c:v>
                </c:pt>
                <c:pt idx="407">
                  <c:v>117</c:v>
                </c:pt>
                <c:pt idx="408">
                  <c:v>118</c:v>
                </c:pt>
                <c:pt idx="409">
                  <c:v>117</c:v>
                </c:pt>
                <c:pt idx="410">
                  <c:v>117</c:v>
                </c:pt>
                <c:pt idx="411">
                  <c:v>117</c:v>
                </c:pt>
                <c:pt idx="412">
                  <c:v>117</c:v>
                </c:pt>
                <c:pt idx="413">
                  <c:v>116</c:v>
                </c:pt>
                <c:pt idx="414">
                  <c:v>118</c:v>
                </c:pt>
                <c:pt idx="415">
                  <c:v>117</c:v>
                </c:pt>
                <c:pt idx="416">
                  <c:v>117</c:v>
                </c:pt>
                <c:pt idx="417">
                  <c:v>118</c:v>
                </c:pt>
                <c:pt idx="418">
                  <c:v>118</c:v>
                </c:pt>
                <c:pt idx="419">
                  <c:v>118</c:v>
                </c:pt>
                <c:pt idx="420">
                  <c:v>118</c:v>
                </c:pt>
                <c:pt idx="421">
                  <c:v>118</c:v>
                </c:pt>
                <c:pt idx="422">
                  <c:v>116</c:v>
                </c:pt>
                <c:pt idx="423">
                  <c:v>115</c:v>
                </c:pt>
                <c:pt idx="424">
                  <c:v>115</c:v>
                </c:pt>
                <c:pt idx="425">
                  <c:v>115</c:v>
                </c:pt>
                <c:pt idx="426">
                  <c:v>114</c:v>
                </c:pt>
                <c:pt idx="427">
                  <c:v>114</c:v>
                </c:pt>
                <c:pt idx="428">
                  <c:v>115</c:v>
                </c:pt>
                <c:pt idx="429">
                  <c:v>115</c:v>
                </c:pt>
                <c:pt idx="430">
                  <c:v>116</c:v>
                </c:pt>
                <c:pt idx="431">
                  <c:v>116</c:v>
                </c:pt>
                <c:pt idx="432">
                  <c:v>115</c:v>
                </c:pt>
                <c:pt idx="433">
                  <c:v>116</c:v>
                </c:pt>
                <c:pt idx="434">
                  <c:v>116</c:v>
                </c:pt>
                <c:pt idx="435">
                  <c:v>117</c:v>
                </c:pt>
                <c:pt idx="436">
                  <c:v>116</c:v>
                </c:pt>
                <c:pt idx="437">
                  <c:v>116</c:v>
                </c:pt>
                <c:pt idx="438">
                  <c:v>116</c:v>
                </c:pt>
                <c:pt idx="439">
                  <c:v>115</c:v>
                </c:pt>
                <c:pt idx="440">
                  <c:v>116</c:v>
                </c:pt>
                <c:pt idx="441">
                  <c:v>116</c:v>
                </c:pt>
                <c:pt idx="442">
                  <c:v>116</c:v>
                </c:pt>
                <c:pt idx="443">
                  <c:v>116</c:v>
                </c:pt>
                <c:pt idx="444">
                  <c:v>116</c:v>
                </c:pt>
                <c:pt idx="445">
                  <c:v>117</c:v>
                </c:pt>
                <c:pt idx="446">
                  <c:v>116</c:v>
                </c:pt>
                <c:pt idx="447">
                  <c:v>116</c:v>
                </c:pt>
                <c:pt idx="448">
                  <c:v>115</c:v>
                </c:pt>
                <c:pt idx="449">
                  <c:v>115</c:v>
                </c:pt>
                <c:pt idx="450">
                  <c:v>115</c:v>
                </c:pt>
                <c:pt idx="451">
                  <c:v>115</c:v>
                </c:pt>
                <c:pt idx="452">
                  <c:v>115</c:v>
                </c:pt>
                <c:pt idx="453" formatCode="0.000">
                  <c:v>114.667</c:v>
                </c:pt>
                <c:pt idx="454" formatCode="0.000">
                  <c:v>113.428</c:v>
                </c:pt>
                <c:pt idx="455" formatCode="0.000">
                  <c:v>112.524</c:v>
                </c:pt>
                <c:pt idx="456" formatCode="0.000">
                  <c:v>111.875</c:v>
                </c:pt>
                <c:pt idx="457" formatCode="0.000">
                  <c:v>111.367</c:v>
                </c:pt>
                <c:pt idx="458" formatCode="0.000">
                  <c:v>111.248</c:v>
                </c:pt>
                <c:pt idx="459" formatCode="0.000">
                  <c:v>111.30500000000001</c:v>
                </c:pt>
                <c:pt idx="460" formatCode="0.000">
                  <c:v>111.497</c:v>
                </c:pt>
                <c:pt idx="461" formatCode="0.000">
                  <c:v>111.248</c:v>
                </c:pt>
                <c:pt idx="462" formatCode="0.000">
                  <c:v>110.834</c:v>
                </c:pt>
                <c:pt idx="463" formatCode="0.000">
                  <c:v>110.66</c:v>
                </c:pt>
                <c:pt idx="464" formatCode="0.000">
                  <c:v>110.607</c:v>
                </c:pt>
                <c:pt idx="465" formatCode="0.000">
                  <c:v>110.19199999999999</c:v>
                </c:pt>
                <c:pt idx="466" formatCode="0.000">
                  <c:v>110.509</c:v>
                </c:pt>
                <c:pt idx="467" formatCode="0.000">
                  <c:v>111.071</c:v>
                </c:pt>
                <c:pt idx="468" formatCode="0.000">
                  <c:v>110.786</c:v>
                </c:pt>
                <c:pt idx="469" formatCode="0.000">
                  <c:v>110.294</c:v>
                </c:pt>
                <c:pt idx="470" formatCode="0.000">
                  <c:v>110.325</c:v>
                </c:pt>
                <c:pt idx="471" formatCode="0.000">
                  <c:v>110.49</c:v>
                </c:pt>
                <c:pt idx="472" formatCode="0.000">
                  <c:v>110.48399999999999</c:v>
                </c:pt>
                <c:pt idx="473" formatCode="0.000">
                  <c:v>109.703</c:v>
                </c:pt>
                <c:pt idx="474" formatCode="0.000">
                  <c:v>109.752</c:v>
                </c:pt>
                <c:pt idx="475" formatCode="0.000">
                  <c:v>108.913</c:v>
                </c:pt>
                <c:pt idx="476" formatCode="0.000">
                  <c:v>108.839</c:v>
                </c:pt>
                <c:pt idx="477" formatCode="0.000">
                  <c:v>108.73399999999999</c:v>
                </c:pt>
                <c:pt idx="478" formatCode="0.000">
                  <c:v>108.42</c:v>
                </c:pt>
                <c:pt idx="479" formatCode="0.000">
                  <c:v>108.715</c:v>
                </c:pt>
                <c:pt idx="480" formatCode="0.000">
                  <c:v>108.273</c:v>
                </c:pt>
                <c:pt idx="481" formatCode="0.000">
                  <c:v>108.52</c:v>
                </c:pt>
                <c:pt idx="482" formatCode="0.000">
                  <c:v>108.715</c:v>
                </c:pt>
                <c:pt idx="483" formatCode="0.000">
                  <c:v>108.224</c:v>
                </c:pt>
                <c:pt idx="484" formatCode="0.000">
                  <c:v>107.931</c:v>
                </c:pt>
                <c:pt idx="485" formatCode="0.000">
                  <c:v>107.571</c:v>
                </c:pt>
                <c:pt idx="486" formatCode="0.000">
                  <c:v>107.601</c:v>
                </c:pt>
                <c:pt idx="487" formatCode="0.000">
                  <c:v>108.282</c:v>
                </c:pt>
                <c:pt idx="488" formatCode="0.000">
                  <c:v>108.492</c:v>
                </c:pt>
                <c:pt idx="489" formatCode="0.000">
                  <c:v>108.124</c:v>
                </c:pt>
                <c:pt idx="490" formatCode="0.000">
                  <c:v>107.941</c:v>
                </c:pt>
                <c:pt idx="491" formatCode="0.000">
                  <c:v>107.83</c:v>
                </c:pt>
                <c:pt idx="492" formatCode="0.000">
                  <c:v>107.767</c:v>
                </c:pt>
                <c:pt idx="493" formatCode="0.000">
                  <c:v>107.453</c:v>
                </c:pt>
                <c:pt idx="494" formatCode="0.000">
                  <c:v>107.38200000000001</c:v>
                </c:pt>
                <c:pt idx="495" formatCode="0.000">
                  <c:v>108.265</c:v>
                </c:pt>
                <c:pt idx="496" formatCode="0.000">
                  <c:v>109.163</c:v>
                </c:pt>
                <c:pt idx="497" formatCode="0.000">
                  <c:v>108.05500000000001</c:v>
                </c:pt>
                <c:pt idx="498" formatCode="0.000">
                  <c:v>108.36499999999999</c:v>
                </c:pt>
                <c:pt idx="499" formatCode="0.000">
                  <c:v>107.657</c:v>
                </c:pt>
                <c:pt idx="500" formatCode="0.000">
                  <c:v>108.425</c:v>
                </c:pt>
                <c:pt idx="501" formatCode="0.000">
                  <c:v>108.282</c:v>
                </c:pt>
                <c:pt idx="502" formatCode="0.000">
                  <c:v>108.175</c:v>
                </c:pt>
                <c:pt idx="503" formatCode="0.000">
                  <c:v>107.51900000000001</c:v>
                </c:pt>
                <c:pt idx="504" formatCode="0.000">
                  <c:v>107.8</c:v>
                </c:pt>
                <c:pt idx="505" formatCode="0.000">
                  <c:v>108.732</c:v>
                </c:pt>
                <c:pt idx="506" formatCode="0.000">
                  <c:v>109.136</c:v>
                </c:pt>
                <c:pt idx="507" formatCode="0.000">
                  <c:v>108.476</c:v>
                </c:pt>
                <c:pt idx="508" formatCode="0.000">
                  <c:v>109.389</c:v>
                </c:pt>
                <c:pt idx="509" formatCode="0.000">
                  <c:v>109.119</c:v>
                </c:pt>
                <c:pt idx="510" formatCode="0.000">
                  <c:v>108.675</c:v>
                </c:pt>
                <c:pt idx="511" formatCode="0.000">
                  <c:v>108.373</c:v>
                </c:pt>
                <c:pt idx="512" formatCode="0.000">
                  <c:v>108.435</c:v>
                </c:pt>
                <c:pt idx="513" formatCode="0.000">
                  <c:v>108.816</c:v>
                </c:pt>
                <c:pt idx="514" formatCode="0.000">
                  <c:v>108.1</c:v>
                </c:pt>
                <c:pt idx="515" formatCode="0.000">
                  <c:v>107.898</c:v>
                </c:pt>
                <c:pt idx="516" formatCode="0.000">
                  <c:v>107.715</c:v>
                </c:pt>
                <c:pt idx="517" formatCode="0.000">
                  <c:v>107.514</c:v>
                </c:pt>
                <c:pt idx="518" formatCode="0.000">
                  <c:v>107.40600000000001</c:v>
                </c:pt>
                <c:pt idx="519" formatCode="0.000">
                  <c:v>107.206</c:v>
                </c:pt>
                <c:pt idx="520" formatCode="0.000">
                  <c:v>106.864</c:v>
                </c:pt>
                <c:pt idx="521" formatCode="0.000">
                  <c:v>107.49299999999999</c:v>
                </c:pt>
                <c:pt idx="522" formatCode="0.000">
                  <c:v>107.46</c:v>
                </c:pt>
                <c:pt idx="523" formatCode="0.000">
                  <c:v>107.53400000000001</c:v>
                </c:pt>
                <c:pt idx="524" formatCode="0.000">
                  <c:v>107.41</c:v>
                </c:pt>
                <c:pt idx="525" formatCode="0.000">
                  <c:v>107.666</c:v>
                </c:pt>
                <c:pt idx="526" formatCode="0.000">
                  <c:v>107.491</c:v>
                </c:pt>
                <c:pt idx="527" formatCode="0.000">
                  <c:v>107.29</c:v>
                </c:pt>
                <c:pt idx="528" formatCode="0.000">
                  <c:v>109.29900000000001</c:v>
                </c:pt>
                <c:pt idx="529" formatCode="0.000">
                  <c:v>109.71899999999999</c:v>
                </c:pt>
                <c:pt idx="530" formatCode="0.000">
                  <c:v>109.568</c:v>
                </c:pt>
                <c:pt idx="531" formatCode="0.000">
                  <c:v>109.42</c:v>
                </c:pt>
                <c:pt idx="532" formatCode="0.000">
                  <c:v>109.73399999999999</c:v>
                </c:pt>
                <c:pt idx="533" formatCode="0.000">
                  <c:v>110.447</c:v>
                </c:pt>
                <c:pt idx="534" formatCode="0.000">
                  <c:v>110.934</c:v>
                </c:pt>
                <c:pt idx="535" formatCode="0.000">
                  <c:v>111.22199999999999</c:v>
                </c:pt>
                <c:pt idx="536" formatCode="0.000">
                  <c:v>110.062</c:v>
                </c:pt>
                <c:pt idx="537" formatCode="0.000">
                  <c:v>109.18</c:v>
                </c:pt>
                <c:pt idx="538" formatCode="0.000">
                  <c:v>109.624</c:v>
                </c:pt>
                <c:pt idx="539" formatCode="0.000">
                  <c:v>109.551</c:v>
                </c:pt>
                <c:pt idx="540" formatCode="0.000">
                  <c:v>109.705</c:v>
                </c:pt>
                <c:pt idx="541" formatCode="0.000">
                  <c:v>109.14400000000001</c:v>
                </c:pt>
                <c:pt idx="542" formatCode="0.000">
                  <c:v>109.249</c:v>
                </c:pt>
                <c:pt idx="543" formatCode="0.000">
                  <c:v>108.72499999999999</c:v>
                </c:pt>
                <c:pt idx="544" formatCode="0.000">
                  <c:v>109.742</c:v>
                </c:pt>
                <c:pt idx="545" formatCode="0.000">
                  <c:v>110.46599999999999</c:v>
                </c:pt>
                <c:pt idx="546" formatCode="0.000">
                  <c:v>110.893</c:v>
                </c:pt>
                <c:pt idx="547" formatCode="0.000">
                  <c:v>110.81399999999999</c:v>
                </c:pt>
                <c:pt idx="548" formatCode="0.000">
                  <c:v>111.194</c:v>
                </c:pt>
                <c:pt idx="549" formatCode="0.000">
                  <c:v>111.51900000000001</c:v>
                </c:pt>
                <c:pt idx="550" formatCode="0.000">
                  <c:v>111.733</c:v>
                </c:pt>
                <c:pt idx="551" formatCode="0.000">
                  <c:v>110.92100000000001</c:v>
                </c:pt>
                <c:pt idx="552" formatCode="0.000">
                  <c:v>110.645</c:v>
                </c:pt>
                <c:pt idx="553" formatCode="0.000">
                  <c:v>110.788</c:v>
                </c:pt>
                <c:pt idx="554" formatCode="0.000">
                  <c:v>110.56</c:v>
                </c:pt>
                <c:pt idx="555" formatCode="0.000">
                  <c:v>110.253</c:v>
                </c:pt>
                <c:pt idx="556" formatCode="0.000">
                  <c:v>110.37</c:v>
                </c:pt>
                <c:pt idx="557" formatCode="0.000">
                  <c:v>110.12</c:v>
                </c:pt>
                <c:pt idx="558" formatCode="0.000">
                  <c:v>110.556</c:v>
                </c:pt>
                <c:pt idx="559" formatCode="0.000">
                  <c:v>110.753</c:v>
                </c:pt>
                <c:pt idx="560" formatCode="0.000">
                  <c:v>110.265</c:v>
                </c:pt>
                <c:pt idx="561" formatCode="0.000">
                  <c:v>110.035</c:v>
                </c:pt>
                <c:pt idx="562" formatCode="0.000">
                  <c:v>109.48</c:v>
                </c:pt>
                <c:pt idx="563" formatCode="0.000">
                  <c:v>109.447</c:v>
                </c:pt>
                <c:pt idx="564" formatCode="0.000">
                  <c:v>109.098</c:v>
                </c:pt>
                <c:pt idx="565" formatCode="0.000">
                  <c:v>109.539</c:v>
                </c:pt>
                <c:pt idx="566" formatCode="0.000">
                  <c:v>109.518</c:v>
                </c:pt>
                <c:pt idx="567" formatCode="0.000">
                  <c:v>109.43899999999999</c:v>
                </c:pt>
                <c:pt idx="568" formatCode="0.000">
                  <c:v>109.449</c:v>
                </c:pt>
                <c:pt idx="569" formatCode="0.000">
                  <c:v>109.149</c:v>
                </c:pt>
                <c:pt idx="570" formatCode="0.000">
                  <c:v>109.172</c:v>
                </c:pt>
                <c:pt idx="571" formatCode="0.000">
                  <c:v>108.405</c:v>
                </c:pt>
                <c:pt idx="572" formatCode="0.000">
                  <c:v>108.749</c:v>
                </c:pt>
                <c:pt idx="573" formatCode="0.000">
                  <c:v>109.533</c:v>
                </c:pt>
                <c:pt idx="574" formatCode="0.000">
                  <c:v>109.18</c:v>
                </c:pt>
                <c:pt idx="575" formatCode="0.000">
                  <c:v>109.27</c:v>
                </c:pt>
                <c:pt idx="576" formatCode="0.000">
                  <c:v>109.19199999999999</c:v>
                </c:pt>
                <c:pt idx="577" formatCode="0.000">
                  <c:v>108.395</c:v>
                </c:pt>
                <c:pt idx="578" formatCode="0.000">
                  <c:v>107.627</c:v>
                </c:pt>
                <c:pt idx="579" formatCode="0.000">
                  <c:v>107.86799999999999</c:v>
                </c:pt>
                <c:pt idx="580" formatCode="0.000">
                  <c:v>108.11499999999999</c:v>
                </c:pt>
                <c:pt idx="581" formatCode="0.000">
                  <c:v>108.673</c:v>
                </c:pt>
                <c:pt idx="582" formatCode="0.000">
                  <c:v>108.556</c:v>
                </c:pt>
                <c:pt idx="583" formatCode="0.000">
                  <c:v>108.119</c:v>
                </c:pt>
                <c:pt idx="584" formatCode="0.000">
                  <c:v>107.92</c:v>
                </c:pt>
                <c:pt idx="585" formatCode="0.000">
                  <c:v>107.81</c:v>
                </c:pt>
                <c:pt idx="586" formatCode="0.000">
                  <c:v>108.256</c:v>
                </c:pt>
                <c:pt idx="587" formatCode="0.000">
                  <c:v>108.036</c:v>
                </c:pt>
                <c:pt idx="588" formatCode="0.000">
                  <c:v>108.038</c:v>
                </c:pt>
                <c:pt idx="589">
                  <c:v>107.98</c:v>
                </c:pt>
                <c:pt idx="590">
                  <c:v>107.73</c:v>
                </c:pt>
                <c:pt idx="591">
                  <c:v>107.464</c:v>
                </c:pt>
                <c:pt idx="592">
                  <c:v>107.75</c:v>
                </c:pt>
                <c:pt idx="593">
                  <c:v>107.136</c:v>
                </c:pt>
                <c:pt idx="594">
                  <c:v>107.675</c:v>
                </c:pt>
                <c:pt idx="595">
                  <c:v>107.11199999999999</c:v>
                </c:pt>
                <c:pt idx="596">
                  <c:v>106.971</c:v>
                </c:pt>
                <c:pt idx="597">
                  <c:v>106.93600000000001</c:v>
                </c:pt>
                <c:pt idx="598">
                  <c:v>107.063</c:v>
                </c:pt>
                <c:pt idx="599">
                  <c:v>106.672</c:v>
                </c:pt>
                <c:pt idx="600">
                  <c:v>107.24</c:v>
                </c:pt>
                <c:pt idx="601">
                  <c:v>107.325</c:v>
                </c:pt>
                <c:pt idx="602">
                  <c:v>107.60899999999999</c:v>
                </c:pt>
                <c:pt idx="603">
                  <c:v>108.422</c:v>
                </c:pt>
                <c:pt idx="604">
                  <c:v>108.974</c:v>
                </c:pt>
                <c:pt idx="605">
                  <c:v>109.8</c:v>
                </c:pt>
                <c:pt idx="606">
                  <c:v>109.48099999999999</c:v>
                </c:pt>
                <c:pt idx="607">
                  <c:v>109.033</c:v>
                </c:pt>
                <c:pt idx="608">
                  <c:v>108.71899999999999</c:v>
                </c:pt>
                <c:pt idx="609">
                  <c:v>108.27500000000001</c:v>
                </c:pt>
                <c:pt idx="610">
                  <c:v>108.282</c:v>
                </c:pt>
                <c:pt idx="611">
                  <c:v>108.371</c:v>
                </c:pt>
                <c:pt idx="612">
                  <c:v>108.42400000000001</c:v>
                </c:pt>
                <c:pt idx="613">
                  <c:v>108.768</c:v>
                </c:pt>
                <c:pt idx="614">
                  <c:v>109.249</c:v>
                </c:pt>
                <c:pt idx="615">
                  <c:v>108.85599999999999</c:v>
                </c:pt>
                <c:pt idx="616">
                  <c:v>109.91200000000001</c:v>
                </c:pt>
                <c:pt idx="617">
                  <c:v>110.233</c:v>
                </c:pt>
                <c:pt idx="618">
                  <c:v>110.313</c:v>
                </c:pt>
                <c:pt idx="619">
                  <c:v>109.858</c:v>
                </c:pt>
                <c:pt idx="620">
                  <c:v>110.18899999999999</c:v>
                </c:pt>
              </c:numCache>
            </c:numRef>
          </c:val>
          <c:smooth val="0"/>
          <c:extLst>
            <c:ext xmlns:c16="http://schemas.microsoft.com/office/drawing/2014/chart" uri="{C3380CC4-5D6E-409C-BE32-E72D297353CC}">
              <c16:uniqueId val="{00000000-5C27-41EC-B8F3-CB2673AED5CF}"/>
            </c:ext>
          </c:extLst>
        </c:ser>
        <c:ser>
          <c:idx val="1"/>
          <c:order val="1"/>
          <c:tx>
            <c:strRef>
              <c:f>Sheet1!$C$1</c:f>
              <c:strCache>
                <c:ptCount val="1"/>
                <c:pt idx="0">
                  <c:v>ՀՀ դրամ</c:v>
                </c:pt>
              </c:strCache>
            </c:strRef>
          </c:tx>
          <c:spPr>
            <a:ln w="28575" cap="rnd">
              <a:solidFill>
                <a:srgbClr val="E7E6E6">
                  <a:lumMod val="10000"/>
                </a:srgbClr>
              </a:solidFill>
              <a:round/>
            </a:ln>
            <a:effectLst/>
          </c:spPr>
          <c:marker>
            <c:symbol val="none"/>
          </c:marker>
          <c:cat>
            <c:numRef>
              <c:f>Sheet1!$A$2:$A$622</c:f>
              <c:numCache>
                <c:formatCode>dd\-mmm\-yy</c:formatCode>
                <c:ptCount val="621"/>
                <c:pt idx="0">
                  <c:v>43473</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43494</c:v>
                </c:pt>
                <c:pt idx="15">
                  <c:v>43495</c:v>
                </c:pt>
                <c:pt idx="16">
                  <c:v>43496</c:v>
                </c:pt>
                <c:pt idx="17">
                  <c:v>43497</c:v>
                </c:pt>
                <c:pt idx="18">
                  <c:v>43500</c:v>
                </c:pt>
                <c:pt idx="19">
                  <c:v>43501</c:v>
                </c:pt>
                <c:pt idx="20">
                  <c:v>43502</c:v>
                </c:pt>
                <c:pt idx="21">
                  <c:v>43503</c:v>
                </c:pt>
                <c:pt idx="22">
                  <c:v>43504</c:v>
                </c:pt>
                <c:pt idx="23">
                  <c:v>43507</c:v>
                </c:pt>
                <c:pt idx="24">
                  <c:v>43508</c:v>
                </c:pt>
                <c:pt idx="25">
                  <c:v>43509</c:v>
                </c:pt>
                <c:pt idx="26">
                  <c:v>43510</c:v>
                </c:pt>
                <c:pt idx="27">
                  <c:v>43511</c:v>
                </c:pt>
                <c:pt idx="28">
                  <c:v>43514</c:v>
                </c:pt>
                <c:pt idx="29">
                  <c:v>43515</c:v>
                </c:pt>
                <c:pt idx="30">
                  <c:v>43516</c:v>
                </c:pt>
                <c:pt idx="31">
                  <c:v>43517</c:v>
                </c:pt>
                <c:pt idx="32">
                  <c:v>43518</c:v>
                </c:pt>
                <c:pt idx="33">
                  <c:v>43521</c:v>
                </c:pt>
                <c:pt idx="34">
                  <c:v>43522</c:v>
                </c:pt>
                <c:pt idx="35">
                  <c:v>43523</c:v>
                </c:pt>
                <c:pt idx="36">
                  <c:v>43524</c:v>
                </c:pt>
                <c:pt idx="37">
                  <c:v>43525</c:v>
                </c:pt>
                <c:pt idx="38">
                  <c:v>43528</c:v>
                </c:pt>
                <c:pt idx="39">
                  <c:v>43529</c:v>
                </c:pt>
                <c:pt idx="40">
                  <c:v>43530</c:v>
                </c:pt>
                <c:pt idx="41">
                  <c:v>43531</c:v>
                </c:pt>
                <c:pt idx="42">
                  <c:v>43535</c:v>
                </c:pt>
                <c:pt idx="43">
                  <c:v>43536</c:v>
                </c:pt>
                <c:pt idx="44">
                  <c:v>43537</c:v>
                </c:pt>
                <c:pt idx="45">
                  <c:v>43538</c:v>
                </c:pt>
                <c:pt idx="46">
                  <c:v>43539</c:v>
                </c:pt>
                <c:pt idx="47">
                  <c:v>43542</c:v>
                </c:pt>
                <c:pt idx="48">
                  <c:v>43543</c:v>
                </c:pt>
                <c:pt idx="49">
                  <c:v>43544</c:v>
                </c:pt>
                <c:pt idx="50">
                  <c:v>43545</c:v>
                </c:pt>
                <c:pt idx="51">
                  <c:v>43546</c:v>
                </c:pt>
                <c:pt idx="52">
                  <c:v>43549</c:v>
                </c:pt>
                <c:pt idx="53">
                  <c:v>43550</c:v>
                </c:pt>
                <c:pt idx="54">
                  <c:v>43551</c:v>
                </c:pt>
                <c:pt idx="55">
                  <c:v>43552</c:v>
                </c:pt>
                <c:pt idx="56">
                  <c:v>43553</c:v>
                </c:pt>
                <c:pt idx="57">
                  <c:v>43556</c:v>
                </c:pt>
                <c:pt idx="58">
                  <c:v>43557</c:v>
                </c:pt>
                <c:pt idx="59">
                  <c:v>43558</c:v>
                </c:pt>
                <c:pt idx="60">
                  <c:v>43559</c:v>
                </c:pt>
                <c:pt idx="61">
                  <c:v>43560</c:v>
                </c:pt>
                <c:pt idx="62">
                  <c:v>43563</c:v>
                </c:pt>
                <c:pt idx="63">
                  <c:v>43564</c:v>
                </c:pt>
                <c:pt idx="64">
                  <c:v>43565</c:v>
                </c:pt>
                <c:pt idx="65">
                  <c:v>43566</c:v>
                </c:pt>
                <c:pt idx="66">
                  <c:v>43567</c:v>
                </c:pt>
                <c:pt idx="67">
                  <c:v>43570</c:v>
                </c:pt>
                <c:pt idx="68">
                  <c:v>43571</c:v>
                </c:pt>
                <c:pt idx="69">
                  <c:v>43572</c:v>
                </c:pt>
                <c:pt idx="70">
                  <c:v>43573</c:v>
                </c:pt>
                <c:pt idx="71">
                  <c:v>43577</c:v>
                </c:pt>
                <c:pt idx="72">
                  <c:v>43578</c:v>
                </c:pt>
                <c:pt idx="73">
                  <c:v>43579</c:v>
                </c:pt>
                <c:pt idx="74">
                  <c:v>43580</c:v>
                </c:pt>
                <c:pt idx="75">
                  <c:v>43581</c:v>
                </c:pt>
                <c:pt idx="76">
                  <c:v>43584</c:v>
                </c:pt>
                <c:pt idx="77">
                  <c:v>43585</c:v>
                </c:pt>
                <c:pt idx="78">
                  <c:v>43587</c:v>
                </c:pt>
                <c:pt idx="79">
                  <c:v>43588</c:v>
                </c:pt>
                <c:pt idx="80">
                  <c:v>43591</c:v>
                </c:pt>
                <c:pt idx="81">
                  <c:v>43592</c:v>
                </c:pt>
                <c:pt idx="82">
                  <c:v>43593</c:v>
                </c:pt>
                <c:pt idx="83">
                  <c:v>43595</c:v>
                </c:pt>
                <c:pt idx="84">
                  <c:v>43598</c:v>
                </c:pt>
                <c:pt idx="85">
                  <c:v>43599</c:v>
                </c:pt>
                <c:pt idx="86">
                  <c:v>43600</c:v>
                </c:pt>
                <c:pt idx="87">
                  <c:v>43601</c:v>
                </c:pt>
                <c:pt idx="88">
                  <c:v>43602</c:v>
                </c:pt>
                <c:pt idx="89">
                  <c:v>43605</c:v>
                </c:pt>
                <c:pt idx="90">
                  <c:v>43606</c:v>
                </c:pt>
                <c:pt idx="91">
                  <c:v>43607</c:v>
                </c:pt>
                <c:pt idx="92">
                  <c:v>43608</c:v>
                </c:pt>
                <c:pt idx="93">
                  <c:v>43609</c:v>
                </c:pt>
                <c:pt idx="94">
                  <c:v>43612</c:v>
                </c:pt>
                <c:pt idx="95">
                  <c:v>43614</c:v>
                </c:pt>
                <c:pt idx="96">
                  <c:v>43615</c:v>
                </c:pt>
                <c:pt idx="97">
                  <c:v>43616</c:v>
                </c:pt>
                <c:pt idx="98">
                  <c:v>43619</c:v>
                </c:pt>
                <c:pt idx="99">
                  <c:v>43620</c:v>
                </c:pt>
                <c:pt idx="100">
                  <c:v>43621</c:v>
                </c:pt>
                <c:pt idx="101">
                  <c:v>43622</c:v>
                </c:pt>
                <c:pt idx="102">
                  <c:v>43623</c:v>
                </c:pt>
                <c:pt idx="103">
                  <c:v>43626</c:v>
                </c:pt>
                <c:pt idx="104">
                  <c:v>43627</c:v>
                </c:pt>
                <c:pt idx="105">
                  <c:v>43628</c:v>
                </c:pt>
                <c:pt idx="106">
                  <c:v>43629</c:v>
                </c:pt>
                <c:pt idx="107">
                  <c:v>43630</c:v>
                </c:pt>
                <c:pt idx="108">
                  <c:v>43633</c:v>
                </c:pt>
                <c:pt idx="109">
                  <c:v>43634</c:v>
                </c:pt>
                <c:pt idx="110">
                  <c:v>43635</c:v>
                </c:pt>
                <c:pt idx="111">
                  <c:v>43636</c:v>
                </c:pt>
                <c:pt idx="112">
                  <c:v>43637</c:v>
                </c:pt>
                <c:pt idx="113">
                  <c:v>43640</c:v>
                </c:pt>
                <c:pt idx="114">
                  <c:v>43641</c:v>
                </c:pt>
                <c:pt idx="115">
                  <c:v>43642</c:v>
                </c:pt>
                <c:pt idx="116">
                  <c:v>43643</c:v>
                </c:pt>
                <c:pt idx="117">
                  <c:v>43644</c:v>
                </c:pt>
                <c:pt idx="118">
                  <c:v>43647</c:v>
                </c:pt>
                <c:pt idx="119">
                  <c:v>43648</c:v>
                </c:pt>
                <c:pt idx="120">
                  <c:v>43649</c:v>
                </c:pt>
                <c:pt idx="121">
                  <c:v>43650</c:v>
                </c:pt>
                <c:pt idx="122">
                  <c:v>43654</c:v>
                </c:pt>
                <c:pt idx="123">
                  <c:v>43655</c:v>
                </c:pt>
                <c:pt idx="124">
                  <c:v>43656</c:v>
                </c:pt>
                <c:pt idx="125">
                  <c:v>43657</c:v>
                </c:pt>
                <c:pt idx="126">
                  <c:v>43658</c:v>
                </c:pt>
                <c:pt idx="127">
                  <c:v>43661</c:v>
                </c:pt>
                <c:pt idx="128">
                  <c:v>43662</c:v>
                </c:pt>
                <c:pt idx="129">
                  <c:v>43663</c:v>
                </c:pt>
                <c:pt idx="130">
                  <c:v>43664</c:v>
                </c:pt>
                <c:pt idx="131">
                  <c:v>43665</c:v>
                </c:pt>
                <c:pt idx="132">
                  <c:v>43668</c:v>
                </c:pt>
                <c:pt idx="133">
                  <c:v>43669</c:v>
                </c:pt>
                <c:pt idx="134">
                  <c:v>43670</c:v>
                </c:pt>
                <c:pt idx="135">
                  <c:v>43671</c:v>
                </c:pt>
                <c:pt idx="136">
                  <c:v>43672</c:v>
                </c:pt>
                <c:pt idx="137">
                  <c:v>43675</c:v>
                </c:pt>
                <c:pt idx="138">
                  <c:v>43676</c:v>
                </c:pt>
                <c:pt idx="139">
                  <c:v>43677</c:v>
                </c:pt>
                <c:pt idx="140">
                  <c:v>43678</c:v>
                </c:pt>
                <c:pt idx="141">
                  <c:v>43679</c:v>
                </c:pt>
                <c:pt idx="142">
                  <c:v>43682</c:v>
                </c:pt>
                <c:pt idx="143">
                  <c:v>43683</c:v>
                </c:pt>
                <c:pt idx="144">
                  <c:v>43684</c:v>
                </c:pt>
                <c:pt idx="145">
                  <c:v>43685</c:v>
                </c:pt>
                <c:pt idx="146">
                  <c:v>43686</c:v>
                </c:pt>
                <c:pt idx="147">
                  <c:v>43689</c:v>
                </c:pt>
                <c:pt idx="148">
                  <c:v>43690</c:v>
                </c:pt>
                <c:pt idx="149">
                  <c:v>43691</c:v>
                </c:pt>
                <c:pt idx="150">
                  <c:v>43692</c:v>
                </c:pt>
                <c:pt idx="151">
                  <c:v>43693</c:v>
                </c:pt>
                <c:pt idx="152">
                  <c:v>43696</c:v>
                </c:pt>
                <c:pt idx="153">
                  <c:v>43697</c:v>
                </c:pt>
                <c:pt idx="154">
                  <c:v>43698</c:v>
                </c:pt>
                <c:pt idx="155">
                  <c:v>43699</c:v>
                </c:pt>
                <c:pt idx="156">
                  <c:v>43700</c:v>
                </c:pt>
                <c:pt idx="157">
                  <c:v>43703</c:v>
                </c:pt>
                <c:pt idx="158">
                  <c:v>43704</c:v>
                </c:pt>
                <c:pt idx="159">
                  <c:v>43705</c:v>
                </c:pt>
                <c:pt idx="160">
                  <c:v>43706</c:v>
                </c:pt>
                <c:pt idx="161">
                  <c:v>43707</c:v>
                </c:pt>
                <c:pt idx="162">
                  <c:v>43710</c:v>
                </c:pt>
                <c:pt idx="163">
                  <c:v>43711</c:v>
                </c:pt>
                <c:pt idx="164">
                  <c:v>43712</c:v>
                </c:pt>
                <c:pt idx="165">
                  <c:v>43713</c:v>
                </c:pt>
                <c:pt idx="166">
                  <c:v>43714</c:v>
                </c:pt>
                <c:pt idx="167">
                  <c:v>43717</c:v>
                </c:pt>
                <c:pt idx="168">
                  <c:v>43718</c:v>
                </c:pt>
                <c:pt idx="169">
                  <c:v>43719</c:v>
                </c:pt>
                <c:pt idx="170">
                  <c:v>43720</c:v>
                </c:pt>
                <c:pt idx="171">
                  <c:v>43721</c:v>
                </c:pt>
                <c:pt idx="172">
                  <c:v>43724</c:v>
                </c:pt>
                <c:pt idx="173">
                  <c:v>43725</c:v>
                </c:pt>
                <c:pt idx="174">
                  <c:v>43726</c:v>
                </c:pt>
                <c:pt idx="175">
                  <c:v>43727</c:v>
                </c:pt>
                <c:pt idx="176">
                  <c:v>43728</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43763</c:v>
                </c:pt>
                <c:pt idx="202">
                  <c:v>43766</c:v>
                </c:pt>
                <c:pt idx="203">
                  <c:v>43767</c:v>
                </c:pt>
                <c:pt idx="204">
                  <c:v>43768</c:v>
                </c:pt>
                <c:pt idx="205">
                  <c:v>43769</c:v>
                </c:pt>
                <c:pt idx="206">
                  <c:v>43770</c:v>
                </c:pt>
                <c:pt idx="207">
                  <c:v>43773</c:v>
                </c:pt>
                <c:pt idx="208">
                  <c:v>43774</c:v>
                </c:pt>
                <c:pt idx="209">
                  <c:v>43775</c:v>
                </c:pt>
                <c:pt idx="210">
                  <c:v>43776</c:v>
                </c:pt>
                <c:pt idx="211">
                  <c:v>43777</c:v>
                </c:pt>
                <c:pt idx="212">
                  <c:v>43780</c:v>
                </c:pt>
                <c:pt idx="213">
                  <c:v>43781</c:v>
                </c:pt>
                <c:pt idx="214">
                  <c:v>43782</c:v>
                </c:pt>
                <c:pt idx="215">
                  <c:v>43783</c:v>
                </c:pt>
                <c:pt idx="216">
                  <c:v>43784</c:v>
                </c:pt>
                <c:pt idx="217">
                  <c:v>43787</c:v>
                </c:pt>
                <c:pt idx="218">
                  <c:v>43788</c:v>
                </c:pt>
                <c:pt idx="219">
                  <c:v>43789</c:v>
                </c:pt>
                <c:pt idx="220">
                  <c:v>43790</c:v>
                </c:pt>
                <c:pt idx="221">
                  <c:v>43791</c:v>
                </c:pt>
                <c:pt idx="222">
                  <c:v>43794</c:v>
                </c:pt>
                <c:pt idx="223">
                  <c:v>43795</c:v>
                </c:pt>
                <c:pt idx="224">
                  <c:v>43796</c:v>
                </c:pt>
                <c:pt idx="225">
                  <c:v>43797</c:v>
                </c:pt>
                <c:pt idx="226">
                  <c:v>43798</c:v>
                </c:pt>
                <c:pt idx="227">
                  <c:v>43801</c:v>
                </c:pt>
                <c:pt idx="228">
                  <c:v>43802</c:v>
                </c:pt>
                <c:pt idx="229">
                  <c:v>43803</c:v>
                </c:pt>
                <c:pt idx="230">
                  <c:v>43804</c:v>
                </c:pt>
                <c:pt idx="231">
                  <c:v>43805</c:v>
                </c:pt>
                <c:pt idx="232">
                  <c:v>43808</c:v>
                </c:pt>
                <c:pt idx="233">
                  <c:v>43809</c:v>
                </c:pt>
                <c:pt idx="234">
                  <c:v>43810</c:v>
                </c:pt>
                <c:pt idx="235">
                  <c:v>43811</c:v>
                </c:pt>
                <c:pt idx="236">
                  <c:v>43812</c:v>
                </c:pt>
                <c:pt idx="237">
                  <c:v>43815</c:v>
                </c:pt>
                <c:pt idx="238">
                  <c:v>43816</c:v>
                </c:pt>
                <c:pt idx="239">
                  <c:v>43817</c:v>
                </c:pt>
                <c:pt idx="240">
                  <c:v>43818</c:v>
                </c:pt>
                <c:pt idx="241">
                  <c:v>43819</c:v>
                </c:pt>
                <c:pt idx="242">
                  <c:v>43822</c:v>
                </c:pt>
                <c:pt idx="243">
                  <c:v>43823</c:v>
                </c:pt>
                <c:pt idx="244">
                  <c:v>43825</c:v>
                </c:pt>
                <c:pt idx="245">
                  <c:v>43826</c:v>
                </c:pt>
                <c:pt idx="246">
                  <c:v>43829</c:v>
                </c:pt>
                <c:pt idx="247">
                  <c:v>43838</c:v>
                </c:pt>
                <c:pt idx="248">
                  <c:v>43839</c:v>
                </c:pt>
                <c:pt idx="249">
                  <c:v>43840</c:v>
                </c:pt>
                <c:pt idx="250">
                  <c:v>43843</c:v>
                </c:pt>
                <c:pt idx="251">
                  <c:v>43844</c:v>
                </c:pt>
                <c:pt idx="252">
                  <c:v>43845</c:v>
                </c:pt>
                <c:pt idx="253">
                  <c:v>43846</c:v>
                </c:pt>
                <c:pt idx="254">
                  <c:v>43847</c:v>
                </c:pt>
                <c:pt idx="255">
                  <c:v>43850</c:v>
                </c:pt>
                <c:pt idx="256">
                  <c:v>43851</c:v>
                </c:pt>
                <c:pt idx="257">
                  <c:v>43852</c:v>
                </c:pt>
                <c:pt idx="258">
                  <c:v>43853</c:v>
                </c:pt>
                <c:pt idx="259">
                  <c:v>43854</c:v>
                </c:pt>
                <c:pt idx="260">
                  <c:v>43859</c:v>
                </c:pt>
                <c:pt idx="261">
                  <c:v>43860</c:v>
                </c:pt>
                <c:pt idx="262">
                  <c:v>43861</c:v>
                </c:pt>
                <c:pt idx="263">
                  <c:v>43864</c:v>
                </c:pt>
                <c:pt idx="264">
                  <c:v>43865</c:v>
                </c:pt>
                <c:pt idx="265">
                  <c:v>43866</c:v>
                </c:pt>
                <c:pt idx="266">
                  <c:v>43867</c:v>
                </c:pt>
                <c:pt idx="267">
                  <c:v>43868</c:v>
                </c:pt>
                <c:pt idx="268">
                  <c:v>43871</c:v>
                </c:pt>
                <c:pt idx="269">
                  <c:v>43872</c:v>
                </c:pt>
                <c:pt idx="270">
                  <c:v>43873</c:v>
                </c:pt>
                <c:pt idx="271">
                  <c:v>43874</c:v>
                </c:pt>
                <c:pt idx="272">
                  <c:v>43875</c:v>
                </c:pt>
                <c:pt idx="273">
                  <c:v>43878</c:v>
                </c:pt>
                <c:pt idx="274">
                  <c:v>43879</c:v>
                </c:pt>
                <c:pt idx="275">
                  <c:v>43880</c:v>
                </c:pt>
                <c:pt idx="276">
                  <c:v>43881</c:v>
                </c:pt>
                <c:pt idx="277">
                  <c:v>43882</c:v>
                </c:pt>
                <c:pt idx="278">
                  <c:v>43885</c:v>
                </c:pt>
                <c:pt idx="279">
                  <c:v>43886</c:v>
                </c:pt>
                <c:pt idx="280">
                  <c:v>43887</c:v>
                </c:pt>
                <c:pt idx="281">
                  <c:v>43888</c:v>
                </c:pt>
                <c:pt idx="282">
                  <c:v>43889</c:v>
                </c:pt>
                <c:pt idx="283">
                  <c:v>43892</c:v>
                </c:pt>
                <c:pt idx="284">
                  <c:v>43893</c:v>
                </c:pt>
                <c:pt idx="285">
                  <c:v>43894</c:v>
                </c:pt>
                <c:pt idx="286">
                  <c:v>43895</c:v>
                </c:pt>
                <c:pt idx="287">
                  <c:v>43896</c:v>
                </c:pt>
                <c:pt idx="288">
                  <c:v>43899</c:v>
                </c:pt>
                <c:pt idx="289">
                  <c:v>43900</c:v>
                </c:pt>
                <c:pt idx="290">
                  <c:v>43901</c:v>
                </c:pt>
                <c:pt idx="291">
                  <c:v>43902</c:v>
                </c:pt>
                <c:pt idx="292">
                  <c:v>43903</c:v>
                </c:pt>
                <c:pt idx="293">
                  <c:v>43906</c:v>
                </c:pt>
                <c:pt idx="294">
                  <c:v>43907</c:v>
                </c:pt>
                <c:pt idx="295">
                  <c:v>43908</c:v>
                </c:pt>
                <c:pt idx="296">
                  <c:v>43909</c:v>
                </c:pt>
                <c:pt idx="297">
                  <c:v>43910</c:v>
                </c:pt>
                <c:pt idx="298">
                  <c:v>43913</c:v>
                </c:pt>
                <c:pt idx="299">
                  <c:v>43914</c:v>
                </c:pt>
                <c:pt idx="300">
                  <c:v>43915</c:v>
                </c:pt>
                <c:pt idx="301">
                  <c:v>43916</c:v>
                </c:pt>
                <c:pt idx="302">
                  <c:v>43917</c:v>
                </c:pt>
                <c:pt idx="303">
                  <c:v>43920</c:v>
                </c:pt>
                <c:pt idx="304">
                  <c:v>43921</c:v>
                </c:pt>
                <c:pt idx="305">
                  <c:v>43922</c:v>
                </c:pt>
                <c:pt idx="306">
                  <c:v>43923</c:v>
                </c:pt>
                <c:pt idx="307">
                  <c:v>43924</c:v>
                </c:pt>
                <c:pt idx="308">
                  <c:v>43927</c:v>
                </c:pt>
                <c:pt idx="309">
                  <c:v>43928</c:v>
                </c:pt>
                <c:pt idx="310">
                  <c:v>43929</c:v>
                </c:pt>
                <c:pt idx="311">
                  <c:v>43930</c:v>
                </c:pt>
                <c:pt idx="312">
                  <c:v>43934</c:v>
                </c:pt>
                <c:pt idx="313">
                  <c:v>43935</c:v>
                </c:pt>
                <c:pt idx="314">
                  <c:v>43936</c:v>
                </c:pt>
                <c:pt idx="315">
                  <c:v>43937</c:v>
                </c:pt>
                <c:pt idx="316">
                  <c:v>43938</c:v>
                </c:pt>
                <c:pt idx="317">
                  <c:v>43941</c:v>
                </c:pt>
                <c:pt idx="318">
                  <c:v>43942</c:v>
                </c:pt>
                <c:pt idx="319">
                  <c:v>43943</c:v>
                </c:pt>
                <c:pt idx="320">
                  <c:v>43944</c:v>
                </c:pt>
                <c:pt idx="321">
                  <c:v>43948</c:v>
                </c:pt>
                <c:pt idx="322">
                  <c:v>43949</c:v>
                </c:pt>
                <c:pt idx="323">
                  <c:v>43950</c:v>
                </c:pt>
                <c:pt idx="324">
                  <c:v>43951</c:v>
                </c:pt>
                <c:pt idx="325">
                  <c:v>43955</c:v>
                </c:pt>
                <c:pt idx="326">
                  <c:v>43956</c:v>
                </c:pt>
                <c:pt idx="327">
                  <c:v>43957</c:v>
                </c:pt>
                <c:pt idx="328">
                  <c:v>43958</c:v>
                </c:pt>
                <c:pt idx="329">
                  <c:v>43959</c:v>
                </c:pt>
                <c:pt idx="330">
                  <c:v>43962</c:v>
                </c:pt>
                <c:pt idx="331">
                  <c:v>43963</c:v>
                </c:pt>
                <c:pt idx="332">
                  <c:v>43964</c:v>
                </c:pt>
                <c:pt idx="333">
                  <c:v>43965</c:v>
                </c:pt>
                <c:pt idx="334">
                  <c:v>43966</c:v>
                </c:pt>
                <c:pt idx="335">
                  <c:v>43969</c:v>
                </c:pt>
                <c:pt idx="336">
                  <c:v>43970</c:v>
                </c:pt>
                <c:pt idx="337">
                  <c:v>43971</c:v>
                </c:pt>
                <c:pt idx="338">
                  <c:v>43972</c:v>
                </c:pt>
                <c:pt idx="339">
                  <c:v>43973</c:v>
                </c:pt>
                <c:pt idx="340">
                  <c:v>43976</c:v>
                </c:pt>
                <c:pt idx="341">
                  <c:v>43977</c:v>
                </c:pt>
                <c:pt idx="342">
                  <c:v>43978</c:v>
                </c:pt>
                <c:pt idx="343">
                  <c:v>43983</c:v>
                </c:pt>
                <c:pt idx="344">
                  <c:v>43984</c:v>
                </c:pt>
                <c:pt idx="345">
                  <c:v>43985</c:v>
                </c:pt>
                <c:pt idx="346">
                  <c:v>43986</c:v>
                </c:pt>
                <c:pt idx="347">
                  <c:v>43987</c:v>
                </c:pt>
                <c:pt idx="348">
                  <c:v>43990</c:v>
                </c:pt>
                <c:pt idx="349">
                  <c:v>43991</c:v>
                </c:pt>
                <c:pt idx="350">
                  <c:v>43992</c:v>
                </c:pt>
                <c:pt idx="351">
                  <c:v>43993</c:v>
                </c:pt>
                <c:pt idx="352">
                  <c:v>43994</c:v>
                </c:pt>
                <c:pt idx="353">
                  <c:v>43997</c:v>
                </c:pt>
                <c:pt idx="354">
                  <c:v>43998</c:v>
                </c:pt>
                <c:pt idx="355">
                  <c:v>43999</c:v>
                </c:pt>
                <c:pt idx="356">
                  <c:v>44000</c:v>
                </c:pt>
                <c:pt idx="357">
                  <c:v>44001</c:v>
                </c:pt>
                <c:pt idx="358">
                  <c:v>44004</c:v>
                </c:pt>
                <c:pt idx="359">
                  <c:v>44005</c:v>
                </c:pt>
                <c:pt idx="360">
                  <c:v>44006</c:v>
                </c:pt>
                <c:pt idx="361">
                  <c:v>44007</c:v>
                </c:pt>
                <c:pt idx="362">
                  <c:v>44008</c:v>
                </c:pt>
                <c:pt idx="363">
                  <c:v>44011</c:v>
                </c:pt>
                <c:pt idx="364">
                  <c:v>44012</c:v>
                </c:pt>
                <c:pt idx="365">
                  <c:v>44013</c:v>
                </c:pt>
                <c:pt idx="366">
                  <c:v>44014</c:v>
                </c:pt>
                <c:pt idx="367">
                  <c:v>44015</c:v>
                </c:pt>
                <c:pt idx="368">
                  <c:v>44018</c:v>
                </c:pt>
                <c:pt idx="369">
                  <c:v>44019</c:v>
                </c:pt>
                <c:pt idx="370">
                  <c:v>44020</c:v>
                </c:pt>
                <c:pt idx="371">
                  <c:v>44021</c:v>
                </c:pt>
                <c:pt idx="372">
                  <c:v>44022</c:v>
                </c:pt>
                <c:pt idx="373">
                  <c:v>44025</c:v>
                </c:pt>
                <c:pt idx="374">
                  <c:v>44026</c:v>
                </c:pt>
                <c:pt idx="375">
                  <c:v>44027</c:v>
                </c:pt>
                <c:pt idx="376">
                  <c:v>44028</c:v>
                </c:pt>
                <c:pt idx="377">
                  <c:v>44029</c:v>
                </c:pt>
                <c:pt idx="378">
                  <c:v>44032</c:v>
                </c:pt>
                <c:pt idx="379">
                  <c:v>44033</c:v>
                </c:pt>
                <c:pt idx="380">
                  <c:v>44034</c:v>
                </c:pt>
                <c:pt idx="381">
                  <c:v>44035</c:v>
                </c:pt>
                <c:pt idx="382">
                  <c:v>44036</c:v>
                </c:pt>
                <c:pt idx="383">
                  <c:v>44039</c:v>
                </c:pt>
                <c:pt idx="384">
                  <c:v>44040</c:v>
                </c:pt>
                <c:pt idx="385">
                  <c:v>44041</c:v>
                </c:pt>
                <c:pt idx="386">
                  <c:v>44042</c:v>
                </c:pt>
                <c:pt idx="387">
                  <c:v>44043</c:v>
                </c:pt>
                <c:pt idx="388">
                  <c:v>44046</c:v>
                </c:pt>
                <c:pt idx="389">
                  <c:v>44047</c:v>
                </c:pt>
                <c:pt idx="390">
                  <c:v>44048</c:v>
                </c:pt>
                <c:pt idx="391">
                  <c:v>44049</c:v>
                </c:pt>
                <c:pt idx="392">
                  <c:v>44050</c:v>
                </c:pt>
                <c:pt idx="393">
                  <c:v>44053</c:v>
                </c:pt>
                <c:pt idx="394">
                  <c:v>44054</c:v>
                </c:pt>
                <c:pt idx="395">
                  <c:v>44055</c:v>
                </c:pt>
                <c:pt idx="396">
                  <c:v>44056</c:v>
                </c:pt>
                <c:pt idx="397">
                  <c:v>44057</c:v>
                </c:pt>
                <c:pt idx="398">
                  <c:v>44060</c:v>
                </c:pt>
                <c:pt idx="399">
                  <c:v>44061</c:v>
                </c:pt>
                <c:pt idx="400">
                  <c:v>44062</c:v>
                </c:pt>
                <c:pt idx="401">
                  <c:v>44063</c:v>
                </c:pt>
                <c:pt idx="402">
                  <c:v>44064</c:v>
                </c:pt>
                <c:pt idx="403">
                  <c:v>44067</c:v>
                </c:pt>
                <c:pt idx="404">
                  <c:v>44068</c:v>
                </c:pt>
                <c:pt idx="405">
                  <c:v>44069</c:v>
                </c:pt>
                <c:pt idx="406">
                  <c:v>44070</c:v>
                </c:pt>
                <c:pt idx="407">
                  <c:v>44071</c:v>
                </c:pt>
                <c:pt idx="408">
                  <c:v>44074</c:v>
                </c:pt>
                <c:pt idx="409">
                  <c:v>44075</c:v>
                </c:pt>
                <c:pt idx="410">
                  <c:v>44076</c:v>
                </c:pt>
                <c:pt idx="411">
                  <c:v>44077</c:v>
                </c:pt>
                <c:pt idx="412">
                  <c:v>44078</c:v>
                </c:pt>
                <c:pt idx="413">
                  <c:v>44081</c:v>
                </c:pt>
                <c:pt idx="414">
                  <c:v>44082</c:v>
                </c:pt>
                <c:pt idx="415">
                  <c:v>44083</c:v>
                </c:pt>
                <c:pt idx="416">
                  <c:v>44084</c:v>
                </c:pt>
                <c:pt idx="417">
                  <c:v>44085</c:v>
                </c:pt>
                <c:pt idx="418">
                  <c:v>44088</c:v>
                </c:pt>
                <c:pt idx="419">
                  <c:v>44089</c:v>
                </c:pt>
                <c:pt idx="420">
                  <c:v>44090</c:v>
                </c:pt>
                <c:pt idx="421">
                  <c:v>44091</c:v>
                </c:pt>
                <c:pt idx="422">
                  <c:v>44092</c:v>
                </c:pt>
                <c:pt idx="423">
                  <c:v>44096</c:v>
                </c:pt>
                <c:pt idx="424">
                  <c:v>44097</c:v>
                </c:pt>
                <c:pt idx="425">
                  <c:v>44098</c:v>
                </c:pt>
                <c:pt idx="426">
                  <c:v>44099</c:v>
                </c:pt>
                <c:pt idx="427">
                  <c:v>44102</c:v>
                </c:pt>
                <c:pt idx="428">
                  <c:v>44103</c:v>
                </c:pt>
                <c:pt idx="429">
                  <c:v>44104</c:v>
                </c:pt>
                <c:pt idx="430">
                  <c:v>44105</c:v>
                </c:pt>
                <c:pt idx="431">
                  <c:v>44106</c:v>
                </c:pt>
                <c:pt idx="432">
                  <c:v>44109</c:v>
                </c:pt>
                <c:pt idx="433">
                  <c:v>44110</c:v>
                </c:pt>
                <c:pt idx="434">
                  <c:v>44111</c:v>
                </c:pt>
                <c:pt idx="435">
                  <c:v>44112</c:v>
                </c:pt>
                <c:pt idx="436">
                  <c:v>44113</c:v>
                </c:pt>
                <c:pt idx="437">
                  <c:v>44116</c:v>
                </c:pt>
                <c:pt idx="438">
                  <c:v>44117</c:v>
                </c:pt>
                <c:pt idx="439">
                  <c:v>44118</c:v>
                </c:pt>
                <c:pt idx="440">
                  <c:v>44119</c:v>
                </c:pt>
                <c:pt idx="441">
                  <c:v>44120</c:v>
                </c:pt>
                <c:pt idx="442">
                  <c:v>44123</c:v>
                </c:pt>
                <c:pt idx="443">
                  <c:v>44124</c:v>
                </c:pt>
                <c:pt idx="444">
                  <c:v>44125</c:v>
                </c:pt>
                <c:pt idx="445">
                  <c:v>44126</c:v>
                </c:pt>
                <c:pt idx="446">
                  <c:v>44127</c:v>
                </c:pt>
                <c:pt idx="447">
                  <c:v>44130</c:v>
                </c:pt>
                <c:pt idx="448">
                  <c:v>44131</c:v>
                </c:pt>
                <c:pt idx="449">
                  <c:v>44132</c:v>
                </c:pt>
                <c:pt idx="450">
                  <c:v>44133</c:v>
                </c:pt>
                <c:pt idx="451">
                  <c:v>44134</c:v>
                </c:pt>
                <c:pt idx="452">
                  <c:v>44137</c:v>
                </c:pt>
                <c:pt idx="453">
                  <c:v>44138</c:v>
                </c:pt>
                <c:pt idx="454">
                  <c:v>44139</c:v>
                </c:pt>
                <c:pt idx="455">
                  <c:v>44140</c:v>
                </c:pt>
                <c:pt idx="456">
                  <c:v>44141</c:v>
                </c:pt>
                <c:pt idx="457">
                  <c:v>44144</c:v>
                </c:pt>
                <c:pt idx="458">
                  <c:v>44145</c:v>
                </c:pt>
                <c:pt idx="459">
                  <c:v>44146</c:v>
                </c:pt>
                <c:pt idx="460">
                  <c:v>44147</c:v>
                </c:pt>
                <c:pt idx="461">
                  <c:v>44148</c:v>
                </c:pt>
                <c:pt idx="462">
                  <c:v>44151</c:v>
                </c:pt>
                <c:pt idx="463">
                  <c:v>44152</c:v>
                </c:pt>
                <c:pt idx="464">
                  <c:v>44153</c:v>
                </c:pt>
                <c:pt idx="465">
                  <c:v>44154</c:v>
                </c:pt>
                <c:pt idx="466">
                  <c:v>44155</c:v>
                </c:pt>
                <c:pt idx="467">
                  <c:v>44158</c:v>
                </c:pt>
                <c:pt idx="468">
                  <c:v>44159</c:v>
                </c:pt>
                <c:pt idx="469">
                  <c:v>44160</c:v>
                </c:pt>
                <c:pt idx="470">
                  <c:v>44161</c:v>
                </c:pt>
                <c:pt idx="471">
                  <c:v>44162</c:v>
                </c:pt>
                <c:pt idx="472">
                  <c:v>44165</c:v>
                </c:pt>
                <c:pt idx="473">
                  <c:v>44166</c:v>
                </c:pt>
                <c:pt idx="474">
                  <c:v>44167</c:v>
                </c:pt>
                <c:pt idx="475">
                  <c:v>44168</c:v>
                </c:pt>
                <c:pt idx="476">
                  <c:v>44169</c:v>
                </c:pt>
                <c:pt idx="477">
                  <c:v>44172</c:v>
                </c:pt>
                <c:pt idx="478">
                  <c:v>44173</c:v>
                </c:pt>
                <c:pt idx="479">
                  <c:v>44174</c:v>
                </c:pt>
                <c:pt idx="480">
                  <c:v>44175</c:v>
                </c:pt>
                <c:pt idx="481">
                  <c:v>44176</c:v>
                </c:pt>
                <c:pt idx="482">
                  <c:v>44179</c:v>
                </c:pt>
                <c:pt idx="483">
                  <c:v>44180</c:v>
                </c:pt>
                <c:pt idx="484">
                  <c:v>44181</c:v>
                </c:pt>
                <c:pt idx="485">
                  <c:v>44182</c:v>
                </c:pt>
                <c:pt idx="486">
                  <c:v>44183</c:v>
                </c:pt>
                <c:pt idx="487">
                  <c:v>44186</c:v>
                </c:pt>
                <c:pt idx="488">
                  <c:v>44187</c:v>
                </c:pt>
                <c:pt idx="489">
                  <c:v>44188</c:v>
                </c:pt>
                <c:pt idx="490">
                  <c:v>44189</c:v>
                </c:pt>
                <c:pt idx="491">
                  <c:v>44193</c:v>
                </c:pt>
                <c:pt idx="492">
                  <c:v>44194</c:v>
                </c:pt>
                <c:pt idx="493">
                  <c:v>44195</c:v>
                </c:pt>
                <c:pt idx="494">
                  <c:v>44196</c:v>
                </c:pt>
                <c:pt idx="495">
                  <c:v>44204</c:v>
                </c:pt>
                <c:pt idx="496">
                  <c:v>44207</c:v>
                </c:pt>
                <c:pt idx="497">
                  <c:v>44208</c:v>
                </c:pt>
                <c:pt idx="498">
                  <c:v>44209</c:v>
                </c:pt>
                <c:pt idx="499">
                  <c:v>44210</c:v>
                </c:pt>
                <c:pt idx="500">
                  <c:v>44211</c:v>
                </c:pt>
                <c:pt idx="501">
                  <c:v>44214</c:v>
                </c:pt>
                <c:pt idx="502">
                  <c:v>44215</c:v>
                </c:pt>
                <c:pt idx="503">
                  <c:v>44216</c:v>
                </c:pt>
                <c:pt idx="504">
                  <c:v>44217</c:v>
                </c:pt>
                <c:pt idx="505">
                  <c:v>44218</c:v>
                </c:pt>
                <c:pt idx="506">
                  <c:v>44221</c:v>
                </c:pt>
                <c:pt idx="507">
                  <c:v>44222</c:v>
                </c:pt>
                <c:pt idx="508">
                  <c:v>44223</c:v>
                </c:pt>
                <c:pt idx="509">
                  <c:v>44225</c:v>
                </c:pt>
                <c:pt idx="510">
                  <c:v>44228</c:v>
                </c:pt>
                <c:pt idx="511">
                  <c:v>44229</c:v>
                </c:pt>
                <c:pt idx="512">
                  <c:v>44230</c:v>
                </c:pt>
                <c:pt idx="513">
                  <c:v>44231</c:v>
                </c:pt>
                <c:pt idx="514">
                  <c:v>44232</c:v>
                </c:pt>
                <c:pt idx="515">
                  <c:v>44235</c:v>
                </c:pt>
                <c:pt idx="516">
                  <c:v>44236</c:v>
                </c:pt>
                <c:pt idx="517">
                  <c:v>44237</c:v>
                </c:pt>
                <c:pt idx="518">
                  <c:v>44238</c:v>
                </c:pt>
                <c:pt idx="519">
                  <c:v>44239</c:v>
                </c:pt>
                <c:pt idx="520">
                  <c:v>44242</c:v>
                </c:pt>
                <c:pt idx="521">
                  <c:v>44243</c:v>
                </c:pt>
                <c:pt idx="522">
                  <c:v>44244</c:v>
                </c:pt>
                <c:pt idx="523">
                  <c:v>44245</c:v>
                </c:pt>
                <c:pt idx="524">
                  <c:v>44246</c:v>
                </c:pt>
                <c:pt idx="525">
                  <c:v>44249</c:v>
                </c:pt>
                <c:pt idx="526">
                  <c:v>44250</c:v>
                </c:pt>
                <c:pt idx="527">
                  <c:v>44251</c:v>
                </c:pt>
                <c:pt idx="528">
                  <c:v>44252</c:v>
                </c:pt>
                <c:pt idx="529">
                  <c:v>44253</c:v>
                </c:pt>
                <c:pt idx="530">
                  <c:v>44256</c:v>
                </c:pt>
                <c:pt idx="531">
                  <c:v>44257</c:v>
                </c:pt>
                <c:pt idx="532">
                  <c:v>44258</c:v>
                </c:pt>
                <c:pt idx="533">
                  <c:v>44259</c:v>
                </c:pt>
                <c:pt idx="534">
                  <c:v>44260</c:v>
                </c:pt>
                <c:pt idx="535">
                  <c:v>44264</c:v>
                </c:pt>
                <c:pt idx="536">
                  <c:v>44265</c:v>
                </c:pt>
                <c:pt idx="537">
                  <c:v>44266</c:v>
                </c:pt>
                <c:pt idx="538">
                  <c:v>44267</c:v>
                </c:pt>
                <c:pt idx="539">
                  <c:v>44270</c:v>
                </c:pt>
                <c:pt idx="540">
                  <c:v>44271</c:v>
                </c:pt>
                <c:pt idx="541">
                  <c:v>44272</c:v>
                </c:pt>
                <c:pt idx="542">
                  <c:v>44273</c:v>
                </c:pt>
                <c:pt idx="543">
                  <c:v>44274</c:v>
                </c:pt>
                <c:pt idx="544">
                  <c:v>44277</c:v>
                </c:pt>
                <c:pt idx="545">
                  <c:v>44278</c:v>
                </c:pt>
                <c:pt idx="546">
                  <c:v>44279</c:v>
                </c:pt>
                <c:pt idx="547">
                  <c:v>44280</c:v>
                </c:pt>
                <c:pt idx="548">
                  <c:v>44281</c:v>
                </c:pt>
                <c:pt idx="549">
                  <c:v>44284</c:v>
                </c:pt>
                <c:pt idx="550">
                  <c:v>44285</c:v>
                </c:pt>
                <c:pt idx="551">
                  <c:v>44286</c:v>
                </c:pt>
                <c:pt idx="552">
                  <c:v>44287</c:v>
                </c:pt>
                <c:pt idx="553">
                  <c:v>44288</c:v>
                </c:pt>
                <c:pt idx="554">
                  <c:v>44291</c:v>
                </c:pt>
                <c:pt idx="555">
                  <c:v>44292</c:v>
                </c:pt>
                <c:pt idx="556">
                  <c:v>44293</c:v>
                </c:pt>
                <c:pt idx="557">
                  <c:v>44294</c:v>
                </c:pt>
                <c:pt idx="558">
                  <c:v>44295</c:v>
                </c:pt>
                <c:pt idx="559">
                  <c:v>44298</c:v>
                </c:pt>
                <c:pt idx="560">
                  <c:v>44299</c:v>
                </c:pt>
                <c:pt idx="561">
                  <c:v>44300</c:v>
                </c:pt>
                <c:pt idx="562">
                  <c:v>44301</c:v>
                </c:pt>
                <c:pt idx="563">
                  <c:v>44302</c:v>
                </c:pt>
                <c:pt idx="564">
                  <c:v>44305</c:v>
                </c:pt>
                <c:pt idx="565">
                  <c:v>44306</c:v>
                </c:pt>
                <c:pt idx="566">
                  <c:v>44307</c:v>
                </c:pt>
                <c:pt idx="567">
                  <c:v>44308</c:v>
                </c:pt>
                <c:pt idx="568">
                  <c:v>44309</c:v>
                </c:pt>
                <c:pt idx="569">
                  <c:v>44312</c:v>
                </c:pt>
                <c:pt idx="570">
                  <c:v>44313</c:v>
                </c:pt>
                <c:pt idx="571">
                  <c:v>44314</c:v>
                </c:pt>
                <c:pt idx="572">
                  <c:v>44315</c:v>
                </c:pt>
                <c:pt idx="573">
                  <c:v>44316</c:v>
                </c:pt>
                <c:pt idx="574">
                  <c:v>44319</c:v>
                </c:pt>
                <c:pt idx="575">
                  <c:v>44320</c:v>
                </c:pt>
                <c:pt idx="576">
                  <c:v>44321</c:v>
                </c:pt>
                <c:pt idx="577">
                  <c:v>44322</c:v>
                </c:pt>
                <c:pt idx="578">
                  <c:v>44323</c:v>
                </c:pt>
                <c:pt idx="579">
                  <c:v>44326</c:v>
                </c:pt>
                <c:pt idx="580">
                  <c:v>44327</c:v>
                </c:pt>
                <c:pt idx="581">
                  <c:v>44328</c:v>
                </c:pt>
                <c:pt idx="582">
                  <c:v>44329</c:v>
                </c:pt>
                <c:pt idx="583">
                  <c:v>44330</c:v>
                </c:pt>
                <c:pt idx="584">
                  <c:v>44333</c:v>
                </c:pt>
                <c:pt idx="585">
                  <c:v>44334</c:v>
                </c:pt>
                <c:pt idx="586">
                  <c:v>44335</c:v>
                </c:pt>
                <c:pt idx="587">
                  <c:v>44336</c:v>
                </c:pt>
                <c:pt idx="588">
                  <c:v>44341</c:v>
                </c:pt>
                <c:pt idx="589" formatCode="d\-mmm\-yy">
                  <c:v>44342</c:v>
                </c:pt>
                <c:pt idx="590" formatCode="d\-mmm\-yy">
                  <c:v>44343</c:v>
                </c:pt>
                <c:pt idx="591" formatCode="d\-mmm\-yy">
                  <c:v>44347</c:v>
                </c:pt>
                <c:pt idx="592" formatCode="d\-mmm\-yy">
                  <c:v>44348</c:v>
                </c:pt>
                <c:pt idx="593" formatCode="d\-mmm\-yy">
                  <c:v>44349</c:v>
                </c:pt>
                <c:pt idx="594" formatCode="d\-mmm\-yy">
                  <c:v>44350</c:v>
                </c:pt>
                <c:pt idx="595" formatCode="d\-mmm\-yy">
                  <c:v>44351</c:v>
                </c:pt>
                <c:pt idx="596" formatCode="d\-mmm\-yy">
                  <c:v>44354</c:v>
                </c:pt>
                <c:pt idx="597" formatCode="d\-mmm\-yy">
                  <c:v>44355</c:v>
                </c:pt>
                <c:pt idx="598" formatCode="d\-mmm\-yy">
                  <c:v>44356</c:v>
                </c:pt>
                <c:pt idx="599" formatCode="d\-mmm\-yy">
                  <c:v>44357</c:v>
                </c:pt>
                <c:pt idx="600" formatCode="d\-mmm\-yy">
                  <c:v>44358</c:v>
                </c:pt>
                <c:pt idx="601" formatCode="d\-mmm\-yy">
                  <c:v>44361</c:v>
                </c:pt>
                <c:pt idx="602" formatCode="d\-mmm\-yy">
                  <c:v>44362</c:v>
                </c:pt>
                <c:pt idx="603" formatCode="d\-mmm\-yy">
                  <c:v>44363</c:v>
                </c:pt>
                <c:pt idx="604" formatCode="d\-mmm\-yy">
                  <c:v>44364</c:v>
                </c:pt>
                <c:pt idx="605" formatCode="d\-mmm\-yy">
                  <c:v>44365</c:v>
                </c:pt>
                <c:pt idx="606" formatCode="d\-mmm\-yy">
                  <c:v>44368</c:v>
                </c:pt>
                <c:pt idx="607" formatCode="d\-mmm\-yy">
                  <c:v>44369</c:v>
                </c:pt>
                <c:pt idx="608" formatCode="d\-mmm\-yy">
                  <c:v>44370</c:v>
                </c:pt>
                <c:pt idx="609" formatCode="d\-mmm\-yy">
                  <c:v>44371</c:v>
                </c:pt>
                <c:pt idx="610" formatCode="d\-mmm\-yy">
                  <c:v>44372</c:v>
                </c:pt>
                <c:pt idx="611" formatCode="d\-mmm\-yy">
                  <c:v>44375</c:v>
                </c:pt>
                <c:pt idx="612" formatCode="d\-mmm\-yy">
                  <c:v>44376</c:v>
                </c:pt>
                <c:pt idx="613" formatCode="d\-mmm\-yy">
                  <c:v>44377</c:v>
                </c:pt>
                <c:pt idx="614" formatCode="d\-mmm\-yy">
                  <c:v>44378</c:v>
                </c:pt>
                <c:pt idx="615" formatCode="d\-mmm\-yy">
                  <c:v>44379</c:v>
                </c:pt>
                <c:pt idx="616" formatCode="d\-mmm\-yy">
                  <c:v>44383</c:v>
                </c:pt>
                <c:pt idx="617" formatCode="d\-mmm\-yy">
                  <c:v>44384</c:v>
                </c:pt>
                <c:pt idx="618" formatCode="d\-mmm\-yy">
                  <c:v>44385</c:v>
                </c:pt>
                <c:pt idx="619" formatCode="d\-mmm\-yy">
                  <c:v>44386</c:v>
                </c:pt>
                <c:pt idx="620" formatCode="d\-mmm\-yy">
                  <c:v>44389</c:v>
                </c:pt>
              </c:numCache>
            </c:numRef>
          </c:cat>
          <c:val>
            <c:numRef>
              <c:f>Sheet1!$C$2:$C$622</c:f>
              <c:numCache>
                <c:formatCode>0</c:formatCode>
                <c:ptCount val="62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101</c:v>
                </c:pt>
                <c:pt idx="17">
                  <c:v>101</c:v>
                </c:pt>
                <c:pt idx="18">
                  <c:v>101</c:v>
                </c:pt>
                <c:pt idx="19">
                  <c:v>101</c:v>
                </c:pt>
                <c:pt idx="20">
                  <c:v>101</c:v>
                </c:pt>
                <c:pt idx="21">
                  <c:v>101</c:v>
                </c:pt>
                <c:pt idx="22">
                  <c:v>101</c:v>
                </c:pt>
                <c:pt idx="23">
                  <c:v>101</c:v>
                </c:pt>
                <c:pt idx="24">
                  <c:v>101</c:v>
                </c:pt>
                <c:pt idx="25">
                  <c:v>101</c:v>
                </c:pt>
                <c:pt idx="26">
                  <c:v>101</c:v>
                </c:pt>
                <c:pt idx="27">
                  <c:v>101</c:v>
                </c:pt>
                <c:pt idx="28">
                  <c:v>101</c:v>
                </c:pt>
                <c:pt idx="29">
                  <c:v>101</c:v>
                </c:pt>
                <c:pt idx="30">
                  <c:v>101</c:v>
                </c:pt>
                <c:pt idx="31">
                  <c:v>101</c:v>
                </c:pt>
                <c:pt idx="32">
                  <c:v>101</c:v>
                </c:pt>
                <c:pt idx="33">
                  <c:v>101</c:v>
                </c:pt>
                <c:pt idx="34">
                  <c:v>101</c:v>
                </c:pt>
                <c:pt idx="35">
                  <c:v>101</c:v>
                </c:pt>
                <c:pt idx="36">
                  <c:v>101</c:v>
                </c:pt>
                <c:pt idx="37">
                  <c:v>101</c:v>
                </c:pt>
                <c:pt idx="38">
                  <c:v>101</c:v>
                </c:pt>
                <c:pt idx="39">
                  <c:v>101</c:v>
                </c:pt>
                <c:pt idx="40">
                  <c:v>101</c:v>
                </c:pt>
                <c:pt idx="41">
                  <c:v>101</c:v>
                </c:pt>
                <c:pt idx="42">
                  <c:v>101</c:v>
                </c:pt>
                <c:pt idx="43">
                  <c:v>101</c:v>
                </c:pt>
                <c:pt idx="44">
                  <c:v>101</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101</c:v>
                </c:pt>
                <c:pt idx="60">
                  <c:v>101</c:v>
                </c:pt>
                <c:pt idx="61">
                  <c:v>101</c:v>
                </c:pt>
                <c:pt idx="62">
                  <c:v>101</c:v>
                </c:pt>
                <c:pt idx="63">
                  <c:v>100</c:v>
                </c:pt>
                <c:pt idx="64">
                  <c:v>100</c:v>
                </c:pt>
                <c:pt idx="65">
                  <c:v>100</c:v>
                </c:pt>
                <c:pt idx="66">
                  <c:v>100</c:v>
                </c:pt>
                <c:pt idx="67">
                  <c:v>100</c:v>
                </c:pt>
                <c:pt idx="68">
                  <c:v>100</c:v>
                </c:pt>
                <c:pt idx="69">
                  <c:v>100</c:v>
                </c:pt>
                <c:pt idx="70">
                  <c:v>100</c:v>
                </c:pt>
                <c:pt idx="71">
                  <c:v>100</c:v>
                </c:pt>
                <c:pt idx="72">
                  <c:v>100</c:v>
                </c:pt>
                <c:pt idx="73">
                  <c:v>99</c:v>
                </c:pt>
                <c:pt idx="74">
                  <c:v>99</c:v>
                </c:pt>
                <c:pt idx="75">
                  <c:v>99</c:v>
                </c:pt>
                <c:pt idx="76">
                  <c:v>99</c:v>
                </c:pt>
                <c:pt idx="77">
                  <c:v>99</c:v>
                </c:pt>
                <c:pt idx="78">
                  <c:v>99</c:v>
                </c:pt>
                <c:pt idx="79">
                  <c:v>99</c:v>
                </c:pt>
                <c:pt idx="80">
                  <c:v>99</c:v>
                </c:pt>
                <c:pt idx="81">
                  <c:v>99</c:v>
                </c:pt>
                <c:pt idx="82">
                  <c:v>100</c:v>
                </c:pt>
                <c:pt idx="83">
                  <c:v>100</c:v>
                </c:pt>
                <c:pt idx="84">
                  <c:v>99</c:v>
                </c:pt>
                <c:pt idx="85">
                  <c:v>99</c:v>
                </c:pt>
                <c:pt idx="86">
                  <c:v>99</c:v>
                </c:pt>
                <c:pt idx="87">
                  <c:v>99</c:v>
                </c:pt>
                <c:pt idx="88">
                  <c:v>99</c:v>
                </c:pt>
                <c:pt idx="89">
                  <c:v>99</c:v>
                </c:pt>
                <c:pt idx="90">
                  <c:v>99</c:v>
                </c:pt>
                <c:pt idx="91">
                  <c:v>99</c:v>
                </c:pt>
                <c:pt idx="92">
                  <c:v>99</c:v>
                </c:pt>
                <c:pt idx="93">
                  <c:v>99</c:v>
                </c:pt>
                <c:pt idx="94">
                  <c:v>99</c:v>
                </c:pt>
                <c:pt idx="95">
                  <c:v>99</c:v>
                </c:pt>
                <c:pt idx="96">
                  <c:v>99</c:v>
                </c:pt>
                <c:pt idx="97">
                  <c:v>99</c:v>
                </c:pt>
                <c:pt idx="98">
                  <c:v>99</c:v>
                </c:pt>
                <c:pt idx="99">
                  <c:v>99</c:v>
                </c:pt>
                <c:pt idx="100">
                  <c:v>99</c:v>
                </c:pt>
                <c:pt idx="101">
                  <c:v>99</c:v>
                </c:pt>
                <c:pt idx="102">
                  <c:v>99</c:v>
                </c:pt>
                <c:pt idx="103">
                  <c:v>99</c:v>
                </c:pt>
                <c:pt idx="104">
                  <c:v>99</c:v>
                </c:pt>
                <c:pt idx="105">
                  <c:v>99</c:v>
                </c:pt>
                <c:pt idx="106">
                  <c:v>99</c:v>
                </c:pt>
                <c:pt idx="107">
                  <c:v>99</c:v>
                </c:pt>
                <c:pt idx="108">
                  <c:v>99</c:v>
                </c:pt>
                <c:pt idx="109">
                  <c:v>99</c:v>
                </c:pt>
                <c:pt idx="110">
                  <c:v>99</c:v>
                </c:pt>
                <c:pt idx="111">
                  <c:v>99</c:v>
                </c:pt>
                <c:pt idx="112">
                  <c:v>99</c:v>
                </c:pt>
                <c:pt idx="113">
                  <c:v>99</c:v>
                </c:pt>
                <c:pt idx="114">
                  <c:v>98</c:v>
                </c:pt>
                <c:pt idx="115">
                  <c:v>99</c:v>
                </c:pt>
                <c:pt idx="116">
                  <c:v>99</c:v>
                </c:pt>
                <c:pt idx="117">
                  <c:v>99</c:v>
                </c:pt>
                <c:pt idx="118">
                  <c:v>98</c:v>
                </c:pt>
                <c:pt idx="119">
                  <c:v>98</c:v>
                </c:pt>
                <c:pt idx="120">
                  <c:v>98</c:v>
                </c:pt>
                <c:pt idx="121">
                  <c:v>98</c:v>
                </c:pt>
                <c:pt idx="122">
                  <c:v>98</c:v>
                </c:pt>
                <c:pt idx="123">
                  <c:v>98</c:v>
                </c:pt>
                <c:pt idx="124">
                  <c:v>98</c:v>
                </c:pt>
                <c:pt idx="125">
                  <c:v>98</c:v>
                </c:pt>
                <c:pt idx="126">
                  <c:v>98</c:v>
                </c:pt>
                <c:pt idx="127">
                  <c:v>98</c:v>
                </c:pt>
                <c:pt idx="128">
                  <c:v>98</c:v>
                </c:pt>
                <c:pt idx="129">
                  <c:v>98</c:v>
                </c:pt>
                <c:pt idx="130">
                  <c:v>98</c:v>
                </c:pt>
                <c:pt idx="131">
                  <c:v>98</c:v>
                </c:pt>
                <c:pt idx="132">
                  <c:v>98</c:v>
                </c:pt>
                <c:pt idx="133">
                  <c:v>98</c:v>
                </c:pt>
                <c:pt idx="134">
                  <c:v>98</c:v>
                </c:pt>
                <c:pt idx="135">
                  <c:v>98</c:v>
                </c:pt>
                <c:pt idx="136">
                  <c:v>98</c:v>
                </c:pt>
                <c:pt idx="137">
                  <c:v>98</c:v>
                </c:pt>
                <c:pt idx="138">
                  <c:v>98</c:v>
                </c:pt>
                <c:pt idx="139">
                  <c:v>98</c:v>
                </c:pt>
                <c:pt idx="140">
                  <c:v>98</c:v>
                </c:pt>
                <c:pt idx="141">
                  <c:v>98</c:v>
                </c:pt>
                <c:pt idx="142">
                  <c:v>98</c:v>
                </c:pt>
                <c:pt idx="143">
                  <c:v>98</c:v>
                </c:pt>
                <c:pt idx="144">
                  <c:v>98</c:v>
                </c:pt>
                <c:pt idx="145">
                  <c:v>98</c:v>
                </c:pt>
                <c:pt idx="146">
                  <c:v>98</c:v>
                </c:pt>
                <c:pt idx="147">
                  <c:v>98</c:v>
                </c:pt>
                <c:pt idx="148">
                  <c:v>98</c:v>
                </c:pt>
                <c:pt idx="149">
                  <c:v>98</c:v>
                </c:pt>
                <c:pt idx="150">
                  <c:v>98</c:v>
                </c:pt>
                <c:pt idx="151">
                  <c:v>98</c:v>
                </c:pt>
                <c:pt idx="152">
                  <c:v>98</c:v>
                </c:pt>
                <c:pt idx="153">
                  <c:v>98</c:v>
                </c:pt>
                <c:pt idx="154">
                  <c:v>98</c:v>
                </c:pt>
                <c:pt idx="155">
                  <c:v>98</c:v>
                </c:pt>
                <c:pt idx="156">
                  <c:v>98</c:v>
                </c:pt>
                <c:pt idx="157">
                  <c:v>98</c:v>
                </c:pt>
                <c:pt idx="158">
                  <c:v>98</c:v>
                </c:pt>
                <c:pt idx="159">
                  <c:v>98</c:v>
                </c:pt>
                <c:pt idx="160">
                  <c:v>98</c:v>
                </c:pt>
                <c:pt idx="161">
                  <c:v>98</c:v>
                </c:pt>
                <c:pt idx="162">
                  <c:v>98</c:v>
                </c:pt>
                <c:pt idx="163">
                  <c:v>98</c:v>
                </c:pt>
                <c:pt idx="164">
                  <c:v>98</c:v>
                </c:pt>
                <c:pt idx="165">
                  <c:v>98</c:v>
                </c:pt>
                <c:pt idx="166">
                  <c:v>98</c:v>
                </c:pt>
                <c:pt idx="167">
                  <c:v>98</c:v>
                </c:pt>
                <c:pt idx="168">
                  <c:v>98</c:v>
                </c:pt>
                <c:pt idx="169">
                  <c:v>98</c:v>
                </c:pt>
                <c:pt idx="170">
                  <c:v>98</c:v>
                </c:pt>
                <c:pt idx="171">
                  <c:v>98</c:v>
                </c:pt>
                <c:pt idx="172">
                  <c:v>98</c:v>
                </c:pt>
                <c:pt idx="173">
                  <c:v>98</c:v>
                </c:pt>
                <c:pt idx="174">
                  <c:v>98</c:v>
                </c:pt>
                <c:pt idx="175">
                  <c:v>98</c:v>
                </c:pt>
                <c:pt idx="176">
                  <c:v>98</c:v>
                </c:pt>
                <c:pt idx="177">
                  <c:v>98</c:v>
                </c:pt>
                <c:pt idx="178">
                  <c:v>98</c:v>
                </c:pt>
                <c:pt idx="179">
                  <c:v>98</c:v>
                </c:pt>
                <c:pt idx="180">
                  <c:v>98</c:v>
                </c:pt>
                <c:pt idx="181">
                  <c:v>98</c:v>
                </c:pt>
                <c:pt idx="182">
                  <c:v>98</c:v>
                </c:pt>
                <c:pt idx="183">
                  <c:v>98</c:v>
                </c:pt>
                <c:pt idx="184">
                  <c:v>98</c:v>
                </c:pt>
                <c:pt idx="185">
                  <c:v>98</c:v>
                </c:pt>
                <c:pt idx="186">
                  <c:v>98</c:v>
                </c:pt>
                <c:pt idx="187">
                  <c:v>98</c:v>
                </c:pt>
                <c:pt idx="188">
                  <c:v>98</c:v>
                </c:pt>
                <c:pt idx="189">
                  <c:v>98</c:v>
                </c:pt>
                <c:pt idx="190">
                  <c:v>98</c:v>
                </c:pt>
                <c:pt idx="191">
                  <c:v>98</c:v>
                </c:pt>
                <c:pt idx="192">
                  <c:v>98</c:v>
                </c:pt>
                <c:pt idx="193">
                  <c:v>98</c:v>
                </c:pt>
                <c:pt idx="194">
                  <c:v>98</c:v>
                </c:pt>
                <c:pt idx="195">
                  <c:v>98</c:v>
                </c:pt>
                <c:pt idx="196">
                  <c:v>98</c:v>
                </c:pt>
                <c:pt idx="197">
                  <c:v>98</c:v>
                </c:pt>
                <c:pt idx="198">
                  <c:v>98</c:v>
                </c:pt>
                <c:pt idx="199">
                  <c:v>98</c:v>
                </c:pt>
                <c:pt idx="200">
                  <c:v>98</c:v>
                </c:pt>
                <c:pt idx="201">
                  <c:v>98</c:v>
                </c:pt>
                <c:pt idx="202">
                  <c:v>98</c:v>
                </c:pt>
                <c:pt idx="203">
                  <c:v>98</c:v>
                </c:pt>
                <c:pt idx="204">
                  <c:v>98</c:v>
                </c:pt>
                <c:pt idx="205">
                  <c:v>98</c:v>
                </c:pt>
                <c:pt idx="206">
                  <c:v>98</c:v>
                </c:pt>
                <c:pt idx="207">
                  <c:v>98</c:v>
                </c:pt>
                <c:pt idx="208">
                  <c:v>98</c:v>
                </c:pt>
                <c:pt idx="209">
                  <c:v>98</c:v>
                </c:pt>
                <c:pt idx="210">
                  <c:v>99</c:v>
                </c:pt>
                <c:pt idx="211">
                  <c:v>99</c:v>
                </c:pt>
                <c:pt idx="212">
                  <c:v>99</c:v>
                </c:pt>
                <c:pt idx="213">
                  <c:v>99</c:v>
                </c:pt>
                <c:pt idx="214">
                  <c:v>99</c:v>
                </c:pt>
                <c:pt idx="215">
                  <c:v>99</c:v>
                </c:pt>
                <c:pt idx="216">
                  <c:v>99</c:v>
                </c:pt>
                <c:pt idx="217">
                  <c:v>99</c:v>
                </c:pt>
                <c:pt idx="218">
                  <c:v>98</c:v>
                </c:pt>
                <c:pt idx="219">
                  <c:v>98</c:v>
                </c:pt>
                <c:pt idx="220">
                  <c:v>98</c:v>
                </c:pt>
                <c:pt idx="221">
                  <c:v>98</c:v>
                </c:pt>
                <c:pt idx="222">
                  <c:v>98</c:v>
                </c:pt>
                <c:pt idx="223">
                  <c:v>98</c:v>
                </c:pt>
                <c:pt idx="224">
                  <c:v>98</c:v>
                </c:pt>
                <c:pt idx="225">
                  <c:v>99</c:v>
                </c:pt>
                <c:pt idx="226">
                  <c:v>99</c:v>
                </c:pt>
                <c:pt idx="227">
                  <c:v>99</c:v>
                </c:pt>
                <c:pt idx="228">
                  <c:v>99</c:v>
                </c:pt>
                <c:pt idx="229">
                  <c:v>99</c:v>
                </c:pt>
                <c:pt idx="230">
                  <c:v>99</c:v>
                </c:pt>
                <c:pt idx="231">
                  <c:v>99</c:v>
                </c:pt>
                <c:pt idx="232">
                  <c:v>99</c:v>
                </c:pt>
                <c:pt idx="233">
                  <c:v>99</c:v>
                </c:pt>
                <c:pt idx="234">
                  <c:v>99</c:v>
                </c:pt>
                <c:pt idx="235">
                  <c:v>99</c:v>
                </c:pt>
                <c:pt idx="236">
                  <c:v>99</c:v>
                </c:pt>
                <c:pt idx="237">
                  <c:v>99</c:v>
                </c:pt>
                <c:pt idx="238">
                  <c:v>99</c:v>
                </c:pt>
                <c:pt idx="239">
                  <c:v>99</c:v>
                </c:pt>
                <c:pt idx="240">
                  <c:v>99</c:v>
                </c:pt>
                <c:pt idx="241">
                  <c:v>99</c:v>
                </c:pt>
                <c:pt idx="242">
                  <c:v>99</c:v>
                </c:pt>
                <c:pt idx="243">
                  <c:v>99</c:v>
                </c:pt>
                <c:pt idx="244">
                  <c:v>99</c:v>
                </c:pt>
                <c:pt idx="245">
                  <c:v>99</c:v>
                </c:pt>
                <c:pt idx="246">
                  <c:v>99</c:v>
                </c:pt>
                <c:pt idx="247">
                  <c:v>99</c:v>
                </c:pt>
                <c:pt idx="248">
                  <c:v>99</c:v>
                </c:pt>
                <c:pt idx="249">
                  <c:v>99</c:v>
                </c:pt>
                <c:pt idx="250">
                  <c:v>99</c:v>
                </c:pt>
                <c:pt idx="251">
                  <c:v>99</c:v>
                </c:pt>
                <c:pt idx="252">
                  <c:v>99</c:v>
                </c:pt>
                <c:pt idx="253">
                  <c:v>99</c:v>
                </c:pt>
                <c:pt idx="254">
                  <c:v>99</c:v>
                </c:pt>
                <c:pt idx="255">
                  <c:v>99</c:v>
                </c:pt>
                <c:pt idx="256">
                  <c:v>99</c:v>
                </c:pt>
                <c:pt idx="257">
                  <c:v>99</c:v>
                </c:pt>
                <c:pt idx="258">
                  <c:v>99</c:v>
                </c:pt>
                <c:pt idx="259">
                  <c:v>99</c:v>
                </c:pt>
                <c:pt idx="260">
                  <c:v>99</c:v>
                </c:pt>
                <c:pt idx="261">
                  <c:v>99</c:v>
                </c:pt>
                <c:pt idx="262">
                  <c:v>99</c:v>
                </c:pt>
                <c:pt idx="263">
                  <c:v>99</c:v>
                </c:pt>
                <c:pt idx="264">
                  <c:v>99</c:v>
                </c:pt>
                <c:pt idx="265">
                  <c:v>99</c:v>
                </c:pt>
                <c:pt idx="266">
                  <c:v>99</c:v>
                </c:pt>
                <c:pt idx="267">
                  <c:v>99</c:v>
                </c:pt>
                <c:pt idx="268">
                  <c:v>99</c:v>
                </c:pt>
                <c:pt idx="269">
                  <c:v>99</c:v>
                </c:pt>
                <c:pt idx="270">
                  <c:v>99</c:v>
                </c:pt>
                <c:pt idx="271">
                  <c:v>99</c:v>
                </c:pt>
                <c:pt idx="272">
                  <c:v>99</c:v>
                </c:pt>
                <c:pt idx="273">
                  <c:v>99</c:v>
                </c:pt>
                <c:pt idx="274">
                  <c:v>99</c:v>
                </c:pt>
                <c:pt idx="275">
                  <c:v>99</c:v>
                </c:pt>
                <c:pt idx="276">
                  <c:v>99</c:v>
                </c:pt>
                <c:pt idx="277">
                  <c:v>99</c:v>
                </c:pt>
                <c:pt idx="278">
                  <c:v>99</c:v>
                </c:pt>
                <c:pt idx="279">
                  <c:v>99</c:v>
                </c:pt>
                <c:pt idx="280">
                  <c:v>99</c:v>
                </c:pt>
                <c:pt idx="281">
                  <c:v>99</c:v>
                </c:pt>
                <c:pt idx="282">
                  <c:v>99</c:v>
                </c:pt>
                <c:pt idx="283">
                  <c:v>99</c:v>
                </c:pt>
                <c:pt idx="284">
                  <c:v>99</c:v>
                </c:pt>
                <c:pt idx="285">
                  <c:v>99</c:v>
                </c:pt>
                <c:pt idx="286">
                  <c:v>99</c:v>
                </c:pt>
                <c:pt idx="287">
                  <c:v>99</c:v>
                </c:pt>
                <c:pt idx="288">
                  <c:v>99</c:v>
                </c:pt>
                <c:pt idx="289">
                  <c:v>100</c:v>
                </c:pt>
                <c:pt idx="290">
                  <c:v>100</c:v>
                </c:pt>
                <c:pt idx="291">
                  <c:v>100</c:v>
                </c:pt>
                <c:pt idx="292">
                  <c:v>101</c:v>
                </c:pt>
                <c:pt idx="293">
                  <c:v>101</c:v>
                </c:pt>
                <c:pt idx="294">
                  <c:v>101</c:v>
                </c:pt>
                <c:pt idx="295">
                  <c:v>101</c:v>
                </c:pt>
                <c:pt idx="296">
                  <c:v>102</c:v>
                </c:pt>
                <c:pt idx="297">
                  <c:v>102</c:v>
                </c:pt>
                <c:pt idx="298">
                  <c:v>102</c:v>
                </c:pt>
                <c:pt idx="299">
                  <c:v>102</c:v>
                </c:pt>
                <c:pt idx="300">
                  <c:v>102</c:v>
                </c:pt>
                <c:pt idx="301">
                  <c:v>103</c:v>
                </c:pt>
                <c:pt idx="302">
                  <c:v>103</c:v>
                </c:pt>
                <c:pt idx="303">
                  <c:v>103</c:v>
                </c:pt>
                <c:pt idx="304">
                  <c:v>104</c:v>
                </c:pt>
                <c:pt idx="305">
                  <c:v>104</c:v>
                </c:pt>
                <c:pt idx="306">
                  <c:v>104</c:v>
                </c:pt>
                <c:pt idx="307">
                  <c:v>104</c:v>
                </c:pt>
                <c:pt idx="308">
                  <c:v>104</c:v>
                </c:pt>
                <c:pt idx="309">
                  <c:v>103</c:v>
                </c:pt>
                <c:pt idx="310">
                  <c:v>103</c:v>
                </c:pt>
                <c:pt idx="311">
                  <c:v>102</c:v>
                </c:pt>
                <c:pt idx="312">
                  <c:v>100</c:v>
                </c:pt>
                <c:pt idx="313">
                  <c:v>100</c:v>
                </c:pt>
                <c:pt idx="314">
                  <c:v>100</c:v>
                </c:pt>
                <c:pt idx="315">
                  <c:v>100</c:v>
                </c:pt>
                <c:pt idx="316">
                  <c:v>100</c:v>
                </c:pt>
                <c:pt idx="317">
                  <c:v>100</c:v>
                </c:pt>
                <c:pt idx="318">
                  <c:v>99</c:v>
                </c:pt>
                <c:pt idx="319">
                  <c:v>99</c:v>
                </c:pt>
                <c:pt idx="320">
                  <c:v>99</c:v>
                </c:pt>
                <c:pt idx="321">
                  <c:v>99</c:v>
                </c:pt>
                <c:pt idx="322">
                  <c:v>99</c:v>
                </c:pt>
                <c:pt idx="323">
                  <c:v>99</c:v>
                </c:pt>
                <c:pt idx="324">
                  <c:v>99</c:v>
                </c:pt>
                <c:pt idx="325">
                  <c:v>99</c:v>
                </c:pt>
                <c:pt idx="326">
                  <c:v>99</c:v>
                </c:pt>
                <c:pt idx="327">
                  <c:v>100</c:v>
                </c:pt>
                <c:pt idx="328">
                  <c:v>100</c:v>
                </c:pt>
                <c:pt idx="329">
                  <c:v>100</c:v>
                </c:pt>
                <c:pt idx="330">
                  <c:v>100</c:v>
                </c:pt>
                <c:pt idx="331">
                  <c:v>101</c:v>
                </c:pt>
                <c:pt idx="332">
                  <c:v>101</c:v>
                </c:pt>
                <c:pt idx="333">
                  <c:v>101</c:v>
                </c:pt>
                <c:pt idx="334">
                  <c:v>101</c:v>
                </c:pt>
                <c:pt idx="335">
                  <c:v>100</c:v>
                </c:pt>
                <c:pt idx="336">
                  <c:v>100</c:v>
                </c:pt>
                <c:pt idx="337">
                  <c:v>100</c:v>
                </c:pt>
                <c:pt idx="338">
                  <c:v>99</c:v>
                </c:pt>
                <c:pt idx="339">
                  <c:v>100</c:v>
                </c:pt>
                <c:pt idx="340">
                  <c:v>100</c:v>
                </c:pt>
                <c:pt idx="341">
                  <c:v>100</c:v>
                </c:pt>
                <c:pt idx="342">
                  <c:v>100</c:v>
                </c:pt>
                <c:pt idx="343">
                  <c:v>100</c:v>
                </c:pt>
                <c:pt idx="344">
                  <c:v>100</c:v>
                </c:pt>
                <c:pt idx="345">
                  <c:v>100</c:v>
                </c:pt>
                <c:pt idx="346">
                  <c:v>100</c:v>
                </c:pt>
                <c:pt idx="347">
                  <c:v>99</c:v>
                </c:pt>
                <c:pt idx="348">
                  <c:v>99</c:v>
                </c:pt>
                <c:pt idx="349">
                  <c:v>99</c:v>
                </c:pt>
                <c:pt idx="350">
                  <c:v>99</c:v>
                </c:pt>
                <c:pt idx="351">
                  <c:v>99</c:v>
                </c:pt>
                <c:pt idx="352">
                  <c:v>99</c:v>
                </c:pt>
                <c:pt idx="353">
                  <c:v>99</c:v>
                </c:pt>
                <c:pt idx="354">
                  <c:v>99</c:v>
                </c:pt>
                <c:pt idx="355">
                  <c:v>99</c:v>
                </c:pt>
                <c:pt idx="356">
                  <c:v>99</c:v>
                </c:pt>
                <c:pt idx="357">
                  <c:v>99</c:v>
                </c:pt>
                <c:pt idx="358">
                  <c:v>99</c:v>
                </c:pt>
                <c:pt idx="359">
                  <c:v>99</c:v>
                </c:pt>
                <c:pt idx="360">
                  <c:v>99</c:v>
                </c:pt>
                <c:pt idx="361">
                  <c:v>99</c:v>
                </c:pt>
                <c:pt idx="362">
                  <c:v>99</c:v>
                </c:pt>
                <c:pt idx="363">
                  <c:v>100</c:v>
                </c:pt>
                <c:pt idx="364">
                  <c:v>100</c:v>
                </c:pt>
                <c:pt idx="365">
                  <c:v>100</c:v>
                </c:pt>
                <c:pt idx="366">
                  <c:v>100</c:v>
                </c:pt>
                <c:pt idx="367">
                  <c:v>100</c:v>
                </c:pt>
                <c:pt idx="368">
                  <c:v>100</c:v>
                </c:pt>
                <c:pt idx="369">
                  <c:v>100</c:v>
                </c:pt>
                <c:pt idx="370">
                  <c:v>100</c:v>
                </c:pt>
                <c:pt idx="371">
                  <c:v>100</c:v>
                </c:pt>
                <c:pt idx="372">
                  <c:v>100</c:v>
                </c:pt>
                <c:pt idx="373">
                  <c:v>100</c:v>
                </c:pt>
                <c:pt idx="374">
                  <c:v>100</c:v>
                </c:pt>
                <c:pt idx="375">
                  <c:v>100</c:v>
                </c:pt>
                <c:pt idx="376">
                  <c:v>100</c:v>
                </c:pt>
                <c:pt idx="377">
                  <c:v>100</c:v>
                </c:pt>
                <c:pt idx="378">
                  <c:v>100</c:v>
                </c:pt>
                <c:pt idx="379">
                  <c:v>100</c:v>
                </c:pt>
                <c:pt idx="380">
                  <c:v>100</c:v>
                </c:pt>
                <c:pt idx="381">
                  <c:v>100</c:v>
                </c:pt>
                <c:pt idx="382">
                  <c:v>100</c:v>
                </c:pt>
                <c:pt idx="383">
                  <c:v>100</c:v>
                </c:pt>
                <c:pt idx="384">
                  <c:v>100</c:v>
                </c:pt>
                <c:pt idx="385">
                  <c:v>100</c:v>
                </c:pt>
                <c:pt idx="386">
                  <c:v>100</c:v>
                </c:pt>
                <c:pt idx="387">
                  <c:v>100</c:v>
                </c:pt>
                <c:pt idx="388">
                  <c:v>100</c:v>
                </c:pt>
                <c:pt idx="389">
                  <c:v>100</c:v>
                </c:pt>
                <c:pt idx="390">
                  <c:v>100</c:v>
                </c:pt>
                <c:pt idx="391">
                  <c:v>100</c:v>
                </c:pt>
                <c:pt idx="392">
                  <c:v>100</c:v>
                </c:pt>
                <c:pt idx="393">
                  <c:v>100</c:v>
                </c:pt>
                <c:pt idx="394">
                  <c:v>100</c:v>
                </c:pt>
                <c:pt idx="395">
                  <c:v>100</c:v>
                </c:pt>
                <c:pt idx="396">
                  <c:v>100</c:v>
                </c:pt>
                <c:pt idx="397">
                  <c:v>100</c:v>
                </c:pt>
                <c:pt idx="398">
                  <c:v>100</c:v>
                </c:pt>
                <c:pt idx="399">
                  <c:v>100</c:v>
                </c:pt>
                <c:pt idx="400">
                  <c:v>100</c:v>
                </c:pt>
                <c:pt idx="401">
                  <c:v>100</c:v>
                </c:pt>
                <c:pt idx="402">
                  <c:v>100</c:v>
                </c:pt>
                <c:pt idx="403">
                  <c:v>100</c:v>
                </c:pt>
                <c:pt idx="404">
                  <c:v>100</c:v>
                </c:pt>
                <c:pt idx="405">
                  <c:v>101</c:v>
                </c:pt>
                <c:pt idx="406">
                  <c:v>101</c:v>
                </c:pt>
                <c:pt idx="407">
                  <c:v>101</c:v>
                </c:pt>
                <c:pt idx="408">
                  <c:v>101</c:v>
                </c:pt>
                <c:pt idx="409">
                  <c:v>101</c:v>
                </c:pt>
                <c:pt idx="410">
                  <c:v>101</c:v>
                </c:pt>
                <c:pt idx="411">
                  <c:v>101</c:v>
                </c:pt>
                <c:pt idx="412">
                  <c:v>101</c:v>
                </c:pt>
                <c:pt idx="413">
                  <c:v>101</c:v>
                </c:pt>
                <c:pt idx="414">
                  <c:v>101</c:v>
                </c:pt>
                <c:pt idx="415">
                  <c:v>101</c:v>
                </c:pt>
                <c:pt idx="416">
                  <c:v>101</c:v>
                </c:pt>
                <c:pt idx="417">
                  <c:v>101</c:v>
                </c:pt>
                <c:pt idx="418">
                  <c:v>100</c:v>
                </c:pt>
                <c:pt idx="419">
                  <c:v>100</c:v>
                </c:pt>
                <c:pt idx="420">
                  <c:v>100</c:v>
                </c:pt>
                <c:pt idx="421">
                  <c:v>100</c:v>
                </c:pt>
                <c:pt idx="422">
                  <c:v>100</c:v>
                </c:pt>
                <c:pt idx="423">
                  <c:v>100</c:v>
                </c:pt>
                <c:pt idx="424">
                  <c:v>100</c:v>
                </c:pt>
                <c:pt idx="425">
                  <c:v>100</c:v>
                </c:pt>
                <c:pt idx="426">
                  <c:v>100</c:v>
                </c:pt>
                <c:pt idx="427">
                  <c:v>100</c:v>
                </c:pt>
                <c:pt idx="428">
                  <c:v>101</c:v>
                </c:pt>
                <c:pt idx="429">
                  <c:v>101</c:v>
                </c:pt>
                <c:pt idx="430">
                  <c:v>101</c:v>
                </c:pt>
                <c:pt idx="431">
                  <c:v>101</c:v>
                </c:pt>
                <c:pt idx="432">
                  <c:v>101</c:v>
                </c:pt>
                <c:pt idx="433">
                  <c:v>101</c:v>
                </c:pt>
                <c:pt idx="434">
                  <c:v>101</c:v>
                </c:pt>
                <c:pt idx="435">
                  <c:v>101</c:v>
                </c:pt>
                <c:pt idx="436">
                  <c:v>101</c:v>
                </c:pt>
                <c:pt idx="437">
                  <c:v>101</c:v>
                </c:pt>
                <c:pt idx="438">
                  <c:v>101</c:v>
                </c:pt>
                <c:pt idx="439">
                  <c:v>101</c:v>
                </c:pt>
                <c:pt idx="440">
                  <c:v>102</c:v>
                </c:pt>
                <c:pt idx="441">
                  <c:v>102</c:v>
                </c:pt>
                <c:pt idx="442">
                  <c:v>102</c:v>
                </c:pt>
                <c:pt idx="443">
                  <c:v>102</c:v>
                </c:pt>
                <c:pt idx="444">
                  <c:v>102</c:v>
                </c:pt>
                <c:pt idx="445">
                  <c:v>102</c:v>
                </c:pt>
                <c:pt idx="446">
                  <c:v>102</c:v>
                </c:pt>
                <c:pt idx="447">
                  <c:v>102</c:v>
                </c:pt>
                <c:pt idx="448">
                  <c:v>102</c:v>
                </c:pt>
                <c:pt idx="449">
                  <c:v>102</c:v>
                </c:pt>
                <c:pt idx="450">
                  <c:v>102</c:v>
                </c:pt>
                <c:pt idx="451">
                  <c:v>102</c:v>
                </c:pt>
                <c:pt idx="452">
                  <c:v>102</c:v>
                </c:pt>
                <c:pt idx="453">
                  <c:v>102</c:v>
                </c:pt>
                <c:pt idx="454">
                  <c:v>102</c:v>
                </c:pt>
                <c:pt idx="455">
                  <c:v>102</c:v>
                </c:pt>
                <c:pt idx="456">
                  <c:v>102</c:v>
                </c:pt>
                <c:pt idx="457">
                  <c:v>102</c:v>
                </c:pt>
                <c:pt idx="458">
                  <c:v>102</c:v>
                </c:pt>
                <c:pt idx="459">
                  <c:v>102</c:v>
                </c:pt>
                <c:pt idx="460">
                  <c:v>102</c:v>
                </c:pt>
                <c:pt idx="461">
                  <c:v>102</c:v>
                </c:pt>
                <c:pt idx="462">
                  <c:v>103</c:v>
                </c:pt>
                <c:pt idx="463">
                  <c:v>103</c:v>
                </c:pt>
                <c:pt idx="464">
                  <c:v>103</c:v>
                </c:pt>
                <c:pt idx="465">
                  <c:v>103</c:v>
                </c:pt>
                <c:pt idx="466">
                  <c:v>104</c:v>
                </c:pt>
                <c:pt idx="467">
                  <c:v>104</c:v>
                </c:pt>
                <c:pt idx="468">
                  <c:v>106</c:v>
                </c:pt>
                <c:pt idx="469">
                  <c:v>106</c:v>
                </c:pt>
                <c:pt idx="470">
                  <c:v>105</c:v>
                </c:pt>
                <c:pt idx="471">
                  <c:v>105</c:v>
                </c:pt>
                <c:pt idx="472">
                  <c:v>105</c:v>
                </c:pt>
                <c:pt idx="473">
                  <c:v>105</c:v>
                </c:pt>
                <c:pt idx="474">
                  <c:v>105</c:v>
                </c:pt>
                <c:pt idx="475">
                  <c:v>105</c:v>
                </c:pt>
                <c:pt idx="476">
                  <c:v>106</c:v>
                </c:pt>
                <c:pt idx="477">
                  <c:v>106</c:v>
                </c:pt>
                <c:pt idx="478">
                  <c:v>106</c:v>
                </c:pt>
                <c:pt idx="479">
                  <c:v>106</c:v>
                </c:pt>
                <c:pt idx="480">
                  <c:v>107</c:v>
                </c:pt>
                <c:pt idx="481">
                  <c:v>107</c:v>
                </c:pt>
                <c:pt idx="482">
                  <c:v>108</c:v>
                </c:pt>
                <c:pt idx="483">
                  <c:v>108</c:v>
                </c:pt>
                <c:pt idx="484">
                  <c:v>108</c:v>
                </c:pt>
                <c:pt idx="485">
                  <c:v>108</c:v>
                </c:pt>
                <c:pt idx="486">
                  <c:v>108</c:v>
                </c:pt>
                <c:pt idx="487">
                  <c:v>108</c:v>
                </c:pt>
                <c:pt idx="488">
                  <c:v>108</c:v>
                </c:pt>
                <c:pt idx="489">
                  <c:v>108</c:v>
                </c:pt>
                <c:pt idx="490">
                  <c:v>108</c:v>
                </c:pt>
                <c:pt idx="491">
                  <c:v>108</c:v>
                </c:pt>
                <c:pt idx="492">
                  <c:v>108</c:v>
                </c:pt>
                <c:pt idx="493">
                  <c:v>108</c:v>
                </c:pt>
                <c:pt idx="494">
                  <c:v>108</c:v>
                </c:pt>
                <c:pt idx="495">
                  <c:v>108</c:v>
                </c:pt>
                <c:pt idx="496">
                  <c:v>108</c:v>
                </c:pt>
                <c:pt idx="497">
                  <c:v>108</c:v>
                </c:pt>
                <c:pt idx="498">
                  <c:v>109</c:v>
                </c:pt>
                <c:pt idx="499">
                  <c:v>108</c:v>
                </c:pt>
                <c:pt idx="500">
                  <c:v>108</c:v>
                </c:pt>
                <c:pt idx="501">
                  <c:v>108</c:v>
                </c:pt>
                <c:pt idx="502">
                  <c:v>107</c:v>
                </c:pt>
                <c:pt idx="503">
                  <c:v>107</c:v>
                </c:pt>
                <c:pt idx="504">
                  <c:v>107</c:v>
                </c:pt>
                <c:pt idx="505">
                  <c:v>107</c:v>
                </c:pt>
                <c:pt idx="506">
                  <c:v>107</c:v>
                </c:pt>
                <c:pt idx="507">
                  <c:v>107</c:v>
                </c:pt>
                <c:pt idx="508">
                  <c:v>107</c:v>
                </c:pt>
                <c:pt idx="509">
                  <c:v>107</c:v>
                </c:pt>
                <c:pt idx="510">
                  <c:v>107</c:v>
                </c:pt>
                <c:pt idx="511">
                  <c:v>107</c:v>
                </c:pt>
                <c:pt idx="512">
                  <c:v>107</c:v>
                </c:pt>
                <c:pt idx="513">
                  <c:v>107</c:v>
                </c:pt>
                <c:pt idx="514">
                  <c:v>108</c:v>
                </c:pt>
                <c:pt idx="515">
                  <c:v>108</c:v>
                </c:pt>
                <c:pt idx="516">
                  <c:v>108</c:v>
                </c:pt>
                <c:pt idx="517">
                  <c:v>108</c:v>
                </c:pt>
                <c:pt idx="518">
                  <c:v>108</c:v>
                </c:pt>
                <c:pt idx="519">
                  <c:v>108</c:v>
                </c:pt>
                <c:pt idx="520">
                  <c:v>108</c:v>
                </c:pt>
                <c:pt idx="521">
                  <c:v>108</c:v>
                </c:pt>
                <c:pt idx="522">
                  <c:v>108</c:v>
                </c:pt>
                <c:pt idx="523">
                  <c:v>108</c:v>
                </c:pt>
                <c:pt idx="524">
                  <c:v>108</c:v>
                </c:pt>
                <c:pt idx="525">
                  <c:v>108</c:v>
                </c:pt>
                <c:pt idx="526">
                  <c:v>109</c:v>
                </c:pt>
                <c:pt idx="527">
                  <c:v>109</c:v>
                </c:pt>
                <c:pt idx="528">
                  <c:v>109</c:v>
                </c:pt>
                <c:pt idx="529">
                  <c:v>109</c:v>
                </c:pt>
                <c:pt idx="530">
                  <c:v>109</c:v>
                </c:pt>
                <c:pt idx="531">
                  <c:v>109</c:v>
                </c:pt>
                <c:pt idx="532">
                  <c:v>109</c:v>
                </c:pt>
                <c:pt idx="533">
                  <c:v>108</c:v>
                </c:pt>
                <c:pt idx="534">
                  <c:v>108</c:v>
                </c:pt>
                <c:pt idx="535">
                  <c:v>108</c:v>
                </c:pt>
                <c:pt idx="536">
                  <c:v>109</c:v>
                </c:pt>
                <c:pt idx="537">
                  <c:v>109</c:v>
                </c:pt>
                <c:pt idx="538">
                  <c:v>109</c:v>
                </c:pt>
                <c:pt idx="539">
                  <c:v>109</c:v>
                </c:pt>
                <c:pt idx="540">
                  <c:v>109</c:v>
                </c:pt>
                <c:pt idx="541">
                  <c:v>109</c:v>
                </c:pt>
                <c:pt idx="542">
                  <c:v>109</c:v>
                </c:pt>
                <c:pt idx="543">
                  <c:v>109</c:v>
                </c:pt>
                <c:pt idx="544">
                  <c:v>109</c:v>
                </c:pt>
                <c:pt idx="545">
                  <c:v>109</c:v>
                </c:pt>
                <c:pt idx="546">
                  <c:v>109</c:v>
                </c:pt>
                <c:pt idx="547">
                  <c:v>109</c:v>
                </c:pt>
                <c:pt idx="548">
                  <c:v>109</c:v>
                </c:pt>
                <c:pt idx="549">
                  <c:v>109</c:v>
                </c:pt>
                <c:pt idx="550">
                  <c:v>110</c:v>
                </c:pt>
                <c:pt idx="551">
                  <c:v>110</c:v>
                </c:pt>
                <c:pt idx="552">
                  <c:v>110</c:v>
                </c:pt>
                <c:pt idx="553">
                  <c:v>110</c:v>
                </c:pt>
                <c:pt idx="554">
                  <c:v>110</c:v>
                </c:pt>
                <c:pt idx="555">
                  <c:v>110</c:v>
                </c:pt>
                <c:pt idx="556">
                  <c:v>111</c:v>
                </c:pt>
                <c:pt idx="557">
                  <c:v>111</c:v>
                </c:pt>
                <c:pt idx="558">
                  <c:v>110</c:v>
                </c:pt>
                <c:pt idx="559">
                  <c:v>109</c:v>
                </c:pt>
                <c:pt idx="560">
                  <c:v>107</c:v>
                </c:pt>
                <c:pt idx="561">
                  <c:v>107</c:v>
                </c:pt>
                <c:pt idx="562">
                  <c:v>108</c:v>
                </c:pt>
                <c:pt idx="563">
                  <c:v>108</c:v>
                </c:pt>
                <c:pt idx="564">
                  <c:v>108</c:v>
                </c:pt>
                <c:pt idx="565">
                  <c:v>108</c:v>
                </c:pt>
                <c:pt idx="566">
                  <c:v>108</c:v>
                </c:pt>
                <c:pt idx="567">
                  <c:v>108</c:v>
                </c:pt>
                <c:pt idx="568">
                  <c:v>108</c:v>
                </c:pt>
                <c:pt idx="569">
                  <c:v>107</c:v>
                </c:pt>
                <c:pt idx="570">
                  <c:v>107</c:v>
                </c:pt>
                <c:pt idx="571">
                  <c:v>107</c:v>
                </c:pt>
                <c:pt idx="572">
                  <c:v>107</c:v>
                </c:pt>
                <c:pt idx="573">
                  <c:v>107</c:v>
                </c:pt>
                <c:pt idx="574">
                  <c:v>107</c:v>
                </c:pt>
                <c:pt idx="575">
                  <c:v>108</c:v>
                </c:pt>
                <c:pt idx="576">
                  <c:v>108</c:v>
                </c:pt>
                <c:pt idx="577">
                  <c:v>108</c:v>
                </c:pt>
                <c:pt idx="578">
                  <c:v>108</c:v>
                </c:pt>
                <c:pt idx="579">
                  <c:v>108</c:v>
                </c:pt>
                <c:pt idx="580">
                  <c:v>108</c:v>
                </c:pt>
                <c:pt idx="581">
                  <c:v>108</c:v>
                </c:pt>
                <c:pt idx="582">
                  <c:v>108</c:v>
                </c:pt>
                <c:pt idx="583">
                  <c:v>108</c:v>
                </c:pt>
                <c:pt idx="584">
                  <c:v>108</c:v>
                </c:pt>
                <c:pt idx="585">
                  <c:v>108</c:v>
                </c:pt>
                <c:pt idx="586">
                  <c:v>107.5</c:v>
                </c:pt>
                <c:pt idx="587">
                  <c:v>108</c:v>
                </c:pt>
                <c:pt idx="588">
                  <c:v>107</c:v>
                </c:pt>
                <c:pt idx="589">
                  <c:v>107</c:v>
                </c:pt>
                <c:pt idx="590">
                  <c:v>108</c:v>
                </c:pt>
                <c:pt idx="591">
                  <c:v>107</c:v>
                </c:pt>
                <c:pt idx="592">
                  <c:v>107</c:v>
                </c:pt>
                <c:pt idx="593">
                  <c:v>107</c:v>
                </c:pt>
                <c:pt idx="594">
                  <c:v>107</c:v>
                </c:pt>
                <c:pt idx="595">
                  <c:v>107</c:v>
                </c:pt>
                <c:pt idx="596">
                  <c:v>107</c:v>
                </c:pt>
                <c:pt idx="597">
                  <c:v>107</c:v>
                </c:pt>
                <c:pt idx="598">
                  <c:v>107</c:v>
                </c:pt>
                <c:pt idx="599">
                  <c:v>107</c:v>
                </c:pt>
                <c:pt idx="600">
                  <c:v>107</c:v>
                </c:pt>
                <c:pt idx="601">
                  <c:v>107</c:v>
                </c:pt>
                <c:pt idx="602">
                  <c:v>106</c:v>
                </c:pt>
                <c:pt idx="603">
                  <c:v>106</c:v>
                </c:pt>
                <c:pt idx="604">
                  <c:v>106</c:v>
                </c:pt>
                <c:pt idx="605">
                  <c:v>106</c:v>
                </c:pt>
                <c:pt idx="606">
                  <c:v>106</c:v>
                </c:pt>
                <c:pt idx="607">
                  <c:v>106</c:v>
                </c:pt>
                <c:pt idx="608">
                  <c:v>106</c:v>
                </c:pt>
                <c:pt idx="609">
                  <c:v>105</c:v>
                </c:pt>
                <c:pt idx="610">
                  <c:v>103</c:v>
                </c:pt>
                <c:pt idx="611">
                  <c:v>103</c:v>
                </c:pt>
                <c:pt idx="612">
                  <c:v>102</c:v>
                </c:pt>
                <c:pt idx="613">
                  <c:v>102</c:v>
                </c:pt>
                <c:pt idx="614">
                  <c:v>102</c:v>
                </c:pt>
                <c:pt idx="615">
                  <c:v>102</c:v>
                </c:pt>
                <c:pt idx="616">
                  <c:v>102</c:v>
                </c:pt>
                <c:pt idx="617">
                  <c:v>102</c:v>
                </c:pt>
                <c:pt idx="618">
                  <c:v>102</c:v>
                </c:pt>
                <c:pt idx="619">
                  <c:v>102</c:v>
                </c:pt>
                <c:pt idx="620">
                  <c:v>102</c:v>
                </c:pt>
              </c:numCache>
            </c:numRef>
          </c:val>
          <c:smooth val="0"/>
          <c:extLst>
            <c:ext xmlns:c16="http://schemas.microsoft.com/office/drawing/2014/chart" uri="{C3380CC4-5D6E-409C-BE32-E72D297353CC}">
              <c16:uniqueId val="{00000001-5C27-41EC-B8F3-CB2673AED5CF}"/>
            </c:ext>
          </c:extLst>
        </c:ser>
        <c:ser>
          <c:idx val="3"/>
          <c:order val="2"/>
          <c:tx>
            <c:strRef>
              <c:f>Sheet1!$D$1</c:f>
              <c:strCache>
                <c:ptCount val="1"/>
                <c:pt idx="0">
                  <c:v>Ռուսական ռուբլի</c:v>
                </c:pt>
              </c:strCache>
            </c:strRef>
          </c:tx>
          <c:spPr>
            <a:ln w="28575" cap="rnd">
              <a:solidFill>
                <a:srgbClr val="C00000"/>
              </a:solidFill>
              <a:round/>
            </a:ln>
            <a:effectLst/>
          </c:spPr>
          <c:marker>
            <c:symbol val="none"/>
          </c:marker>
          <c:cat>
            <c:numRef>
              <c:f>Sheet1!$A$2:$A$622</c:f>
              <c:numCache>
                <c:formatCode>dd\-mmm\-yy</c:formatCode>
                <c:ptCount val="621"/>
                <c:pt idx="0">
                  <c:v>43473</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43494</c:v>
                </c:pt>
                <c:pt idx="15">
                  <c:v>43495</c:v>
                </c:pt>
                <c:pt idx="16">
                  <c:v>43496</c:v>
                </c:pt>
                <c:pt idx="17">
                  <c:v>43497</c:v>
                </c:pt>
                <c:pt idx="18">
                  <c:v>43500</c:v>
                </c:pt>
                <c:pt idx="19">
                  <c:v>43501</c:v>
                </c:pt>
                <c:pt idx="20">
                  <c:v>43502</c:v>
                </c:pt>
                <c:pt idx="21">
                  <c:v>43503</c:v>
                </c:pt>
                <c:pt idx="22">
                  <c:v>43504</c:v>
                </c:pt>
                <c:pt idx="23">
                  <c:v>43507</c:v>
                </c:pt>
                <c:pt idx="24">
                  <c:v>43508</c:v>
                </c:pt>
                <c:pt idx="25">
                  <c:v>43509</c:v>
                </c:pt>
                <c:pt idx="26">
                  <c:v>43510</c:v>
                </c:pt>
                <c:pt idx="27">
                  <c:v>43511</c:v>
                </c:pt>
                <c:pt idx="28">
                  <c:v>43514</c:v>
                </c:pt>
                <c:pt idx="29">
                  <c:v>43515</c:v>
                </c:pt>
                <c:pt idx="30">
                  <c:v>43516</c:v>
                </c:pt>
                <c:pt idx="31">
                  <c:v>43517</c:v>
                </c:pt>
                <c:pt idx="32">
                  <c:v>43518</c:v>
                </c:pt>
                <c:pt idx="33">
                  <c:v>43521</c:v>
                </c:pt>
                <c:pt idx="34">
                  <c:v>43522</c:v>
                </c:pt>
                <c:pt idx="35">
                  <c:v>43523</c:v>
                </c:pt>
                <c:pt idx="36">
                  <c:v>43524</c:v>
                </c:pt>
                <c:pt idx="37">
                  <c:v>43525</c:v>
                </c:pt>
                <c:pt idx="38">
                  <c:v>43528</c:v>
                </c:pt>
                <c:pt idx="39">
                  <c:v>43529</c:v>
                </c:pt>
                <c:pt idx="40">
                  <c:v>43530</c:v>
                </c:pt>
                <c:pt idx="41">
                  <c:v>43531</c:v>
                </c:pt>
                <c:pt idx="42">
                  <c:v>43535</c:v>
                </c:pt>
                <c:pt idx="43">
                  <c:v>43536</c:v>
                </c:pt>
                <c:pt idx="44">
                  <c:v>43537</c:v>
                </c:pt>
                <c:pt idx="45">
                  <c:v>43538</c:v>
                </c:pt>
                <c:pt idx="46">
                  <c:v>43539</c:v>
                </c:pt>
                <c:pt idx="47">
                  <c:v>43542</c:v>
                </c:pt>
                <c:pt idx="48">
                  <c:v>43543</c:v>
                </c:pt>
                <c:pt idx="49">
                  <c:v>43544</c:v>
                </c:pt>
                <c:pt idx="50">
                  <c:v>43545</c:v>
                </c:pt>
                <c:pt idx="51">
                  <c:v>43546</c:v>
                </c:pt>
                <c:pt idx="52">
                  <c:v>43549</c:v>
                </c:pt>
                <c:pt idx="53">
                  <c:v>43550</c:v>
                </c:pt>
                <c:pt idx="54">
                  <c:v>43551</c:v>
                </c:pt>
                <c:pt idx="55">
                  <c:v>43552</c:v>
                </c:pt>
                <c:pt idx="56">
                  <c:v>43553</c:v>
                </c:pt>
                <c:pt idx="57">
                  <c:v>43556</c:v>
                </c:pt>
                <c:pt idx="58">
                  <c:v>43557</c:v>
                </c:pt>
                <c:pt idx="59">
                  <c:v>43558</c:v>
                </c:pt>
                <c:pt idx="60">
                  <c:v>43559</c:v>
                </c:pt>
                <c:pt idx="61">
                  <c:v>43560</c:v>
                </c:pt>
                <c:pt idx="62">
                  <c:v>43563</c:v>
                </c:pt>
                <c:pt idx="63">
                  <c:v>43564</c:v>
                </c:pt>
                <c:pt idx="64">
                  <c:v>43565</c:v>
                </c:pt>
                <c:pt idx="65">
                  <c:v>43566</c:v>
                </c:pt>
                <c:pt idx="66">
                  <c:v>43567</c:v>
                </c:pt>
                <c:pt idx="67">
                  <c:v>43570</c:v>
                </c:pt>
                <c:pt idx="68">
                  <c:v>43571</c:v>
                </c:pt>
                <c:pt idx="69">
                  <c:v>43572</c:v>
                </c:pt>
                <c:pt idx="70">
                  <c:v>43573</c:v>
                </c:pt>
                <c:pt idx="71">
                  <c:v>43577</c:v>
                </c:pt>
                <c:pt idx="72">
                  <c:v>43578</c:v>
                </c:pt>
                <c:pt idx="73">
                  <c:v>43579</c:v>
                </c:pt>
                <c:pt idx="74">
                  <c:v>43580</c:v>
                </c:pt>
                <c:pt idx="75">
                  <c:v>43581</c:v>
                </c:pt>
                <c:pt idx="76">
                  <c:v>43584</c:v>
                </c:pt>
                <c:pt idx="77">
                  <c:v>43585</c:v>
                </c:pt>
                <c:pt idx="78">
                  <c:v>43587</c:v>
                </c:pt>
                <c:pt idx="79">
                  <c:v>43588</c:v>
                </c:pt>
                <c:pt idx="80">
                  <c:v>43591</c:v>
                </c:pt>
                <c:pt idx="81">
                  <c:v>43592</c:v>
                </c:pt>
                <c:pt idx="82">
                  <c:v>43593</c:v>
                </c:pt>
                <c:pt idx="83">
                  <c:v>43595</c:v>
                </c:pt>
                <c:pt idx="84">
                  <c:v>43598</c:v>
                </c:pt>
                <c:pt idx="85">
                  <c:v>43599</c:v>
                </c:pt>
                <c:pt idx="86">
                  <c:v>43600</c:v>
                </c:pt>
                <c:pt idx="87">
                  <c:v>43601</c:v>
                </c:pt>
                <c:pt idx="88">
                  <c:v>43602</c:v>
                </c:pt>
                <c:pt idx="89">
                  <c:v>43605</c:v>
                </c:pt>
                <c:pt idx="90">
                  <c:v>43606</c:v>
                </c:pt>
                <c:pt idx="91">
                  <c:v>43607</c:v>
                </c:pt>
                <c:pt idx="92">
                  <c:v>43608</c:v>
                </c:pt>
                <c:pt idx="93">
                  <c:v>43609</c:v>
                </c:pt>
                <c:pt idx="94">
                  <c:v>43612</c:v>
                </c:pt>
                <c:pt idx="95">
                  <c:v>43614</c:v>
                </c:pt>
                <c:pt idx="96">
                  <c:v>43615</c:v>
                </c:pt>
                <c:pt idx="97">
                  <c:v>43616</c:v>
                </c:pt>
                <c:pt idx="98">
                  <c:v>43619</c:v>
                </c:pt>
                <c:pt idx="99">
                  <c:v>43620</c:v>
                </c:pt>
                <c:pt idx="100">
                  <c:v>43621</c:v>
                </c:pt>
                <c:pt idx="101">
                  <c:v>43622</c:v>
                </c:pt>
                <c:pt idx="102">
                  <c:v>43623</c:v>
                </c:pt>
                <c:pt idx="103">
                  <c:v>43626</c:v>
                </c:pt>
                <c:pt idx="104">
                  <c:v>43627</c:v>
                </c:pt>
                <c:pt idx="105">
                  <c:v>43628</c:v>
                </c:pt>
                <c:pt idx="106">
                  <c:v>43629</c:v>
                </c:pt>
                <c:pt idx="107">
                  <c:v>43630</c:v>
                </c:pt>
                <c:pt idx="108">
                  <c:v>43633</c:v>
                </c:pt>
                <c:pt idx="109">
                  <c:v>43634</c:v>
                </c:pt>
                <c:pt idx="110">
                  <c:v>43635</c:v>
                </c:pt>
                <c:pt idx="111">
                  <c:v>43636</c:v>
                </c:pt>
                <c:pt idx="112">
                  <c:v>43637</c:v>
                </c:pt>
                <c:pt idx="113">
                  <c:v>43640</c:v>
                </c:pt>
                <c:pt idx="114">
                  <c:v>43641</c:v>
                </c:pt>
                <c:pt idx="115">
                  <c:v>43642</c:v>
                </c:pt>
                <c:pt idx="116">
                  <c:v>43643</c:v>
                </c:pt>
                <c:pt idx="117">
                  <c:v>43644</c:v>
                </c:pt>
                <c:pt idx="118">
                  <c:v>43647</c:v>
                </c:pt>
                <c:pt idx="119">
                  <c:v>43648</c:v>
                </c:pt>
                <c:pt idx="120">
                  <c:v>43649</c:v>
                </c:pt>
                <c:pt idx="121">
                  <c:v>43650</c:v>
                </c:pt>
                <c:pt idx="122">
                  <c:v>43654</c:v>
                </c:pt>
                <c:pt idx="123">
                  <c:v>43655</c:v>
                </c:pt>
                <c:pt idx="124">
                  <c:v>43656</c:v>
                </c:pt>
                <c:pt idx="125">
                  <c:v>43657</c:v>
                </c:pt>
                <c:pt idx="126">
                  <c:v>43658</c:v>
                </c:pt>
                <c:pt idx="127">
                  <c:v>43661</c:v>
                </c:pt>
                <c:pt idx="128">
                  <c:v>43662</c:v>
                </c:pt>
                <c:pt idx="129">
                  <c:v>43663</c:v>
                </c:pt>
                <c:pt idx="130">
                  <c:v>43664</c:v>
                </c:pt>
                <c:pt idx="131">
                  <c:v>43665</c:v>
                </c:pt>
                <c:pt idx="132">
                  <c:v>43668</c:v>
                </c:pt>
                <c:pt idx="133">
                  <c:v>43669</c:v>
                </c:pt>
                <c:pt idx="134">
                  <c:v>43670</c:v>
                </c:pt>
                <c:pt idx="135">
                  <c:v>43671</c:v>
                </c:pt>
                <c:pt idx="136">
                  <c:v>43672</c:v>
                </c:pt>
                <c:pt idx="137">
                  <c:v>43675</c:v>
                </c:pt>
                <c:pt idx="138">
                  <c:v>43676</c:v>
                </c:pt>
                <c:pt idx="139">
                  <c:v>43677</c:v>
                </c:pt>
                <c:pt idx="140">
                  <c:v>43678</c:v>
                </c:pt>
                <c:pt idx="141">
                  <c:v>43679</c:v>
                </c:pt>
                <c:pt idx="142">
                  <c:v>43682</c:v>
                </c:pt>
                <c:pt idx="143">
                  <c:v>43683</c:v>
                </c:pt>
                <c:pt idx="144">
                  <c:v>43684</c:v>
                </c:pt>
                <c:pt idx="145">
                  <c:v>43685</c:v>
                </c:pt>
                <c:pt idx="146">
                  <c:v>43686</c:v>
                </c:pt>
                <c:pt idx="147">
                  <c:v>43689</c:v>
                </c:pt>
                <c:pt idx="148">
                  <c:v>43690</c:v>
                </c:pt>
                <c:pt idx="149">
                  <c:v>43691</c:v>
                </c:pt>
                <c:pt idx="150">
                  <c:v>43692</c:v>
                </c:pt>
                <c:pt idx="151">
                  <c:v>43693</c:v>
                </c:pt>
                <c:pt idx="152">
                  <c:v>43696</c:v>
                </c:pt>
                <c:pt idx="153">
                  <c:v>43697</c:v>
                </c:pt>
                <c:pt idx="154">
                  <c:v>43698</c:v>
                </c:pt>
                <c:pt idx="155">
                  <c:v>43699</c:v>
                </c:pt>
                <c:pt idx="156">
                  <c:v>43700</c:v>
                </c:pt>
                <c:pt idx="157">
                  <c:v>43703</c:v>
                </c:pt>
                <c:pt idx="158">
                  <c:v>43704</c:v>
                </c:pt>
                <c:pt idx="159">
                  <c:v>43705</c:v>
                </c:pt>
                <c:pt idx="160">
                  <c:v>43706</c:v>
                </c:pt>
                <c:pt idx="161">
                  <c:v>43707</c:v>
                </c:pt>
                <c:pt idx="162">
                  <c:v>43710</c:v>
                </c:pt>
                <c:pt idx="163">
                  <c:v>43711</c:v>
                </c:pt>
                <c:pt idx="164">
                  <c:v>43712</c:v>
                </c:pt>
                <c:pt idx="165">
                  <c:v>43713</c:v>
                </c:pt>
                <c:pt idx="166">
                  <c:v>43714</c:v>
                </c:pt>
                <c:pt idx="167">
                  <c:v>43717</c:v>
                </c:pt>
                <c:pt idx="168">
                  <c:v>43718</c:v>
                </c:pt>
                <c:pt idx="169">
                  <c:v>43719</c:v>
                </c:pt>
                <c:pt idx="170">
                  <c:v>43720</c:v>
                </c:pt>
                <c:pt idx="171">
                  <c:v>43721</c:v>
                </c:pt>
                <c:pt idx="172">
                  <c:v>43724</c:v>
                </c:pt>
                <c:pt idx="173">
                  <c:v>43725</c:v>
                </c:pt>
                <c:pt idx="174">
                  <c:v>43726</c:v>
                </c:pt>
                <c:pt idx="175">
                  <c:v>43727</c:v>
                </c:pt>
                <c:pt idx="176">
                  <c:v>43728</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43763</c:v>
                </c:pt>
                <c:pt idx="202">
                  <c:v>43766</c:v>
                </c:pt>
                <c:pt idx="203">
                  <c:v>43767</c:v>
                </c:pt>
                <c:pt idx="204">
                  <c:v>43768</c:v>
                </c:pt>
                <c:pt idx="205">
                  <c:v>43769</c:v>
                </c:pt>
                <c:pt idx="206">
                  <c:v>43770</c:v>
                </c:pt>
                <c:pt idx="207">
                  <c:v>43773</c:v>
                </c:pt>
                <c:pt idx="208">
                  <c:v>43774</c:v>
                </c:pt>
                <c:pt idx="209">
                  <c:v>43775</c:v>
                </c:pt>
                <c:pt idx="210">
                  <c:v>43776</c:v>
                </c:pt>
                <c:pt idx="211">
                  <c:v>43777</c:v>
                </c:pt>
                <c:pt idx="212">
                  <c:v>43780</c:v>
                </c:pt>
                <c:pt idx="213">
                  <c:v>43781</c:v>
                </c:pt>
                <c:pt idx="214">
                  <c:v>43782</c:v>
                </c:pt>
                <c:pt idx="215">
                  <c:v>43783</c:v>
                </c:pt>
                <c:pt idx="216">
                  <c:v>43784</c:v>
                </c:pt>
                <c:pt idx="217">
                  <c:v>43787</c:v>
                </c:pt>
                <c:pt idx="218">
                  <c:v>43788</c:v>
                </c:pt>
                <c:pt idx="219">
                  <c:v>43789</c:v>
                </c:pt>
                <c:pt idx="220">
                  <c:v>43790</c:v>
                </c:pt>
                <c:pt idx="221">
                  <c:v>43791</c:v>
                </c:pt>
                <c:pt idx="222">
                  <c:v>43794</c:v>
                </c:pt>
                <c:pt idx="223">
                  <c:v>43795</c:v>
                </c:pt>
                <c:pt idx="224">
                  <c:v>43796</c:v>
                </c:pt>
                <c:pt idx="225">
                  <c:v>43797</c:v>
                </c:pt>
                <c:pt idx="226">
                  <c:v>43798</c:v>
                </c:pt>
                <c:pt idx="227">
                  <c:v>43801</c:v>
                </c:pt>
                <c:pt idx="228">
                  <c:v>43802</c:v>
                </c:pt>
                <c:pt idx="229">
                  <c:v>43803</c:v>
                </c:pt>
                <c:pt idx="230">
                  <c:v>43804</c:v>
                </c:pt>
                <c:pt idx="231">
                  <c:v>43805</c:v>
                </c:pt>
                <c:pt idx="232">
                  <c:v>43808</c:v>
                </c:pt>
                <c:pt idx="233">
                  <c:v>43809</c:v>
                </c:pt>
                <c:pt idx="234">
                  <c:v>43810</c:v>
                </c:pt>
                <c:pt idx="235">
                  <c:v>43811</c:v>
                </c:pt>
                <c:pt idx="236">
                  <c:v>43812</c:v>
                </c:pt>
                <c:pt idx="237">
                  <c:v>43815</c:v>
                </c:pt>
                <c:pt idx="238">
                  <c:v>43816</c:v>
                </c:pt>
                <c:pt idx="239">
                  <c:v>43817</c:v>
                </c:pt>
                <c:pt idx="240">
                  <c:v>43818</c:v>
                </c:pt>
                <c:pt idx="241">
                  <c:v>43819</c:v>
                </c:pt>
                <c:pt idx="242">
                  <c:v>43822</c:v>
                </c:pt>
                <c:pt idx="243">
                  <c:v>43823</c:v>
                </c:pt>
                <c:pt idx="244">
                  <c:v>43825</c:v>
                </c:pt>
                <c:pt idx="245">
                  <c:v>43826</c:v>
                </c:pt>
                <c:pt idx="246">
                  <c:v>43829</c:v>
                </c:pt>
                <c:pt idx="247">
                  <c:v>43838</c:v>
                </c:pt>
                <c:pt idx="248">
                  <c:v>43839</c:v>
                </c:pt>
                <c:pt idx="249">
                  <c:v>43840</c:v>
                </c:pt>
                <c:pt idx="250">
                  <c:v>43843</c:v>
                </c:pt>
                <c:pt idx="251">
                  <c:v>43844</c:v>
                </c:pt>
                <c:pt idx="252">
                  <c:v>43845</c:v>
                </c:pt>
                <c:pt idx="253">
                  <c:v>43846</c:v>
                </c:pt>
                <c:pt idx="254">
                  <c:v>43847</c:v>
                </c:pt>
                <c:pt idx="255">
                  <c:v>43850</c:v>
                </c:pt>
                <c:pt idx="256">
                  <c:v>43851</c:v>
                </c:pt>
                <c:pt idx="257">
                  <c:v>43852</c:v>
                </c:pt>
                <c:pt idx="258">
                  <c:v>43853</c:v>
                </c:pt>
                <c:pt idx="259">
                  <c:v>43854</c:v>
                </c:pt>
                <c:pt idx="260">
                  <c:v>43859</c:v>
                </c:pt>
                <c:pt idx="261">
                  <c:v>43860</c:v>
                </c:pt>
                <c:pt idx="262">
                  <c:v>43861</c:v>
                </c:pt>
                <c:pt idx="263">
                  <c:v>43864</c:v>
                </c:pt>
                <c:pt idx="264">
                  <c:v>43865</c:v>
                </c:pt>
                <c:pt idx="265">
                  <c:v>43866</c:v>
                </c:pt>
                <c:pt idx="266">
                  <c:v>43867</c:v>
                </c:pt>
                <c:pt idx="267">
                  <c:v>43868</c:v>
                </c:pt>
                <c:pt idx="268">
                  <c:v>43871</c:v>
                </c:pt>
                <c:pt idx="269">
                  <c:v>43872</c:v>
                </c:pt>
                <c:pt idx="270">
                  <c:v>43873</c:v>
                </c:pt>
                <c:pt idx="271">
                  <c:v>43874</c:v>
                </c:pt>
                <c:pt idx="272">
                  <c:v>43875</c:v>
                </c:pt>
                <c:pt idx="273">
                  <c:v>43878</c:v>
                </c:pt>
                <c:pt idx="274">
                  <c:v>43879</c:v>
                </c:pt>
                <c:pt idx="275">
                  <c:v>43880</c:v>
                </c:pt>
                <c:pt idx="276">
                  <c:v>43881</c:v>
                </c:pt>
                <c:pt idx="277">
                  <c:v>43882</c:v>
                </c:pt>
                <c:pt idx="278">
                  <c:v>43885</c:v>
                </c:pt>
                <c:pt idx="279">
                  <c:v>43886</c:v>
                </c:pt>
                <c:pt idx="280">
                  <c:v>43887</c:v>
                </c:pt>
                <c:pt idx="281">
                  <c:v>43888</c:v>
                </c:pt>
                <c:pt idx="282">
                  <c:v>43889</c:v>
                </c:pt>
                <c:pt idx="283">
                  <c:v>43892</c:v>
                </c:pt>
                <c:pt idx="284">
                  <c:v>43893</c:v>
                </c:pt>
                <c:pt idx="285">
                  <c:v>43894</c:v>
                </c:pt>
                <c:pt idx="286">
                  <c:v>43895</c:v>
                </c:pt>
                <c:pt idx="287">
                  <c:v>43896</c:v>
                </c:pt>
                <c:pt idx="288">
                  <c:v>43899</c:v>
                </c:pt>
                <c:pt idx="289">
                  <c:v>43900</c:v>
                </c:pt>
                <c:pt idx="290">
                  <c:v>43901</c:v>
                </c:pt>
                <c:pt idx="291">
                  <c:v>43902</c:v>
                </c:pt>
                <c:pt idx="292">
                  <c:v>43903</c:v>
                </c:pt>
                <c:pt idx="293">
                  <c:v>43906</c:v>
                </c:pt>
                <c:pt idx="294">
                  <c:v>43907</c:v>
                </c:pt>
                <c:pt idx="295">
                  <c:v>43908</c:v>
                </c:pt>
                <c:pt idx="296">
                  <c:v>43909</c:v>
                </c:pt>
                <c:pt idx="297">
                  <c:v>43910</c:v>
                </c:pt>
                <c:pt idx="298">
                  <c:v>43913</c:v>
                </c:pt>
                <c:pt idx="299">
                  <c:v>43914</c:v>
                </c:pt>
                <c:pt idx="300">
                  <c:v>43915</c:v>
                </c:pt>
                <c:pt idx="301">
                  <c:v>43916</c:v>
                </c:pt>
                <c:pt idx="302">
                  <c:v>43917</c:v>
                </c:pt>
                <c:pt idx="303">
                  <c:v>43920</c:v>
                </c:pt>
                <c:pt idx="304">
                  <c:v>43921</c:v>
                </c:pt>
                <c:pt idx="305">
                  <c:v>43922</c:v>
                </c:pt>
                <c:pt idx="306">
                  <c:v>43923</c:v>
                </c:pt>
                <c:pt idx="307">
                  <c:v>43924</c:v>
                </c:pt>
                <c:pt idx="308">
                  <c:v>43927</c:v>
                </c:pt>
                <c:pt idx="309">
                  <c:v>43928</c:v>
                </c:pt>
                <c:pt idx="310">
                  <c:v>43929</c:v>
                </c:pt>
                <c:pt idx="311">
                  <c:v>43930</c:v>
                </c:pt>
                <c:pt idx="312">
                  <c:v>43934</c:v>
                </c:pt>
                <c:pt idx="313">
                  <c:v>43935</c:v>
                </c:pt>
                <c:pt idx="314">
                  <c:v>43936</c:v>
                </c:pt>
                <c:pt idx="315">
                  <c:v>43937</c:v>
                </c:pt>
                <c:pt idx="316">
                  <c:v>43938</c:v>
                </c:pt>
                <c:pt idx="317">
                  <c:v>43941</c:v>
                </c:pt>
                <c:pt idx="318">
                  <c:v>43942</c:v>
                </c:pt>
                <c:pt idx="319">
                  <c:v>43943</c:v>
                </c:pt>
                <c:pt idx="320">
                  <c:v>43944</c:v>
                </c:pt>
                <c:pt idx="321">
                  <c:v>43948</c:v>
                </c:pt>
                <c:pt idx="322">
                  <c:v>43949</c:v>
                </c:pt>
                <c:pt idx="323">
                  <c:v>43950</c:v>
                </c:pt>
                <c:pt idx="324">
                  <c:v>43951</c:v>
                </c:pt>
                <c:pt idx="325">
                  <c:v>43955</c:v>
                </c:pt>
                <c:pt idx="326">
                  <c:v>43956</c:v>
                </c:pt>
                <c:pt idx="327">
                  <c:v>43957</c:v>
                </c:pt>
                <c:pt idx="328">
                  <c:v>43958</c:v>
                </c:pt>
                <c:pt idx="329">
                  <c:v>43959</c:v>
                </c:pt>
                <c:pt idx="330">
                  <c:v>43962</c:v>
                </c:pt>
                <c:pt idx="331">
                  <c:v>43963</c:v>
                </c:pt>
                <c:pt idx="332">
                  <c:v>43964</c:v>
                </c:pt>
                <c:pt idx="333">
                  <c:v>43965</c:v>
                </c:pt>
                <c:pt idx="334">
                  <c:v>43966</c:v>
                </c:pt>
                <c:pt idx="335">
                  <c:v>43969</c:v>
                </c:pt>
                <c:pt idx="336">
                  <c:v>43970</c:v>
                </c:pt>
                <c:pt idx="337">
                  <c:v>43971</c:v>
                </c:pt>
                <c:pt idx="338">
                  <c:v>43972</c:v>
                </c:pt>
                <c:pt idx="339">
                  <c:v>43973</c:v>
                </c:pt>
                <c:pt idx="340">
                  <c:v>43976</c:v>
                </c:pt>
                <c:pt idx="341">
                  <c:v>43977</c:v>
                </c:pt>
                <c:pt idx="342">
                  <c:v>43978</c:v>
                </c:pt>
                <c:pt idx="343">
                  <c:v>43983</c:v>
                </c:pt>
                <c:pt idx="344">
                  <c:v>43984</c:v>
                </c:pt>
                <c:pt idx="345">
                  <c:v>43985</c:v>
                </c:pt>
                <c:pt idx="346">
                  <c:v>43986</c:v>
                </c:pt>
                <c:pt idx="347">
                  <c:v>43987</c:v>
                </c:pt>
                <c:pt idx="348">
                  <c:v>43990</c:v>
                </c:pt>
                <c:pt idx="349">
                  <c:v>43991</c:v>
                </c:pt>
                <c:pt idx="350">
                  <c:v>43992</c:v>
                </c:pt>
                <c:pt idx="351">
                  <c:v>43993</c:v>
                </c:pt>
                <c:pt idx="352">
                  <c:v>43994</c:v>
                </c:pt>
                <c:pt idx="353">
                  <c:v>43997</c:v>
                </c:pt>
                <c:pt idx="354">
                  <c:v>43998</c:v>
                </c:pt>
                <c:pt idx="355">
                  <c:v>43999</c:v>
                </c:pt>
                <c:pt idx="356">
                  <c:v>44000</c:v>
                </c:pt>
                <c:pt idx="357">
                  <c:v>44001</c:v>
                </c:pt>
                <c:pt idx="358">
                  <c:v>44004</c:v>
                </c:pt>
                <c:pt idx="359">
                  <c:v>44005</c:v>
                </c:pt>
                <c:pt idx="360">
                  <c:v>44006</c:v>
                </c:pt>
                <c:pt idx="361">
                  <c:v>44007</c:v>
                </c:pt>
                <c:pt idx="362">
                  <c:v>44008</c:v>
                </c:pt>
                <c:pt idx="363">
                  <c:v>44011</c:v>
                </c:pt>
                <c:pt idx="364">
                  <c:v>44012</c:v>
                </c:pt>
                <c:pt idx="365">
                  <c:v>44013</c:v>
                </c:pt>
                <c:pt idx="366">
                  <c:v>44014</c:v>
                </c:pt>
                <c:pt idx="367">
                  <c:v>44015</c:v>
                </c:pt>
                <c:pt idx="368">
                  <c:v>44018</c:v>
                </c:pt>
                <c:pt idx="369">
                  <c:v>44019</c:v>
                </c:pt>
                <c:pt idx="370">
                  <c:v>44020</c:v>
                </c:pt>
                <c:pt idx="371">
                  <c:v>44021</c:v>
                </c:pt>
                <c:pt idx="372">
                  <c:v>44022</c:v>
                </c:pt>
                <c:pt idx="373">
                  <c:v>44025</c:v>
                </c:pt>
                <c:pt idx="374">
                  <c:v>44026</c:v>
                </c:pt>
                <c:pt idx="375">
                  <c:v>44027</c:v>
                </c:pt>
                <c:pt idx="376">
                  <c:v>44028</c:v>
                </c:pt>
                <c:pt idx="377">
                  <c:v>44029</c:v>
                </c:pt>
                <c:pt idx="378">
                  <c:v>44032</c:v>
                </c:pt>
                <c:pt idx="379">
                  <c:v>44033</c:v>
                </c:pt>
                <c:pt idx="380">
                  <c:v>44034</c:v>
                </c:pt>
                <c:pt idx="381">
                  <c:v>44035</c:v>
                </c:pt>
                <c:pt idx="382">
                  <c:v>44036</c:v>
                </c:pt>
                <c:pt idx="383">
                  <c:v>44039</c:v>
                </c:pt>
                <c:pt idx="384">
                  <c:v>44040</c:v>
                </c:pt>
                <c:pt idx="385">
                  <c:v>44041</c:v>
                </c:pt>
                <c:pt idx="386">
                  <c:v>44042</c:v>
                </c:pt>
                <c:pt idx="387">
                  <c:v>44043</c:v>
                </c:pt>
                <c:pt idx="388">
                  <c:v>44046</c:v>
                </c:pt>
                <c:pt idx="389">
                  <c:v>44047</c:v>
                </c:pt>
                <c:pt idx="390">
                  <c:v>44048</c:v>
                </c:pt>
                <c:pt idx="391">
                  <c:v>44049</c:v>
                </c:pt>
                <c:pt idx="392">
                  <c:v>44050</c:v>
                </c:pt>
                <c:pt idx="393">
                  <c:v>44053</c:v>
                </c:pt>
                <c:pt idx="394">
                  <c:v>44054</c:v>
                </c:pt>
                <c:pt idx="395">
                  <c:v>44055</c:v>
                </c:pt>
                <c:pt idx="396">
                  <c:v>44056</c:v>
                </c:pt>
                <c:pt idx="397">
                  <c:v>44057</c:v>
                </c:pt>
                <c:pt idx="398">
                  <c:v>44060</c:v>
                </c:pt>
                <c:pt idx="399">
                  <c:v>44061</c:v>
                </c:pt>
                <c:pt idx="400">
                  <c:v>44062</c:v>
                </c:pt>
                <c:pt idx="401">
                  <c:v>44063</c:v>
                </c:pt>
                <c:pt idx="402">
                  <c:v>44064</c:v>
                </c:pt>
                <c:pt idx="403">
                  <c:v>44067</c:v>
                </c:pt>
                <c:pt idx="404">
                  <c:v>44068</c:v>
                </c:pt>
                <c:pt idx="405">
                  <c:v>44069</c:v>
                </c:pt>
                <c:pt idx="406">
                  <c:v>44070</c:v>
                </c:pt>
                <c:pt idx="407">
                  <c:v>44071</c:v>
                </c:pt>
                <c:pt idx="408">
                  <c:v>44074</c:v>
                </c:pt>
                <c:pt idx="409">
                  <c:v>44075</c:v>
                </c:pt>
                <c:pt idx="410">
                  <c:v>44076</c:v>
                </c:pt>
                <c:pt idx="411">
                  <c:v>44077</c:v>
                </c:pt>
                <c:pt idx="412">
                  <c:v>44078</c:v>
                </c:pt>
                <c:pt idx="413">
                  <c:v>44081</c:v>
                </c:pt>
                <c:pt idx="414">
                  <c:v>44082</c:v>
                </c:pt>
                <c:pt idx="415">
                  <c:v>44083</c:v>
                </c:pt>
                <c:pt idx="416">
                  <c:v>44084</c:v>
                </c:pt>
                <c:pt idx="417">
                  <c:v>44085</c:v>
                </c:pt>
                <c:pt idx="418">
                  <c:v>44088</c:v>
                </c:pt>
                <c:pt idx="419">
                  <c:v>44089</c:v>
                </c:pt>
                <c:pt idx="420">
                  <c:v>44090</c:v>
                </c:pt>
                <c:pt idx="421">
                  <c:v>44091</c:v>
                </c:pt>
                <c:pt idx="422">
                  <c:v>44092</c:v>
                </c:pt>
                <c:pt idx="423">
                  <c:v>44096</c:v>
                </c:pt>
                <c:pt idx="424">
                  <c:v>44097</c:v>
                </c:pt>
                <c:pt idx="425">
                  <c:v>44098</c:v>
                </c:pt>
                <c:pt idx="426">
                  <c:v>44099</c:v>
                </c:pt>
                <c:pt idx="427">
                  <c:v>44102</c:v>
                </c:pt>
                <c:pt idx="428">
                  <c:v>44103</c:v>
                </c:pt>
                <c:pt idx="429">
                  <c:v>44104</c:v>
                </c:pt>
                <c:pt idx="430">
                  <c:v>44105</c:v>
                </c:pt>
                <c:pt idx="431">
                  <c:v>44106</c:v>
                </c:pt>
                <c:pt idx="432">
                  <c:v>44109</c:v>
                </c:pt>
                <c:pt idx="433">
                  <c:v>44110</c:v>
                </c:pt>
                <c:pt idx="434">
                  <c:v>44111</c:v>
                </c:pt>
                <c:pt idx="435">
                  <c:v>44112</c:v>
                </c:pt>
                <c:pt idx="436">
                  <c:v>44113</c:v>
                </c:pt>
                <c:pt idx="437">
                  <c:v>44116</c:v>
                </c:pt>
                <c:pt idx="438">
                  <c:v>44117</c:v>
                </c:pt>
                <c:pt idx="439">
                  <c:v>44118</c:v>
                </c:pt>
                <c:pt idx="440">
                  <c:v>44119</c:v>
                </c:pt>
                <c:pt idx="441">
                  <c:v>44120</c:v>
                </c:pt>
                <c:pt idx="442">
                  <c:v>44123</c:v>
                </c:pt>
                <c:pt idx="443">
                  <c:v>44124</c:v>
                </c:pt>
                <c:pt idx="444">
                  <c:v>44125</c:v>
                </c:pt>
                <c:pt idx="445">
                  <c:v>44126</c:v>
                </c:pt>
                <c:pt idx="446">
                  <c:v>44127</c:v>
                </c:pt>
                <c:pt idx="447">
                  <c:v>44130</c:v>
                </c:pt>
                <c:pt idx="448">
                  <c:v>44131</c:v>
                </c:pt>
                <c:pt idx="449">
                  <c:v>44132</c:v>
                </c:pt>
                <c:pt idx="450">
                  <c:v>44133</c:v>
                </c:pt>
                <c:pt idx="451">
                  <c:v>44134</c:v>
                </c:pt>
                <c:pt idx="452">
                  <c:v>44137</c:v>
                </c:pt>
                <c:pt idx="453">
                  <c:v>44138</c:v>
                </c:pt>
                <c:pt idx="454">
                  <c:v>44139</c:v>
                </c:pt>
                <c:pt idx="455">
                  <c:v>44140</c:v>
                </c:pt>
                <c:pt idx="456">
                  <c:v>44141</c:v>
                </c:pt>
                <c:pt idx="457">
                  <c:v>44144</c:v>
                </c:pt>
                <c:pt idx="458">
                  <c:v>44145</c:v>
                </c:pt>
                <c:pt idx="459">
                  <c:v>44146</c:v>
                </c:pt>
                <c:pt idx="460">
                  <c:v>44147</c:v>
                </c:pt>
                <c:pt idx="461">
                  <c:v>44148</c:v>
                </c:pt>
                <c:pt idx="462">
                  <c:v>44151</c:v>
                </c:pt>
                <c:pt idx="463">
                  <c:v>44152</c:v>
                </c:pt>
                <c:pt idx="464">
                  <c:v>44153</c:v>
                </c:pt>
                <c:pt idx="465">
                  <c:v>44154</c:v>
                </c:pt>
                <c:pt idx="466">
                  <c:v>44155</c:v>
                </c:pt>
                <c:pt idx="467">
                  <c:v>44158</c:v>
                </c:pt>
                <c:pt idx="468">
                  <c:v>44159</c:v>
                </c:pt>
                <c:pt idx="469">
                  <c:v>44160</c:v>
                </c:pt>
                <c:pt idx="470">
                  <c:v>44161</c:v>
                </c:pt>
                <c:pt idx="471">
                  <c:v>44162</c:v>
                </c:pt>
                <c:pt idx="472">
                  <c:v>44165</c:v>
                </c:pt>
                <c:pt idx="473">
                  <c:v>44166</c:v>
                </c:pt>
                <c:pt idx="474">
                  <c:v>44167</c:v>
                </c:pt>
                <c:pt idx="475">
                  <c:v>44168</c:v>
                </c:pt>
                <c:pt idx="476">
                  <c:v>44169</c:v>
                </c:pt>
                <c:pt idx="477">
                  <c:v>44172</c:v>
                </c:pt>
                <c:pt idx="478">
                  <c:v>44173</c:v>
                </c:pt>
                <c:pt idx="479">
                  <c:v>44174</c:v>
                </c:pt>
                <c:pt idx="480">
                  <c:v>44175</c:v>
                </c:pt>
                <c:pt idx="481">
                  <c:v>44176</c:v>
                </c:pt>
                <c:pt idx="482">
                  <c:v>44179</c:v>
                </c:pt>
                <c:pt idx="483">
                  <c:v>44180</c:v>
                </c:pt>
                <c:pt idx="484">
                  <c:v>44181</c:v>
                </c:pt>
                <c:pt idx="485">
                  <c:v>44182</c:v>
                </c:pt>
                <c:pt idx="486">
                  <c:v>44183</c:v>
                </c:pt>
                <c:pt idx="487">
                  <c:v>44186</c:v>
                </c:pt>
                <c:pt idx="488">
                  <c:v>44187</c:v>
                </c:pt>
                <c:pt idx="489">
                  <c:v>44188</c:v>
                </c:pt>
                <c:pt idx="490">
                  <c:v>44189</c:v>
                </c:pt>
                <c:pt idx="491">
                  <c:v>44193</c:v>
                </c:pt>
                <c:pt idx="492">
                  <c:v>44194</c:v>
                </c:pt>
                <c:pt idx="493">
                  <c:v>44195</c:v>
                </c:pt>
                <c:pt idx="494">
                  <c:v>44196</c:v>
                </c:pt>
                <c:pt idx="495">
                  <c:v>44204</c:v>
                </c:pt>
                <c:pt idx="496">
                  <c:v>44207</c:v>
                </c:pt>
                <c:pt idx="497">
                  <c:v>44208</c:v>
                </c:pt>
                <c:pt idx="498">
                  <c:v>44209</c:v>
                </c:pt>
                <c:pt idx="499">
                  <c:v>44210</c:v>
                </c:pt>
                <c:pt idx="500">
                  <c:v>44211</c:v>
                </c:pt>
                <c:pt idx="501">
                  <c:v>44214</c:v>
                </c:pt>
                <c:pt idx="502">
                  <c:v>44215</c:v>
                </c:pt>
                <c:pt idx="503">
                  <c:v>44216</c:v>
                </c:pt>
                <c:pt idx="504">
                  <c:v>44217</c:v>
                </c:pt>
                <c:pt idx="505">
                  <c:v>44218</c:v>
                </c:pt>
                <c:pt idx="506">
                  <c:v>44221</c:v>
                </c:pt>
                <c:pt idx="507">
                  <c:v>44222</c:v>
                </c:pt>
                <c:pt idx="508">
                  <c:v>44223</c:v>
                </c:pt>
                <c:pt idx="509">
                  <c:v>44225</c:v>
                </c:pt>
                <c:pt idx="510">
                  <c:v>44228</c:v>
                </c:pt>
                <c:pt idx="511">
                  <c:v>44229</c:v>
                </c:pt>
                <c:pt idx="512">
                  <c:v>44230</c:v>
                </c:pt>
                <c:pt idx="513">
                  <c:v>44231</c:v>
                </c:pt>
                <c:pt idx="514">
                  <c:v>44232</c:v>
                </c:pt>
                <c:pt idx="515">
                  <c:v>44235</c:v>
                </c:pt>
                <c:pt idx="516">
                  <c:v>44236</c:v>
                </c:pt>
                <c:pt idx="517">
                  <c:v>44237</c:v>
                </c:pt>
                <c:pt idx="518">
                  <c:v>44238</c:v>
                </c:pt>
                <c:pt idx="519">
                  <c:v>44239</c:v>
                </c:pt>
                <c:pt idx="520">
                  <c:v>44242</c:v>
                </c:pt>
                <c:pt idx="521">
                  <c:v>44243</c:v>
                </c:pt>
                <c:pt idx="522">
                  <c:v>44244</c:v>
                </c:pt>
                <c:pt idx="523">
                  <c:v>44245</c:v>
                </c:pt>
                <c:pt idx="524">
                  <c:v>44246</c:v>
                </c:pt>
                <c:pt idx="525">
                  <c:v>44249</c:v>
                </c:pt>
                <c:pt idx="526">
                  <c:v>44250</c:v>
                </c:pt>
                <c:pt idx="527">
                  <c:v>44251</c:v>
                </c:pt>
                <c:pt idx="528">
                  <c:v>44252</c:v>
                </c:pt>
                <c:pt idx="529">
                  <c:v>44253</c:v>
                </c:pt>
                <c:pt idx="530">
                  <c:v>44256</c:v>
                </c:pt>
                <c:pt idx="531">
                  <c:v>44257</c:v>
                </c:pt>
                <c:pt idx="532">
                  <c:v>44258</c:v>
                </c:pt>
                <c:pt idx="533">
                  <c:v>44259</c:v>
                </c:pt>
                <c:pt idx="534">
                  <c:v>44260</c:v>
                </c:pt>
                <c:pt idx="535">
                  <c:v>44264</c:v>
                </c:pt>
                <c:pt idx="536">
                  <c:v>44265</c:v>
                </c:pt>
                <c:pt idx="537">
                  <c:v>44266</c:v>
                </c:pt>
                <c:pt idx="538">
                  <c:v>44267</c:v>
                </c:pt>
                <c:pt idx="539">
                  <c:v>44270</c:v>
                </c:pt>
                <c:pt idx="540">
                  <c:v>44271</c:v>
                </c:pt>
                <c:pt idx="541">
                  <c:v>44272</c:v>
                </c:pt>
                <c:pt idx="542">
                  <c:v>44273</c:v>
                </c:pt>
                <c:pt idx="543">
                  <c:v>44274</c:v>
                </c:pt>
                <c:pt idx="544">
                  <c:v>44277</c:v>
                </c:pt>
                <c:pt idx="545">
                  <c:v>44278</c:v>
                </c:pt>
                <c:pt idx="546">
                  <c:v>44279</c:v>
                </c:pt>
                <c:pt idx="547">
                  <c:v>44280</c:v>
                </c:pt>
                <c:pt idx="548">
                  <c:v>44281</c:v>
                </c:pt>
                <c:pt idx="549">
                  <c:v>44284</c:v>
                </c:pt>
                <c:pt idx="550">
                  <c:v>44285</c:v>
                </c:pt>
                <c:pt idx="551">
                  <c:v>44286</c:v>
                </c:pt>
                <c:pt idx="552">
                  <c:v>44287</c:v>
                </c:pt>
                <c:pt idx="553">
                  <c:v>44288</c:v>
                </c:pt>
                <c:pt idx="554">
                  <c:v>44291</c:v>
                </c:pt>
                <c:pt idx="555">
                  <c:v>44292</c:v>
                </c:pt>
                <c:pt idx="556">
                  <c:v>44293</c:v>
                </c:pt>
                <c:pt idx="557">
                  <c:v>44294</c:v>
                </c:pt>
                <c:pt idx="558">
                  <c:v>44295</c:v>
                </c:pt>
                <c:pt idx="559">
                  <c:v>44298</c:v>
                </c:pt>
                <c:pt idx="560">
                  <c:v>44299</c:v>
                </c:pt>
                <c:pt idx="561">
                  <c:v>44300</c:v>
                </c:pt>
                <c:pt idx="562">
                  <c:v>44301</c:v>
                </c:pt>
                <c:pt idx="563">
                  <c:v>44302</c:v>
                </c:pt>
                <c:pt idx="564">
                  <c:v>44305</c:v>
                </c:pt>
                <c:pt idx="565">
                  <c:v>44306</c:v>
                </c:pt>
                <c:pt idx="566">
                  <c:v>44307</c:v>
                </c:pt>
                <c:pt idx="567">
                  <c:v>44308</c:v>
                </c:pt>
                <c:pt idx="568">
                  <c:v>44309</c:v>
                </c:pt>
                <c:pt idx="569">
                  <c:v>44312</c:v>
                </c:pt>
                <c:pt idx="570">
                  <c:v>44313</c:v>
                </c:pt>
                <c:pt idx="571">
                  <c:v>44314</c:v>
                </c:pt>
                <c:pt idx="572">
                  <c:v>44315</c:v>
                </c:pt>
                <c:pt idx="573">
                  <c:v>44316</c:v>
                </c:pt>
                <c:pt idx="574">
                  <c:v>44319</c:v>
                </c:pt>
                <c:pt idx="575">
                  <c:v>44320</c:v>
                </c:pt>
                <c:pt idx="576">
                  <c:v>44321</c:v>
                </c:pt>
                <c:pt idx="577">
                  <c:v>44322</c:v>
                </c:pt>
                <c:pt idx="578">
                  <c:v>44323</c:v>
                </c:pt>
                <c:pt idx="579">
                  <c:v>44326</c:v>
                </c:pt>
                <c:pt idx="580">
                  <c:v>44327</c:v>
                </c:pt>
                <c:pt idx="581">
                  <c:v>44328</c:v>
                </c:pt>
                <c:pt idx="582">
                  <c:v>44329</c:v>
                </c:pt>
                <c:pt idx="583">
                  <c:v>44330</c:v>
                </c:pt>
                <c:pt idx="584">
                  <c:v>44333</c:v>
                </c:pt>
                <c:pt idx="585">
                  <c:v>44334</c:v>
                </c:pt>
                <c:pt idx="586">
                  <c:v>44335</c:v>
                </c:pt>
                <c:pt idx="587">
                  <c:v>44336</c:v>
                </c:pt>
                <c:pt idx="588">
                  <c:v>44341</c:v>
                </c:pt>
                <c:pt idx="589" formatCode="d\-mmm\-yy">
                  <c:v>44342</c:v>
                </c:pt>
                <c:pt idx="590" formatCode="d\-mmm\-yy">
                  <c:v>44343</c:v>
                </c:pt>
                <c:pt idx="591" formatCode="d\-mmm\-yy">
                  <c:v>44347</c:v>
                </c:pt>
                <c:pt idx="592" formatCode="d\-mmm\-yy">
                  <c:v>44348</c:v>
                </c:pt>
                <c:pt idx="593" formatCode="d\-mmm\-yy">
                  <c:v>44349</c:v>
                </c:pt>
                <c:pt idx="594" formatCode="d\-mmm\-yy">
                  <c:v>44350</c:v>
                </c:pt>
                <c:pt idx="595" formatCode="d\-mmm\-yy">
                  <c:v>44351</c:v>
                </c:pt>
                <c:pt idx="596" formatCode="d\-mmm\-yy">
                  <c:v>44354</c:v>
                </c:pt>
                <c:pt idx="597" formatCode="d\-mmm\-yy">
                  <c:v>44355</c:v>
                </c:pt>
                <c:pt idx="598" formatCode="d\-mmm\-yy">
                  <c:v>44356</c:v>
                </c:pt>
                <c:pt idx="599" formatCode="d\-mmm\-yy">
                  <c:v>44357</c:v>
                </c:pt>
                <c:pt idx="600" formatCode="d\-mmm\-yy">
                  <c:v>44358</c:v>
                </c:pt>
                <c:pt idx="601" formatCode="d\-mmm\-yy">
                  <c:v>44361</c:v>
                </c:pt>
                <c:pt idx="602" formatCode="d\-mmm\-yy">
                  <c:v>44362</c:v>
                </c:pt>
                <c:pt idx="603" formatCode="d\-mmm\-yy">
                  <c:v>44363</c:v>
                </c:pt>
                <c:pt idx="604" formatCode="d\-mmm\-yy">
                  <c:v>44364</c:v>
                </c:pt>
                <c:pt idx="605" formatCode="d\-mmm\-yy">
                  <c:v>44365</c:v>
                </c:pt>
                <c:pt idx="606" formatCode="d\-mmm\-yy">
                  <c:v>44368</c:v>
                </c:pt>
                <c:pt idx="607" formatCode="d\-mmm\-yy">
                  <c:v>44369</c:v>
                </c:pt>
                <c:pt idx="608" formatCode="d\-mmm\-yy">
                  <c:v>44370</c:v>
                </c:pt>
                <c:pt idx="609" formatCode="d\-mmm\-yy">
                  <c:v>44371</c:v>
                </c:pt>
                <c:pt idx="610" formatCode="d\-mmm\-yy">
                  <c:v>44372</c:v>
                </c:pt>
                <c:pt idx="611" formatCode="d\-mmm\-yy">
                  <c:v>44375</c:v>
                </c:pt>
                <c:pt idx="612" formatCode="d\-mmm\-yy">
                  <c:v>44376</c:v>
                </c:pt>
                <c:pt idx="613" formatCode="d\-mmm\-yy">
                  <c:v>44377</c:v>
                </c:pt>
                <c:pt idx="614" formatCode="d\-mmm\-yy">
                  <c:v>44378</c:v>
                </c:pt>
                <c:pt idx="615" formatCode="d\-mmm\-yy">
                  <c:v>44379</c:v>
                </c:pt>
                <c:pt idx="616" formatCode="d\-mmm\-yy">
                  <c:v>44383</c:v>
                </c:pt>
                <c:pt idx="617" formatCode="d\-mmm\-yy">
                  <c:v>44384</c:v>
                </c:pt>
                <c:pt idx="618" formatCode="d\-mmm\-yy">
                  <c:v>44385</c:v>
                </c:pt>
                <c:pt idx="619" formatCode="d\-mmm\-yy">
                  <c:v>44386</c:v>
                </c:pt>
                <c:pt idx="620" formatCode="d\-mmm\-yy">
                  <c:v>44389</c:v>
                </c:pt>
              </c:numCache>
            </c:numRef>
          </c:cat>
          <c:val>
            <c:numRef>
              <c:f>Sheet1!$D$2:$D$622</c:f>
              <c:numCache>
                <c:formatCode>0</c:formatCode>
                <c:ptCount val="621"/>
                <c:pt idx="0">
                  <c:v>100</c:v>
                </c:pt>
                <c:pt idx="1">
                  <c:v>100</c:v>
                </c:pt>
                <c:pt idx="2">
                  <c:v>100</c:v>
                </c:pt>
                <c:pt idx="3">
                  <c:v>100</c:v>
                </c:pt>
                <c:pt idx="4">
                  <c:v>100</c:v>
                </c:pt>
                <c:pt idx="5">
                  <c:v>100</c:v>
                </c:pt>
                <c:pt idx="6">
                  <c:v>99</c:v>
                </c:pt>
                <c:pt idx="7">
                  <c:v>99</c:v>
                </c:pt>
                <c:pt idx="8">
                  <c:v>99</c:v>
                </c:pt>
                <c:pt idx="9">
                  <c:v>99</c:v>
                </c:pt>
                <c:pt idx="10">
                  <c:v>99</c:v>
                </c:pt>
                <c:pt idx="11">
                  <c:v>99</c:v>
                </c:pt>
                <c:pt idx="12">
                  <c:v>98</c:v>
                </c:pt>
                <c:pt idx="13">
                  <c:v>99</c:v>
                </c:pt>
                <c:pt idx="14">
                  <c:v>99</c:v>
                </c:pt>
                <c:pt idx="15">
                  <c:v>98</c:v>
                </c:pt>
                <c:pt idx="16">
                  <c:v>97</c:v>
                </c:pt>
                <c:pt idx="17">
                  <c:v>98</c:v>
                </c:pt>
                <c:pt idx="18">
                  <c:v>98</c:v>
                </c:pt>
                <c:pt idx="19">
                  <c:v>98</c:v>
                </c:pt>
                <c:pt idx="20">
                  <c:v>98</c:v>
                </c:pt>
                <c:pt idx="21">
                  <c:v>98</c:v>
                </c:pt>
                <c:pt idx="22">
                  <c:v>98</c:v>
                </c:pt>
                <c:pt idx="23">
                  <c:v>98</c:v>
                </c:pt>
                <c:pt idx="24">
                  <c:v>98</c:v>
                </c:pt>
                <c:pt idx="25">
                  <c:v>98</c:v>
                </c:pt>
                <c:pt idx="26">
                  <c:v>100</c:v>
                </c:pt>
                <c:pt idx="27">
                  <c:v>99</c:v>
                </c:pt>
                <c:pt idx="28">
                  <c:v>99</c:v>
                </c:pt>
                <c:pt idx="29">
                  <c:v>99</c:v>
                </c:pt>
                <c:pt idx="30">
                  <c:v>98</c:v>
                </c:pt>
                <c:pt idx="31">
                  <c:v>98</c:v>
                </c:pt>
                <c:pt idx="32">
                  <c:v>98</c:v>
                </c:pt>
                <c:pt idx="33">
                  <c:v>97</c:v>
                </c:pt>
                <c:pt idx="34">
                  <c:v>98</c:v>
                </c:pt>
                <c:pt idx="35">
                  <c:v>98</c:v>
                </c:pt>
                <c:pt idx="36">
                  <c:v>98</c:v>
                </c:pt>
                <c:pt idx="37">
                  <c:v>98</c:v>
                </c:pt>
                <c:pt idx="38">
                  <c:v>98</c:v>
                </c:pt>
                <c:pt idx="39">
                  <c:v>98</c:v>
                </c:pt>
                <c:pt idx="40">
                  <c:v>98</c:v>
                </c:pt>
                <c:pt idx="41">
                  <c:v>98</c:v>
                </c:pt>
                <c:pt idx="42">
                  <c:v>98</c:v>
                </c:pt>
                <c:pt idx="43">
                  <c:v>98</c:v>
                </c:pt>
                <c:pt idx="44">
                  <c:v>98</c:v>
                </c:pt>
                <c:pt idx="45">
                  <c:v>98</c:v>
                </c:pt>
                <c:pt idx="46">
                  <c:v>97</c:v>
                </c:pt>
                <c:pt idx="47">
                  <c:v>96</c:v>
                </c:pt>
                <c:pt idx="48">
                  <c:v>96</c:v>
                </c:pt>
                <c:pt idx="49">
                  <c:v>96</c:v>
                </c:pt>
                <c:pt idx="50">
                  <c:v>95</c:v>
                </c:pt>
                <c:pt idx="51">
                  <c:v>96</c:v>
                </c:pt>
                <c:pt idx="52">
                  <c:v>96</c:v>
                </c:pt>
                <c:pt idx="53">
                  <c:v>96</c:v>
                </c:pt>
                <c:pt idx="54">
                  <c:v>97</c:v>
                </c:pt>
                <c:pt idx="55">
                  <c:v>97</c:v>
                </c:pt>
                <c:pt idx="56">
                  <c:v>96</c:v>
                </c:pt>
                <c:pt idx="57">
                  <c:v>97</c:v>
                </c:pt>
                <c:pt idx="58">
                  <c:v>98</c:v>
                </c:pt>
                <c:pt idx="59">
                  <c:v>97</c:v>
                </c:pt>
                <c:pt idx="60">
                  <c:v>97</c:v>
                </c:pt>
                <c:pt idx="61">
                  <c:v>98</c:v>
                </c:pt>
                <c:pt idx="62">
                  <c:v>98</c:v>
                </c:pt>
                <c:pt idx="63">
                  <c:v>96</c:v>
                </c:pt>
                <c:pt idx="64">
                  <c:v>96</c:v>
                </c:pt>
                <c:pt idx="65">
                  <c:v>96</c:v>
                </c:pt>
                <c:pt idx="66">
                  <c:v>96</c:v>
                </c:pt>
                <c:pt idx="67">
                  <c:v>96</c:v>
                </c:pt>
                <c:pt idx="68">
                  <c:v>96</c:v>
                </c:pt>
                <c:pt idx="69">
                  <c:v>95</c:v>
                </c:pt>
                <c:pt idx="70">
                  <c:v>95</c:v>
                </c:pt>
                <c:pt idx="71">
                  <c:v>95</c:v>
                </c:pt>
                <c:pt idx="72">
                  <c:v>95</c:v>
                </c:pt>
                <c:pt idx="73">
                  <c:v>95</c:v>
                </c:pt>
                <c:pt idx="74">
                  <c:v>97</c:v>
                </c:pt>
                <c:pt idx="75">
                  <c:v>97</c:v>
                </c:pt>
                <c:pt idx="76">
                  <c:v>96</c:v>
                </c:pt>
                <c:pt idx="77">
                  <c:v>96</c:v>
                </c:pt>
                <c:pt idx="78">
                  <c:v>97</c:v>
                </c:pt>
                <c:pt idx="79">
                  <c:v>97</c:v>
                </c:pt>
                <c:pt idx="80">
                  <c:v>97</c:v>
                </c:pt>
                <c:pt idx="81">
                  <c:v>97</c:v>
                </c:pt>
                <c:pt idx="82">
                  <c:v>97</c:v>
                </c:pt>
                <c:pt idx="83">
                  <c:v>97</c:v>
                </c:pt>
                <c:pt idx="84">
                  <c:v>97</c:v>
                </c:pt>
                <c:pt idx="85">
                  <c:v>97</c:v>
                </c:pt>
                <c:pt idx="86">
                  <c:v>97</c:v>
                </c:pt>
                <c:pt idx="87">
                  <c:v>96</c:v>
                </c:pt>
                <c:pt idx="88">
                  <c:v>96</c:v>
                </c:pt>
                <c:pt idx="89">
                  <c:v>96</c:v>
                </c:pt>
                <c:pt idx="90">
                  <c:v>96</c:v>
                </c:pt>
                <c:pt idx="91">
                  <c:v>96</c:v>
                </c:pt>
                <c:pt idx="92">
                  <c:v>96</c:v>
                </c:pt>
                <c:pt idx="93">
                  <c:v>96</c:v>
                </c:pt>
                <c:pt idx="94">
                  <c:v>96</c:v>
                </c:pt>
                <c:pt idx="95">
                  <c:v>97</c:v>
                </c:pt>
                <c:pt idx="96">
                  <c:v>97</c:v>
                </c:pt>
                <c:pt idx="97">
                  <c:v>98</c:v>
                </c:pt>
                <c:pt idx="98">
                  <c:v>97</c:v>
                </c:pt>
                <c:pt idx="99">
                  <c:v>97</c:v>
                </c:pt>
                <c:pt idx="100">
                  <c:v>97</c:v>
                </c:pt>
                <c:pt idx="101">
                  <c:v>97</c:v>
                </c:pt>
                <c:pt idx="102">
                  <c:v>97</c:v>
                </c:pt>
                <c:pt idx="103">
                  <c:v>96</c:v>
                </c:pt>
                <c:pt idx="104">
                  <c:v>96</c:v>
                </c:pt>
                <c:pt idx="105">
                  <c:v>96</c:v>
                </c:pt>
                <c:pt idx="106">
                  <c:v>96</c:v>
                </c:pt>
                <c:pt idx="107">
                  <c:v>96</c:v>
                </c:pt>
                <c:pt idx="108">
                  <c:v>96</c:v>
                </c:pt>
                <c:pt idx="109">
                  <c:v>96</c:v>
                </c:pt>
                <c:pt idx="110">
                  <c:v>95</c:v>
                </c:pt>
                <c:pt idx="111">
                  <c:v>94</c:v>
                </c:pt>
                <c:pt idx="112">
                  <c:v>94</c:v>
                </c:pt>
                <c:pt idx="113">
                  <c:v>94</c:v>
                </c:pt>
                <c:pt idx="114">
                  <c:v>93</c:v>
                </c:pt>
                <c:pt idx="115">
                  <c:v>94</c:v>
                </c:pt>
                <c:pt idx="116">
                  <c:v>94</c:v>
                </c:pt>
                <c:pt idx="117">
                  <c:v>94</c:v>
                </c:pt>
                <c:pt idx="118">
                  <c:v>94</c:v>
                </c:pt>
                <c:pt idx="119">
                  <c:v>94</c:v>
                </c:pt>
                <c:pt idx="120">
                  <c:v>95</c:v>
                </c:pt>
                <c:pt idx="121">
                  <c:v>95</c:v>
                </c:pt>
                <c:pt idx="122">
                  <c:v>95</c:v>
                </c:pt>
                <c:pt idx="123">
                  <c:v>95</c:v>
                </c:pt>
                <c:pt idx="124">
                  <c:v>95</c:v>
                </c:pt>
                <c:pt idx="125">
                  <c:v>94</c:v>
                </c:pt>
                <c:pt idx="126">
                  <c:v>94</c:v>
                </c:pt>
                <c:pt idx="127">
                  <c:v>93</c:v>
                </c:pt>
                <c:pt idx="128">
                  <c:v>94</c:v>
                </c:pt>
                <c:pt idx="129">
                  <c:v>94</c:v>
                </c:pt>
                <c:pt idx="130">
                  <c:v>94</c:v>
                </c:pt>
                <c:pt idx="131">
                  <c:v>94</c:v>
                </c:pt>
                <c:pt idx="132">
                  <c:v>94</c:v>
                </c:pt>
                <c:pt idx="133">
                  <c:v>94</c:v>
                </c:pt>
                <c:pt idx="134">
                  <c:v>94</c:v>
                </c:pt>
                <c:pt idx="135">
                  <c:v>94</c:v>
                </c:pt>
                <c:pt idx="136">
                  <c:v>94</c:v>
                </c:pt>
                <c:pt idx="137">
                  <c:v>95</c:v>
                </c:pt>
                <c:pt idx="138">
                  <c:v>94</c:v>
                </c:pt>
                <c:pt idx="139">
                  <c:v>95</c:v>
                </c:pt>
                <c:pt idx="140">
                  <c:v>95</c:v>
                </c:pt>
                <c:pt idx="141">
                  <c:v>97</c:v>
                </c:pt>
                <c:pt idx="142">
                  <c:v>97</c:v>
                </c:pt>
                <c:pt idx="143">
                  <c:v>97</c:v>
                </c:pt>
                <c:pt idx="144">
                  <c:v>97</c:v>
                </c:pt>
                <c:pt idx="145">
                  <c:v>97</c:v>
                </c:pt>
                <c:pt idx="146">
                  <c:v>98</c:v>
                </c:pt>
                <c:pt idx="147">
                  <c:v>98</c:v>
                </c:pt>
                <c:pt idx="148">
                  <c:v>98</c:v>
                </c:pt>
                <c:pt idx="149">
                  <c:v>97</c:v>
                </c:pt>
                <c:pt idx="150">
                  <c:v>99</c:v>
                </c:pt>
                <c:pt idx="151">
                  <c:v>98</c:v>
                </c:pt>
                <c:pt idx="152">
                  <c:v>100</c:v>
                </c:pt>
                <c:pt idx="153">
                  <c:v>99</c:v>
                </c:pt>
                <c:pt idx="154">
                  <c:v>99</c:v>
                </c:pt>
                <c:pt idx="155">
                  <c:v>98</c:v>
                </c:pt>
                <c:pt idx="156">
                  <c:v>98</c:v>
                </c:pt>
                <c:pt idx="157">
                  <c:v>98</c:v>
                </c:pt>
                <c:pt idx="158">
                  <c:v>99</c:v>
                </c:pt>
                <c:pt idx="159">
                  <c:v>99</c:v>
                </c:pt>
                <c:pt idx="160">
                  <c:v>99</c:v>
                </c:pt>
                <c:pt idx="161">
                  <c:v>99</c:v>
                </c:pt>
                <c:pt idx="162">
                  <c:v>99</c:v>
                </c:pt>
                <c:pt idx="163">
                  <c:v>100</c:v>
                </c:pt>
                <c:pt idx="164">
                  <c:v>99</c:v>
                </c:pt>
                <c:pt idx="165">
                  <c:v>98</c:v>
                </c:pt>
                <c:pt idx="166">
                  <c:v>98</c:v>
                </c:pt>
                <c:pt idx="167">
                  <c:v>98</c:v>
                </c:pt>
                <c:pt idx="168">
                  <c:v>98</c:v>
                </c:pt>
                <c:pt idx="169">
                  <c:v>98</c:v>
                </c:pt>
                <c:pt idx="170">
                  <c:v>97</c:v>
                </c:pt>
                <c:pt idx="171">
                  <c:v>96</c:v>
                </c:pt>
                <c:pt idx="172">
                  <c:v>96</c:v>
                </c:pt>
                <c:pt idx="173">
                  <c:v>96</c:v>
                </c:pt>
                <c:pt idx="174">
                  <c:v>96</c:v>
                </c:pt>
                <c:pt idx="175">
                  <c:v>96</c:v>
                </c:pt>
                <c:pt idx="176">
                  <c:v>95</c:v>
                </c:pt>
                <c:pt idx="177">
                  <c:v>95</c:v>
                </c:pt>
                <c:pt idx="178">
                  <c:v>95</c:v>
                </c:pt>
                <c:pt idx="179">
                  <c:v>96</c:v>
                </c:pt>
                <c:pt idx="180">
                  <c:v>96</c:v>
                </c:pt>
                <c:pt idx="181">
                  <c:v>96</c:v>
                </c:pt>
                <c:pt idx="182">
                  <c:v>97</c:v>
                </c:pt>
                <c:pt idx="183">
                  <c:v>97</c:v>
                </c:pt>
                <c:pt idx="184">
                  <c:v>97</c:v>
                </c:pt>
                <c:pt idx="185">
                  <c:v>97</c:v>
                </c:pt>
                <c:pt idx="186">
                  <c:v>97</c:v>
                </c:pt>
                <c:pt idx="187">
                  <c:v>97</c:v>
                </c:pt>
                <c:pt idx="188">
                  <c:v>97</c:v>
                </c:pt>
                <c:pt idx="189">
                  <c:v>97</c:v>
                </c:pt>
                <c:pt idx="190">
                  <c:v>97</c:v>
                </c:pt>
                <c:pt idx="191">
                  <c:v>96</c:v>
                </c:pt>
                <c:pt idx="192">
                  <c:v>96</c:v>
                </c:pt>
                <c:pt idx="193">
                  <c:v>96</c:v>
                </c:pt>
                <c:pt idx="194">
                  <c:v>96</c:v>
                </c:pt>
                <c:pt idx="195">
                  <c:v>95</c:v>
                </c:pt>
                <c:pt idx="196">
                  <c:v>95</c:v>
                </c:pt>
                <c:pt idx="197">
                  <c:v>95</c:v>
                </c:pt>
                <c:pt idx="198">
                  <c:v>95</c:v>
                </c:pt>
                <c:pt idx="199">
                  <c:v>95</c:v>
                </c:pt>
                <c:pt idx="200">
                  <c:v>95</c:v>
                </c:pt>
                <c:pt idx="201">
                  <c:v>95</c:v>
                </c:pt>
                <c:pt idx="202">
                  <c:v>95</c:v>
                </c:pt>
                <c:pt idx="203">
                  <c:v>95</c:v>
                </c:pt>
                <c:pt idx="204">
                  <c:v>95</c:v>
                </c:pt>
                <c:pt idx="205">
                  <c:v>95</c:v>
                </c:pt>
                <c:pt idx="206">
                  <c:v>95</c:v>
                </c:pt>
                <c:pt idx="207">
                  <c:v>95</c:v>
                </c:pt>
                <c:pt idx="208">
                  <c:v>94</c:v>
                </c:pt>
                <c:pt idx="209">
                  <c:v>95</c:v>
                </c:pt>
                <c:pt idx="210">
                  <c:v>95</c:v>
                </c:pt>
                <c:pt idx="211">
                  <c:v>95</c:v>
                </c:pt>
                <c:pt idx="212">
                  <c:v>95</c:v>
                </c:pt>
                <c:pt idx="213">
                  <c:v>95</c:v>
                </c:pt>
                <c:pt idx="214">
                  <c:v>96</c:v>
                </c:pt>
                <c:pt idx="215">
                  <c:v>96</c:v>
                </c:pt>
                <c:pt idx="216">
                  <c:v>95</c:v>
                </c:pt>
                <c:pt idx="217">
                  <c:v>95</c:v>
                </c:pt>
                <c:pt idx="218">
                  <c:v>95</c:v>
                </c:pt>
                <c:pt idx="219">
                  <c:v>95</c:v>
                </c:pt>
                <c:pt idx="220">
                  <c:v>95</c:v>
                </c:pt>
                <c:pt idx="221">
                  <c:v>95</c:v>
                </c:pt>
                <c:pt idx="222">
                  <c:v>95</c:v>
                </c:pt>
                <c:pt idx="223">
                  <c:v>95</c:v>
                </c:pt>
                <c:pt idx="224">
                  <c:v>95</c:v>
                </c:pt>
                <c:pt idx="225">
                  <c:v>95</c:v>
                </c:pt>
                <c:pt idx="226">
                  <c:v>95</c:v>
                </c:pt>
                <c:pt idx="227">
                  <c:v>96</c:v>
                </c:pt>
                <c:pt idx="228">
                  <c:v>96</c:v>
                </c:pt>
                <c:pt idx="229">
                  <c:v>95</c:v>
                </c:pt>
                <c:pt idx="230">
                  <c:v>95</c:v>
                </c:pt>
                <c:pt idx="231">
                  <c:v>95</c:v>
                </c:pt>
                <c:pt idx="232">
                  <c:v>95</c:v>
                </c:pt>
                <c:pt idx="233">
                  <c:v>95</c:v>
                </c:pt>
                <c:pt idx="234">
                  <c:v>95</c:v>
                </c:pt>
                <c:pt idx="235">
                  <c:v>94</c:v>
                </c:pt>
                <c:pt idx="236">
                  <c:v>93</c:v>
                </c:pt>
                <c:pt idx="237">
                  <c:v>94</c:v>
                </c:pt>
                <c:pt idx="238">
                  <c:v>93</c:v>
                </c:pt>
                <c:pt idx="239">
                  <c:v>93</c:v>
                </c:pt>
                <c:pt idx="240">
                  <c:v>93</c:v>
                </c:pt>
                <c:pt idx="241">
                  <c:v>93</c:v>
                </c:pt>
                <c:pt idx="242">
                  <c:v>93</c:v>
                </c:pt>
                <c:pt idx="243">
                  <c:v>93</c:v>
                </c:pt>
                <c:pt idx="244">
                  <c:v>92</c:v>
                </c:pt>
                <c:pt idx="245">
                  <c:v>92</c:v>
                </c:pt>
                <c:pt idx="246">
                  <c:v>92</c:v>
                </c:pt>
                <c:pt idx="247">
                  <c:v>92</c:v>
                </c:pt>
                <c:pt idx="248">
                  <c:v>91</c:v>
                </c:pt>
                <c:pt idx="249">
                  <c:v>91</c:v>
                </c:pt>
                <c:pt idx="250">
                  <c:v>91</c:v>
                </c:pt>
                <c:pt idx="251">
                  <c:v>91</c:v>
                </c:pt>
                <c:pt idx="252">
                  <c:v>92</c:v>
                </c:pt>
                <c:pt idx="253">
                  <c:v>92</c:v>
                </c:pt>
                <c:pt idx="254">
                  <c:v>92</c:v>
                </c:pt>
                <c:pt idx="255">
                  <c:v>92</c:v>
                </c:pt>
                <c:pt idx="256">
                  <c:v>92</c:v>
                </c:pt>
                <c:pt idx="257">
                  <c:v>92</c:v>
                </c:pt>
                <c:pt idx="258">
                  <c:v>92</c:v>
                </c:pt>
                <c:pt idx="259">
                  <c:v>92</c:v>
                </c:pt>
                <c:pt idx="260">
                  <c:v>93</c:v>
                </c:pt>
                <c:pt idx="261">
                  <c:v>94</c:v>
                </c:pt>
                <c:pt idx="262">
                  <c:v>94</c:v>
                </c:pt>
                <c:pt idx="263">
                  <c:v>95</c:v>
                </c:pt>
                <c:pt idx="264">
                  <c:v>94</c:v>
                </c:pt>
                <c:pt idx="265">
                  <c:v>93</c:v>
                </c:pt>
                <c:pt idx="266">
                  <c:v>94</c:v>
                </c:pt>
                <c:pt idx="267">
                  <c:v>95</c:v>
                </c:pt>
                <c:pt idx="268">
                  <c:v>95</c:v>
                </c:pt>
                <c:pt idx="269">
                  <c:v>95</c:v>
                </c:pt>
                <c:pt idx="270">
                  <c:v>94</c:v>
                </c:pt>
                <c:pt idx="271">
                  <c:v>95</c:v>
                </c:pt>
                <c:pt idx="272">
                  <c:v>95</c:v>
                </c:pt>
                <c:pt idx="273">
                  <c:v>94</c:v>
                </c:pt>
                <c:pt idx="274">
                  <c:v>95</c:v>
                </c:pt>
                <c:pt idx="275">
                  <c:v>95</c:v>
                </c:pt>
                <c:pt idx="276">
                  <c:v>95</c:v>
                </c:pt>
                <c:pt idx="277">
                  <c:v>96</c:v>
                </c:pt>
                <c:pt idx="278">
                  <c:v>96</c:v>
                </c:pt>
                <c:pt idx="279">
                  <c:v>98</c:v>
                </c:pt>
                <c:pt idx="280">
                  <c:v>98</c:v>
                </c:pt>
                <c:pt idx="281">
                  <c:v>98</c:v>
                </c:pt>
                <c:pt idx="282">
                  <c:v>101</c:v>
                </c:pt>
                <c:pt idx="283">
                  <c:v>99</c:v>
                </c:pt>
                <c:pt idx="284">
                  <c:v>99</c:v>
                </c:pt>
                <c:pt idx="285">
                  <c:v>98</c:v>
                </c:pt>
                <c:pt idx="286">
                  <c:v>99</c:v>
                </c:pt>
                <c:pt idx="287">
                  <c:v>102</c:v>
                </c:pt>
                <c:pt idx="288">
                  <c:v>110</c:v>
                </c:pt>
                <c:pt idx="289">
                  <c:v>107</c:v>
                </c:pt>
                <c:pt idx="290">
                  <c:v>107</c:v>
                </c:pt>
                <c:pt idx="291">
                  <c:v>111</c:v>
                </c:pt>
                <c:pt idx="292">
                  <c:v>108</c:v>
                </c:pt>
                <c:pt idx="293">
                  <c:v>111</c:v>
                </c:pt>
                <c:pt idx="294">
                  <c:v>112</c:v>
                </c:pt>
                <c:pt idx="295">
                  <c:v>116</c:v>
                </c:pt>
                <c:pt idx="296">
                  <c:v>119</c:v>
                </c:pt>
                <c:pt idx="297">
                  <c:v>116</c:v>
                </c:pt>
                <c:pt idx="298">
                  <c:v>120</c:v>
                </c:pt>
                <c:pt idx="299">
                  <c:v>117</c:v>
                </c:pt>
                <c:pt idx="300">
                  <c:v>116</c:v>
                </c:pt>
                <c:pt idx="301">
                  <c:v>117</c:v>
                </c:pt>
                <c:pt idx="302">
                  <c:v>116</c:v>
                </c:pt>
                <c:pt idx="303">
                  <c:v>118</c:v>
                </c:pt>
                <c:pt idx="304">
                  <c:v>116</c:v>
                </c:pt>
                <c:pt idx="305">
                  <c:v>118</c:v>
                </c:pt>
                <c:pt idx="306">
                  <c:v>117</c:v>
                </c:pt>
                <c:pt idx="307">
                  <c:v>114</c:v>
                </c:pt>
                <c:pt idx="308">
                  <c:v>114</c:v>
                </c:pt>
                <c:pt idx="309">
                  <c:v>112</c:v>
                </c:pt>
                <c:pt idx="310">
                  <c:v>113</c:v>
                </c:pt>
                <c:pt idx="311">
                  <c:v>110</c:v>
                </c:pt>
                <c:pt idx="312">
                  <c:v>110</c:v>
                </c:pt>
                <c:pt idx="313">
                  <c:v>109</c:v>
                </c:pt>
                <c:pt idx="314">
                  <c:v>110</c:v>
                </c:pt>
                <c:pt idx="315">
                  <c:v>110</c:v>
                </c:pt>
                <c:pt idx="316">
                  <c:v>111</c:v>
                </c:pt>
                <c:pt idx="317">
                  <c:v>111</c:v>
                </c:pt>
                <c:pt idx="318">
                  <c:v>114</c:v>
                </c:pt>
                <c:pt idx="319">
                  <c:v>114</c:v>
                </c:pt>
                <c:pt idx="320">
                  <c:v>112</c:v>
                </c:pt>
                <c:pt idx="321">
                  <c:v>111</c:v>
                </c:pt>
                <c:pt idx="322">
                  <c:v>110</c:v>
                </c:pt>
                <c:pt idx="323">
                  <c:v>110</c:v>
                </c:pt>
                <c:pt idx="324">
                  <c:v>109</c:v>
                </c:pt>
                <c:pt idx="325">
                  <c:v>112</c:v>
                </c:pt>
                <c:pt idx="326">
                  <c:v>110</c:v>
                </c:pt>
                <c:pt idx="327">
                  <c:v>111</c:v>
                </c:pt>
                <c:pt idx="328">
                  <c:v>110</c:v>
                </c:pt>
                <c:pt idx="329">
                  <c:v>110</c:v>
                </c:pt>
                <c:pt idx="330">
                  <c:v>110</c:v>
                </c:pt>
                <c:pt idx="331">
                  <c:v>110</c:v>
                </c:pt>
                <c:pt idx="332">
                  <c:v>109</c:v>
                </c:pt>
                <c:pt idx="333">
                  <c:v>110</c:v>
                </c:pt>
                <c:pt idx="334">
                  <c:v>109</c:v>
                </c:pt>
                <c:pt idx="335">
                  <c:v>109</c:v>
                </c:pt>
                <c:pt idx="336">
                  <c:v>108</c:v>
                </c:pt>
                <c:pt idx="337">
                  <c:v>107</c:v>
                </c:pt>
                <c:pt idx="338">
                  <c:v>106</c:v>
                </c:pt>
                <c:pt idx="339">
                  <c:v>107</c:v>
                </c:pt>
                <c:pt idx="340">
                  <c:v>107</c:v>
                </c:pt>
                <c:pt idx="341">
                  <c:v>106</c:v>
                </c:pt>
                <c:pt idx="342">
                  <c:v>106</c:v>
                </c:pt>
                <c:pt idx="343">
                  <c:v>104</c:v>
                </c:pt>
                <c:pt idx="344">
                  <c:v>102</c:v>
                </c:pt>
                <c:pt idx="345">
                  <c:v>102</c:v>
                </c:pt>
                <c:pt idx="346">
                  <c:v>103</c:v>
                </c:pt>
                <c:pt idx="347">
                  <c:v>102</c:v>
                </c:pt>
                <c:pt idx="348">
                  <c:v>102</c:v>
                </c:pt>
                <c:pt idx="349">
                  <c:v>103</c:v>
                </c:pt>
                <c:pt idx="350">
                  <c:v>103</c:v>
                </c:pt>
                <c:pt idx="351">
                  <c:v>103</c:v>
                </c:pt>
                <c:pt idx="352">
                  <c:v>104</c:v>
                </c:pt>
                <c:pt idx="353">
                  <c:v>105</c:v>
                </c:pt>
                <c:pt idx="354">
                  <c:v>104</c:v>
                </c:pt>
                <c:pt idx="355">
                  <c:v>104</c:v>
                </c:pt>
                <c:pt idx="356">
                  <c:v>103</c:v>
                </c:pt>
                <c:pt idx="357">
                  <c:v>103</c:v>
                </c:pt>
                <c:pt idx="358">
                  <c:v>103</c:v>
                </c:pt>
                <c:pt idx="359">
                  <c:v>103</c:v>
                </c:pt>
                <c:pt idx="360">
                  <c:v>103</c:v>
                </c:pt>
                <c:pt idx="361">
                  <c:v>103</c:v>
                </c:pt>
                <c:pt idx="362">
                  <c:v>103</c:v>
                </c:pt>
                <c:pt idx="363">
                  <c:v>104</c:v>
                </c:pt>
                <c:pt idx="364">
                  <c:v>106</c:v>
                </c:pt>
                <c:pt idx="365">
                  <c:v>106</c:v>
                </c:pt>
                <c:pt idx="366">
                  <c:v>105</c:v>
                </c:pt>
                <c:pt idx="367">
                  <c:v>106</c:v>
                </c:pt>
                <c:pt idx="368">
                  <c:v>107</c:v>
                </c:pt>
                <c:pt idx="369">
                  <c:v>108</c:v>
                </c:pt>
                <c:pt idx="370">
                  <c:v>106</c:v>
                </c:pt>
                <c:pt idx="371">
                  <c:v>106</c:v>
                </c:pt>
                <c:pt idx="372">
                  <c:v>106</c:v>
                </c:pt>
                <c:pt idx="373">
                  <c:v>106</c:v>
                </c:pt>
                <c:pt idx="374">
                  <c:v>106</c:v>
                </c:pt>
                <c:pt idx="375">
                  <c:v>106</c:v>
                </c:pt>
                <c:pt idx="376">
                  <c:v>106</c:v>
                </c:pt>
                <c:pt idx="377">
                  <c:v>107</c:v>
                </c:pt>
                <c:pt idx="378">
                  <c:v>107</c:v>
                </c:pt>
                <c:pt idx="379">
                  <c:v>106</c:v>
                </c:pt>
                <c:pt idx="380">
                  <c:v>106</c:v>
                </c:pt>
                <c:pt idx="381">
                  <c:v>106</c:v>
                </c:pt>
                <c:pt idx="382">
                  <c:v>106</c:v>
                </c:pt>
                <c:pt idx="383">
                  <c:v>107</c:v>
                </c:pt>
                <c:pt idx="384">
                  <c:v>108</c:v>
                </c:pt>
                <c:pt idx="385">
                  <c:v>108</c:v>
                </c:pt>
                <c:pt idx="386">
                  <c:v>110</c:v>
                </c:pt>
                <c:pt idx="387">
                  <c:v>110</c:v>
                </c:pt>
                <c:pt idx="388">
                  <c:v>110</c:v>
                </c:pt>
                <c:pt idx="389">
                  <c:v>110</c:v>
                </c:pt>
                <c:pt idx="390">
                  <c:v>109</c:v>
                </c:pt>
                <c:pt idx="391">
                  <c:v>109</c:v>
                </c:pt>
                <c:pt idx="392">
                  <c:v>110</c:v>
                </c:pt>
                <c:pt idx="393">
                  <c:v>110</c:v>
                </c:pt>
                <c:pt idx="394">
                  <c:v>109</c:v>
                </c:pt>
                <c:pt idx="395">
                  <c:v>109</c:v>
                </c:pt>
                <c:pt idx="396">
                  <c:v>110</c:v>
                </c:pt>
                <c:pt idx="397">
                  <c:v>109</c:v>
                </c:pt>
                <c:pt idx="398">
                  <c:v>109</c:v>
                </c:pt>
                <c:pt idx="399">
                  <c:v>109</c:v>
                </c:pt>
                <c:pt idx="400">
                  <c:v>109</c:v>
                </c:pt>
                <c:pt idx="401">
                  <c:v>110</c:v>
                </c:pt>
                <c:pt idx="402">
                  <c:v>111</c:v>
                </c:pt>
                <c:pt idx="403">
                  <c:v>111</c:v>
                </c:pt>
                <c:pt idx="404">
                  <c:v>111</c:v>
                </c:pt>
                <c:pt idx="405">
                  <c:v>113</c:v>
                </c:pt>
                <c:pt idx="406">
                  <c:v>112</c:v>
                </c:pt>
                <c:pt idx="407">
                  <c:v>111</c:v>
                </c:pt>
                <c:pt idx="408">
                  <c:v>110</c:v>
                </c:pt>
                <c:pt idx="409">
                  <c:v>110</c:v>
                </c:pt>
                <c:pt idx="410">
                  <c:v>110</c:v>
                </c:pt>
                <c:pt idx="411">
                  <c:v>112</c:v>
                </c:pt>
                <c:pt idx="412">
                  <c:v>112</c:v>
                </c:pt>
                <c:pt idx="413">
                  <c:v>113</c:v>
                </c:pt>
                <c:pt idx="414">
                  <c:v>114</c:v>
                </c:pt>
                <c:pt idx="415">
                  <c:v>113</c:v>
                </c:pt>
                <c:pt idx="416">
                  <c:v>112</c:v>
                </c:pt>
                <c:pt idx="417">
                  <c:v>112</c:v>
                </c:pt>
                <c:pt idx="418">
                  <c:v>112</c:v>
                </c:pt>
                <c:pt idx="419">
                  <c:v>112</c:v>
                </c:pt>
                <c:pt idx="420">
                  <c:v>111</c:v>
                </c:pt>
                <c:pt idx="421">
                  <c:v>112</c:v>
                </c:pt>
                <c:pt idx="422">
                  <c:v>112</c:v>
                </c:pt>
                <c:pt idx="423">
                  <c:v>113</c:v>
                </c:pt>
                <c:pt idx="424">
                  <c:v>114</c:v>
                </c:pt>
                <c:pt idx="425">
                  <c:v>115</c:v>
                </c:pt>
                <c:pt idx="426">
                  <c:v>115</c:v>
                </c:pt>
                <c:pt idx="427">
                  <c:v>118</c:v>
                </c:pt>
                <c:pt idx="428">
                  <c:v>118</c:v>
                </c:pt>
                <c:pt idx="429">
                  <c:v>117</c:v>
                </c:pt>
                <c:pt idx="430">
                  <c:v>115</c:v>
                </c:pt>
                <c:pt idx="431">
                  <c:v>117</c:v>
                </c:pt>
                <c:pt idx="432">
                  <c:v>117</c:v>
                </c:pt>
                <c:pt idx="433">
                  <c:v>117</c:v>
                </c:pt>
                <c:pt idx="434">
                  <c:v>117</c:v>
                </c:pt>
                <c:pt idx="435">
                  <c:v>116</c:v>
                </c:pt>
                <c:pt idx="436">
                  <c:v>115</c:v>
                </c:pt>
                <c:pt idx="437">
                  <c:v>115</c:v>
                </c:pt>
                <c:pt idx="438">
                  <c:v>115</c:v>
                </c:pt>
                <c:pt idx="439">
                  <c:v>115</c:v>
                </c:pt>
                <c:pt idx="440">
                  <c:v>116</c:v>
                </c:pt>
                <c:pt idx="441">
                  <c:v>117</c:v>
                </c:pt>
                <c:pt idx="442">
                  <c:v>116</c:v>
                </c:pt>
                <c:pt idx="443">
                  <c:v>116</c:v>
                </c:pt>
                <c:pt idx="444">
                  <c:v>115</c:v>
                </c:pt>
                <c:pt idx="445">
                  <c:v>115</c:v>
                </c:pt>
                <c:pt idx="446">
                  <c:v>114</c:v>
                </c:pt>
                <c:pt idx="447">
                  <c:v>114</c:v>
                </c:pt>
                <c:pt idx="448">
                  <c:v>114</c:v>
                </c:pt>
                <c:pt idx="449">
                  <c:v>116</c:v>
                </c:pt>
                <c:pt idx="450">
                  <c:v>118</c:v>
                </c:pt>
                <c:pt idx="451">
                  <c:v>118</c:v>
                </c:pt>
                <c:pt idx="452">
                  <c:v>120</c:v>
                </c:pt>
                <c:pt idx="453">
                  <c:v>119</c:v>
                </c:pt>
                <c:pt idx="454">
                  <c:v>118</c:v>
                </c:pt>
                <c:pt idx="455">
                  <c:v>116</c:v>
                </c:pt>
                <c:pt idx="456">
                  <c:v>116</c:v>
                </c:pt>
                <c:pt idx="457">
                  <c:v>115</c:v>
                </c:pt>
                <c:pt idx="458">
                  <c:v>114</c:v>
                </c:pt>
                <c:pt idx="459">
                  <c:v>113</c:v>
                </c:pt>
                <c:pt idx="460">
                  <c:v>115</c:v>
                </c:pt>
                <c:pt idx="461">
                  <c:v>115</c:v>
                </c:pt>
                <c:pt idx="462">
                  <c:v>115</c:v>
                </c:pt>
                <c:pt idx="463">
                  <c:v>114</c:v>
                </c:pt>
                <c:pt idx="464">
                  <c:v>113</c:v>
                </c:pt>
                <c:pt idx="465">
                  <c:v>114</c:v>
                </c:pt>
                <c:pt idx="466">
                  <c:v>114</c:v>
                </c:pt>
                <c:pt idx="467">
                  <c:v>113</c:v>
                </c:pt>
                <c:pt idx="468">
                  <c:v>113</c:v>
                </c:pt>
                <c:pt idx="469">
                  <c:v>112</c:v>
                </c:pt>
                <c:pt idx="470">
                  <c:v>113</c:v>
                </c:pt>
                <c:pt idx="471">
                  <c:v>113</c:v>
                </c:pt>
                <c:pt idx="472">
                  <c:v>114</c:v>
                </c:pt>
                <c:pt idx="473">
                  <c:v>113</c:v>
                </c:pt>
                <c:pt idx="474">
                  <c:v>113</c:v>
                </c:pt>
                <c:pt idx="475">
                  <c:v>112</c:v>
                </c:pt>
                <c:pt idx="476">
                  <c:v>111</c:v>
                </c:pt>
                <c:pt idx="477">
                  <c:v>111</c:v>
                </c:pt>
                <c:pt idx="478">
                  <c:v>109</c:v>
                </c:pt>
                <c:pt idx="479">
                  <c:v>109</c:v>
                </c:pt>
                <c:pt idx="480">
                  <c:v>110</c:v>
                </c:pt>
                <c:pt idx="481">
                  <c:v>109</c:v>
                </c:pt>
                <c:pt idx="482">
                  <c:v>109</c:v>
                </c:pt>
                <c:pt idx="483">
                  <c:v>109</c:v>
                </c:pt>
                <c:pt idx="484">
                  <c:v>109</c:v>
                </c:pt>
                <c:pt idx="485">
                  <c:v>109</c:v>
                </c:pt>
                <c:pt idx="486">
                  <c:v>110</c:v>
                </c:pt>
                <c:pt idx="487">
                  <c:v>112</c:v>
                </c:pt>
                <c:pt idx="488">
                  <c:v>113</c:v>
                </c:pt>
                <c:pt idx="489">
                  <c:v>112</c:v>
                </c:pt>
                <c:pt idx="490">
                  <c:v>111</c:v>
                </c:pt>
                <c:pt idx="491">
                  <c:v>110</c:v>
                </c:pt>
                <c:pt idx="492">
                  <c:v>110</c:v>
                </c:pt>
                <c:pt idx="493">
                  <c:v>110</c:v>
                </c:pt>
                <c:pt idx="494">
                  <c:v>111</c:v>
                </c:pt>
                <c:pt idx="495">
                  <c:v>111</c:v>
                </c:pt>
                <c:pt idx="496">
                  <c:v>111</c:v>
                </c:pt>
                <c:pt idx="497">
                  <c:v>110</c:v>
                </c:pt>
                <c:pt idx="498">
                  <c:v>110</c:v>
                </c:pt>
                <c:pt idx="499">
                  <c:v>109</c:v>
                </c:pt>
                <c:pt idx="500">
                  <c:v>109</c:v>
                </c:pt>
                <c:pt idx="501">
                  <c:v>111</c:v>
                </c:pt>
                <c:pt idx="502">
                  <c:v>110</c:v>
                </c:pt>
                <c:pt idx="503">
                  <c:v>109</c:v>
                </c:pt>
                <c:pt idx="504">
                  <c:v>110</c:v>
                </c:pt>
                <c:pt idx="505">
                  <c:v>111</c:v>
                </c:pt>
                <c:pt idx="506">
                  <c:v>112</c:v>
                </c:pt>
                <c:pt idx="507">
                  <c:v>113</c:v>
                </c:pt>
                <c:pt idx="508">
                  <c:v>112</c:v>
                </c:pt>
                <c:pt idx="509">
                  <c:v>114</c:v>
                </c:pt>
                <c:pt idx="510">
                  <c:v>113</c:v>
                </c:pt>
                <c:pt idx="511">
                  <c:v>113</c:v>
                </c:pt>
                <c:pt idx="512">
                  <c:v>113</c:v>
                </c:pt>
                <c:pt idx="513">
                  <c:v>112</c:v>
                </c:pt>
                <c:pt idx="514">
                  <c:v>112</c:v>
                </c:pt>
                <c:pt idx="515">
                  <c:v>111</c:v>
                </c:pt>
                <c:pt idx="516">
                  <c:v>110</c:v>
                </c:pt>
                <c:pt idx="517">
                  <c:v>110</c:v>
                </c:pt>
                <c:pt idx="518">
                  <c:v>110</c:v>
                </c:pt>
                <c:pt idx="519">
                  <c:v>111</c:v>
                </c:pt>
                <c:pt idx="520">
                  <c:v>109</c:v>
                </c:pt>
                <c:pt idx="521">
                  <c:v>109</c:v>
                </c:pt>
                <c:pt idx="522">
                  <c:v>110</c:v>
                </c:pt>
                <c:pt idx="523">
                  <c:v>110</c:v>
                </c:pt>
                <c:pt idx="524">
                  <c:v>110</c:v>
                </c:pt>
                <c:pt idx="525">
                  <c:v>111</c:v>
                </c:pt>
                <c:pt idx="526">
                  <c:v>111</c:v>
                </c:pt>
                <c:pt idx="527">
                  <c:v>110</c:v>
                </c:pt>
                <c:pt idx="528">
                  <c:v>110</c:v>
                </c:pt>
                <c:pt idx="529">
                  <c:v>111</c:v>
                </c:pt>
                <c:pt idx="530">
                  <c:v>110</c:v>
                </c:pt>
                <c:pt idx="531">
                  <c:v>111</c:v>
                </c:pt>
                <c:pt idx="532">
                  <c:v>110</c:v>
                </c:pt>
                <c:pt idx="533">
                  <c:v>110</c:v>
                </c:pt>
                <c:pt idx="534">
                  <c:v>111</c:v>
                </c:pt>
                <c:pt idx="535">
                  <c:v>110</c:v>
                </c:pt>
                <c:pt idx="536">
                  <c:v>110</c:v>
                </c:pt>
                <c:pt idx="537">
                  <c:v>110</c:v>
                </c:pt>
                <c:pt idx="538">
                  <c:v>110</c:v>
                </c:pt>
                <c:pt idx="539">
                  <c:v>109</c:v>
                </c:pt>
                <c:pt idx="540">
                  <c:v>109</c:v>
                </c:pt>
                <c:pt idx="541">
                  <c:v>109</c:v>
                </c:pt>
                <c:pt idx="542">
                  <c:v>110</c:v>
                </c:pt>
                <c:pt idx="543">
                  <c:v>111</c:v>
                </c:pt>
                <c:pt idx="544">
                  <c:v>111</c:v>
                </c:pt>
                <c:pt idx="545">
                  <c:v>114</c:v>
                </c:pt>
                <c:pt idx="546">
                  <c:v>113</c:v>
                </c:pt>
                <c:pt idx="547">
                  <c:v>113</c:v>
                </c:pt>
                <c:pt idx="548">
                  <c:v>113</c:v>
                </c:pt>
                <c:pt idx="549">
                  <c:v>113</c:v>
                </c:pt>
                <c:pt idx="550">
                  <c:v>113</c:v>
                </c:pt>
                <c:pt idx="551">
                  <c:v>113</c:v>
                </c:pt>
                <c:pt idx="552">
                  <c:v>113</c:v>
                </c:pt>
                <c:pt idx="553">
                  <c:v>114</c:v>
                </c:pt>
                <c:pt idx="554">
                  <c:v>114</c:v>
                </c:pt>
                <c:pt idx="555">
                  <c:v>114</c:v>
                </c:pt>
                <c:pt idx="556">
                  <c:v>116</c:v>
                </c:pt>
                <c:pt idx="557">
                  <c:v>115</c:v>
                </c:pt>
                <c:pt idx="558">
                  <c:v>115</c:v>
                </c:pt>
                <c:pt idx="559">
                  <c:v>115</c:v>
                </c:pt>
                <c:pt idx="560">
                  <c:v>115</c:v>
                </c:pt>
                <c:pt idx="561">
                  <c:v>113</c:v>
                </c:pt>
                <c:pt idx="562">
                  <c:v>114</c:v>
                </c:pt>
                <c:pt idx="563">
                  <c:v>113</c:v>
                </c:pt>
                <c:pt idx="564">
                  <c:v>113</c:v>
                </c:pt>
                <c:pt idx="565">
                  <c:v>114</c:v>
                </c:pt>
                <c:pt idx="566">
                  <c:v>115</c:v>
                </c:pt>
                <c:pt idx="567">
                  <c:v>113</c:v>
                </c:pt>
                <c:pt idx="568">
                  <c:v>112</c:v>
                </c:pt>
                <c:pt idx="569">
                  <c:v>112</c:v>
                </c:pt>
                <c:pt idx="570">
                  <c:v>112</c:v>
                </c:pt>
                <c:pt idx="571">
                  <c:v>111</c:v>
                </c:pt>
                <c:pt idx="572">
                  <c:v>111</c:v>
                </c:pt>
                <c:pt idx="573">
                  <c:v>112</c:v>
                </c:pt>
                <c:pt idx="574">
                  <c:v>113</c:v>
                </c:pt>
                <c:pt idx="575">
                  <c:v>112</c:v>
                </c:pt>
                <c:pt idx="576">
                  <c:v>111</c:v>
                </c:pt>
                <c:pt idx="577">
                  <c:v>111</c:v>
                </c:pt>
                <c:pt idx="578">
                  <c:v>110</c:v>
                </c:pt>
                <c:pt idx="579">
                  <c:v>110</c:v>
                </c:pt>
                <c:pt idx="580">
                  <c:v>110</c:v>
                </c:pt>
                <c:pt idx="581">
                  <c:v>111</c:v>
                </c:pt>
                <c:pt idx="582">
                  <c:v>111</c:v>
                </c:pt>
                <c:pt idx="583">
                  <c:v>110</c:v>
                </c:pt>
                <c:pt idx="584">
                  <c:v>110</c:v>
                </c:pt>
                <c:pt idx="585">
                  <c:v>110</c:v>
                </c:pt>
                <c:pt idx="586">
                  <c:v>110</c:v>
                </c:pt>
                <c:pt idx="587">
                  <c:v>109.79</c:v>
                </c:pt>
                <c:pt idx="588">
                  <c:v>109.29</c:v>
                </c:pt>
                <c:pt idx="589">
                  <c:v>109.62</c:v>
                </c:pt>
                <c:pt idx="590">
                  <c:v>109.49</c:v>
                </c:pt>
                <c:pt idx="591">
                  <c:v>109.45</c:v>
                </c:pt>
                <c:pt idx="592">
                  <c:v>109.62</c:v>
                </c:pt>
                <c:pt idx="593">
                  <c:v>109.62</c:v>
                </c:pt>
                <c:pt idx="594">
                  <c:v>109.06</c:v>
                </c:pt>
                <c:pt idx="595">
                  <c:v>109.18</c:v>
                </c:pt>
                <c:pt idx="596">
                  <c:v>108.57</c:v>
                </c:pt>
                <c:pt idx="597">
                  <c:v>108.37</c:v>
                </c:pt>
                <c:pt idx="598">
                  <c:v>107.57</c:v>
                </c:pt>
                <c:pt idx="599">
                  <c:v>107.65</c:v>
                </c:pt>
                <c:pt idx="600">
                  <c:v>106.77</c:v>
                </c:pt>
                <c:pt idx="601">
                  <c:v>107.78</c:v>
                </c:pt>
                <c:pt idx="602">
                  <c:v>107.06</c:v>
                </c:pt>
                <c:pt idx="603">
                  <c:v>107.19</c:v>
                </c:pt>
                <c:pt idx="604">
                  <c:v>108.09</c:v>
                </c:pt>
                <c:pt idx="605">
                  <c:v>107.55</c:v>
                </c:pt>
                <c:pt idx="606">
                  <c:v>108.83</c:v>
                </c:pt>
                <c:pt idx="607">
                  <c:v>109.1</c:v>
                </c:pt>
                <c:pt idx="608">
                  <c:v>108.26</c:v>
                </c:pt>
                <c:pt idx="609">
                  <c:v>107.69</c:v>
                </c:pt>
                <c:pt idx="610">
                  <c:v>107.57</c:v>
                </c:pt>
                <c:pt idx="611">
                  <c:v>107.49</c:v>
                </c:pt>
                <c:pt idx="612">
                  <c:v>107.95</c:v>
                </c:pt>
                <c:pt idx="613">
                  <c:v>109.02</c:v>
                </c:pt>
                <c:pt idx="614">
                  <c:v>108.69</c:v>
                </c:pt>
                <c:pt idx="615">
                  <c:v>109.91</c:v>
                </c:pt>
                <c:pt idx="616">
                  <c:v>109.44</c:v>
                </c:pt>
                <c:pt idx="617">
                  <c:v>110.67</c:v>
                </c:pt>
                <c:pt idx="618">
                  <c:v>111.88</c:v>
                </c:pt>
                <c:pt idx="619">
                  <c:v>110.79</c:v>
                </c:pt>
                <c:pt idx="620">
                  <c:v>111.32</c:v>
                </c:pt>
              </c:numCache>
            </c:numRef>
          </c:val>
          <c:smooth val="0"/>
          <c:extLst>
            <c:ext xmlns:c16="http://schemas.microsoft.com/office/drawing/2014/chart" uri="{C3380CC4-5D6E-409C-BE32-E72D297353CC}">
              <c16:uniqueId val="{00000002-5C27-41EC-B8F3-CB2673AED5CF}"/>
            </c:ext>
          </c:extLst>
        </c:ser>
        <c:ser>
          <c:idx val="2"/>
          <c:order val="3"/>
          <c:tx>
            <c:strRef>
              <c:f>Sheet1!$E$1</c:f>
              <c:strCache>
                <c:ptCount val="1"/>
                <c:pt idx="0">
                  <c:v>Դոլարի ինդեքս</c:v>
                </c:pt>
              </c:strCache>
            </c:strRef>
          </c:tx>
          <c:spPr>
            <a:ln w="28575">
              <a:solidFill>
                <a:srgbClr val="00B050"/>
              </a:solidFill>
            </a:ln>
          </c:spPr>
          <c:marker>
            <c:symbol val="none"/>
          </c:marker>
          <c:cat>
            <c:numRef>
              <c:f>Sheet1!$A$2:$A$622</c:f>
              <c:numCache>
                <c:formatCode>dd\-mmm\-yy</c:formatCode>
                <c:ptCount val="621"/>
                <c:pt idx="0">
                  <c:v>43473</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43494</c:v>
                </c:pt>
                <c:pt idx="15">
                  <c:v>43495</c:v>
                </c:pt>
                <c:pt idx="16">
                  <c:v>43496</c:v>
                </c:pt>
                <c:pt idx="17">
                  <c:v>43497</c:v>
                </c:pt>
                <c:pt idx="18">
                  <c:v>43500</c:v>
                </c:pt>
                <c:pt idx="19">
                  <c:v>43501</c:v>
                </c:pt>
                <c:pt idx="20">
                  <c:v>43502</c:v>
                </c:pt>
                <c:pt idx="21">
                  <c:v>43503</c:v>
                </c:pt>
                <c:pt idx="22">
                  <c:v>43504</c:v>
                </c:pt>
                <c:pt idx="23">
                  <c:v>43507</c:v>
                </c:pt>
                <c:pt idx="24">
                  <c:v>43508</c:v>
                </c:pt>
                <c:pt idx="25">
                  <c:v>43509</c:v>
                </c:pt>
                <c:pt idx="26">
                  <c:v>43510</c:v>
                </c:pt>
                <c:pt idx="27">
                  <c:v>43511</c:v>
                </c:pt>
                <c:pt idx="28">
                  <c:v>43514</c:v>
                </c:pt>
                <c:pt idx="29">
                  <c:v>43515</c:v>
                </c:pt>
                <c:pt idx="30">
                  <c:v>43516</c:v>
                </c:pt>
                <c:pt idx="31">
                  <c:v>43517</c:v>
                </c:pt>
                <c:pt idx="32">
                  <c:v>43518</c:v>
                </c:pt>
                <c:pt idx="33">
                  <c:v>43521</c:v>
                </c:pt>
                <c:pt idx="34">
                  <c:v>43522</c:v>
                </c:pt>
                <c:pt idx="35">
                  <c:v>43523</c:v>
                </c:pt>
                <c:pt idx="36">
                  <c:v>43524</c:v>
                </c:pt>
                <c:pt idx="37">
                  <c:v>43525</c:v>
                </c:pt>
                <c:pt idx="38">
                  <c:v>43528</c:v>
                </c:pt>
                <c:pt idx="39">
                  <c:v>43529</c:v>
                </c:pt>
                <c:pt idx="40">
                  <c:v>43530</c:v>
                </c:pt>
                <c:pt idx="41">
                  <c:v>43531</c:v>
                </c:pt>
                <c:pt idx="42">
                  <c:v>43535</c:v>
                </c:pt>
                <c:pt idx="43">
                  <c:v>43536</c:v>
                </c:pt>
                <c:pt idx="44">
                  <c:v>43537</c:v>
                </c:pt>
                <c:pt idx="45">
                  <c:v>43538</c:v>
                </c:pt>
                <c:pt idx="46">
                  <c:v>43539</c:v>
                </c:pt>
                <c:pt idx="47">
                  <c:v>43542</c:v>
                </c:pt>
                <c:pt idx="48">
                  <c:v>43543</c:v>
                </c:pt>
                <c:pt idx="49">
                  <c:v>43544</c:v>
                </c:pt>
                <c:pt idx="50">
                  <c:v>43545</c:v>
                </c:pt>
                <c:pt idx="51">
                  <c:v>43546</c:v>
                </c:pt>
                <c:pt idx="52">
                  <c:v>43549</c:v>
                </c:pt>
                <c:pt idx="53">
                  <c:v>43550</c:v>
                </c:pt>
                <c:pt idx="54">
                  <c:v>43551</c:v>
                </c:pt>
                <c:pt idx="55">
                  <c:v>43552</c:v>
                </c:pt>
                <c:pt idx="56">
                  <c:v>43553</c:v>
                </c:pt>
                <c:pt idx="57">
                  <c:v>43556</c:v>
                </c:pt>
                <c:pt idx="58">
                  <c:v>43557</c:v>
                </c:pt>
                <c:pt idx="59">
                  <c:v>43558</c:v>
                </c:pt>
                <c:pt idx="60">
                  <c:v>43559</c:v>
                </c:pt>
                <c:pt idx="61">
                  <c:v>43560</c:v>
                </c:pt>
                <c:pt idx="62">
                  <c:v>43563</c:v>
                </c:pt>
                <c:pt idx="63">
                  <c:v>43564</c:v>
                </c:pt>
                <c:pt idx="64">
                  <c:v>43565</c:v>
                </c:pt>
                <c:pt idx="65">
                  <c:v>43566</c:v>
                </c:pt>
                <c:pt idx="66">
                  <c:v>43567</c:v>
                </c:pt>
                <c:pt idx="67">
                  <c:v>43570</c:v>
                </c:pt>
                <c:pt idx="68">
                  <c:v>43571</c:v>
                </c:pt>
                <c:pt idx="69">
                  <c:v>43572</c:v>
                </c:pt>
                <c:pt idx="70">
                  <c:v>43573</c:v>
                </c:pt>
                <c:pt idx="71">
                  <c:v>43577</c:v>
                </c:pt>
                <c:pt idx="72">
                  <c:v>43578</c:v>
                </c:pt>
                <c:pt idx="73">
                  <c:v>43579</c:v>
                </c:pt>
                <c:pt idx="74">
                  <c:v>43580</c:v>
                </c:pt>
                <c:pt idx="75">
                  <c:v>43581</c:v>
                </c:pt>
                <c:pt idx="76">
                  <c:v>43584</c:v>
                </c:pt>
                <c:pt idx="77">
                  <c:v>43585</c:v>
                </c:pt>
                <c:pt idx="78">
                  <c:v>43587</c:v>
                </c:pt>
                <c:pt idx="79">
                  <c:v>43588</c:v>
                </c:pt>
                <c:pt idx="80">
                  <c:v>43591</c:v>
                </c:pt>
                <c:pt idx="81">
                  <c:v>43592</c:v>
                </c:pt>
                <c:pt idx="82">
                  <c:v>43593</c:v>
                </c:pt>
                <c:pt idx="83">
                  <c:v>43595</c:v>
                </c:pt>
                <c:pt idx="84">
                  <c:v>43598</c:v>
                </c:pt>
                <c:pt idx="85">
                  <c:v>43599</c:v>
                </c:pt>
                <c:pt idx="86">
                  <c:v>43600</c:v>
                </c:pt>
                <c:pt idx="87">
                  <c:v>43601</c:v>
                </c:pt>
                <c:pt idx="88">
                  <c:v>43602</c:v>
                </c:pt>
                <c:pt idx="89">
                  <c:v>43605</c:v>
                </c:pt>
                <c:pt idx="90">
                  <c:v>43606</c:v>
                </c:pt>
                <c:pt idx="91">
                  <c:v>43607</c:v>
                </c:pt>
                <c:pt idx="92">
                  <c:v>43608</c:v>
                </c:pt>
                <c:pt idx="93">
                  <c:v>43609</c:v>
                </c:pt>
                <c:pt idx="94">
                  <c:v>43612</c:v>
                </c:pt>
                <c:pt idx="95">
                  <c:v>43614</c:v>
                </c:pt>
                <c:pt idx="96">
                  <c:v>43615</c:v>
                </c:pt>
                <c:pt idx="97">
                  <c:v>43616</c:v>
                </c:pt>
                <c:pt idx="98">
                  <c:v>43619</c:v>
                </c:pt>
                <c:pt idx="99">
                  <c:v>43620</c:v>
                </c:pt>
                <c:pt idx="100">
                  <c:v>43621</c:v>
                </c:pt>
                <c:pt idx="101">
                  <c:v>43622</c:v>
                </c:pt>
                <c:pt idx="102">
                  <c:v>43623</c:v>
                </c:pt>
                <c:pt idx="103">
                  <c:v>43626</c:v>
                </c:pt>
                <c:pt idx="104">
                  <c:v>43627</c:v>
                </c:pt>
                <c:pt idx="105">
                  <c:v>43628</c:v>
                </c:pt>
                <c:pt idx="106">
                  <c:v>43629</c:v>
                </c:pt>
                <c:pt idx="107">
                  <c:v>43630</c:v>
                </c:pt>
                <c:pt idx="108">
                  <c:v>43633</c:v>
                </c:pt>
                <c:pt idx="109">
                  <c:v>43634</c:v>
                </c:pt>
                <c:pt idx="110">
                  <c:v>43635</c:v>
                </c:pt>
                <c:pt idx="111">
                  <c:v>43636</c:v>
                </c:pt>
                <c:pt idx="112">
                  <c:v>43637</c:v>
                </c:pt>
                <c:pt idx="113">
                  <c:v>43640</c:v>
                </c:pt>
                <c:pt idx="114">
                  <c:v>43641</c:v>
                </c:pt>
                <c:pt idx="115">
                  <c:v>43642</c:v>
                </c:pt>
                <c:pt idx="116">
                  <c:v>43643</c:v>
                </c:pt>
                <c:pt idx="117">
                  <c:v>43644</c:v>
                </c:pt>
                <c:pt idx="118">
                  <c:v>43647</c:v>
                </c:pt>
                <c:pt idx="119">
                  <c:v>43648</c:v>
                </c:pt>
                <c:pt idx="120">
                  <c:v>43649</c:v>
                </c:pt>
                <c:pt idx="121">
                  <c:v>43650</c:v>
                </c:pt>
                <c:pt idx="122">
                  <c:v>43654</c:v>
                </c:pt>
                <c:pt idx="123">
                  <c:v>43655</c:v>
                </c:pt>
                <c:pt idx="124">
                  <c:v>43656</c:v>
                </c:pt>
                <c:pt idx="125">
                  <c:v>43657</c:v>
                </c:pt>
                <c:pt idx="126">
                  <c:v>43658</c:v>
                </c:pt>
                <c:pt idx="127">
                  <c:v>43661</c:v>
                </c:pt>
                <c:pt idx="128">
                  <c:v>43662</c:v>
                </c:pt>
                <c:pt idx="129">
                  <c:v>43663</c:v>
                </c:pt>
                <c:pt idx="130">
                  <c:v>43664</c:v>
                </c:pt>
                <c:pt idx="131">
                  <c:v>43665</c:v>
                </c:pt>
                <c:pt idx="132">
                  <c:v>43668</c:v>
                </c:pt>
                <c:pt idx="133">
                  <c:v>43669</c:v>
                </c:pt>
                <c:pt idx="134">
                  <c:v>43670</c:v>
                </c:pt>
                <c:pt idx="135">
                  <c:v>43671</c:v>
                </c:pt>
                <c:pt idx="136">
                  <c:v>43672</c:v>
                </c:pt>
                <c:pt idx="137">
                  <c:v>43675</c:v>
                </c:pt>
                <c:pt idx="138">
                  <c:v>43676</c:v>
                </c:pt>
                <c:pt idx="139">
                  <c:v>43677</c:v>
                </c:pt>
                <c:pt idx="140">
                  <c:v>43678</c:v>
                </c:pt>
                <c:pt idx="141">
                  <c:v>43679</c:v>
                </c:pt>
                <c:pt idx="142">
                  <c:v>43682</c:v>
                </c:pt>
                <c:pt idx="143">
                  <c:v>43683</c:v>
                </c:pt>
                <c:pt idx="144">
                  <c:v>43684</c:v>
                </c:pt>
                <c:pt idx="145">
                  <c:v>43685</c:v>
                </c:pt>
                <c:pt idx="146">
                  <c:v>43686</c:v>
                </c:pt>
                <c:pt idx="147">
                  <c:v>43689</c:v>
                </c:pt>
                <c:pt idx="148">
                  <c:v>43690</c:v>
                </c:pt>
                <c:pt idx="149">
                  <c:v>43691</c:v>
                </c:pt>
                <c:pt idx="150">
                  <c:v>43692</c:v>
                </c:pt>
                <c:pt idx="151">
                  <c:v>43693</c:v>
                </c:pt>
                <c:pt idx="152">
                  <c:v>43696</c:v>
                </c:pt>
                <c:pt idx="153">
                  <c:v>43697</c:v>
                </c:pt>
                <c:pt idx="154">
                  <c:v>43698</c:v>
                </c:pt>
                <c:pt idx="155">
                  <c:v>43699</c:v>
                </c:pt>
                <c:pt idx="156">
                  <c:v>43700</c:v>
                </c:pt>
                <c:pt idx="157">
                  <c:v>43703</c:v>
                </c:pt>
                <c:pt idx="158">
                  <c:v>43704</c:v>
                </c:pt>
                <c:pt idx="159">
                  <c:v>43705</c:v>
                </c:pt>
                <c:pt idx="160">
                  <c:v>43706</c:v>
                </c:pt>
                <c:pt idx="161">
                  <c:v>43707</c:v>
                </c:pt>
                <c:pt idx="162">
                  <c:v>43710</c:v>
                </c:pt>
                <c:pt idx="163">
                  <c:v>43711</c:v>
                </c:pt>
                <c:pt idx="164">
                  <c:v>43712</c:v>
                </c:pt>
                <c:pt idx="165">
                  <c:v>43713</c:v>
                </c:pt>
                <c:pt idx="166">
                  <c:v>43714</c:v>
                </c:pt>
                <c:pt idx="167">
                  <c:v>43717</c:v>
                </c:pt>
                <c:pt idx="168">
                  <c:v>43718</c:v>
                </c:pt>
                <c:pt idx="169">
                  <c:v>43719</c:v>
                </c:pt>
                <c:pt idx="170">
                  <c:v>43720</c:v>
                </c:pt>
                <c:pt idx="171">
                  <c:v>43721</c:v>
                </c:pt>
                <c:pt idx="172">
                  <c:v>43724</c:v>
                </c:pt>
                <c:pt idx="173">
                  <c:v>43725</c:v>
                </c:pt>
                <c:pt idx="174">
                  <c:v>43726</c:v>
                </c:pt>
                <c:pt idx="175">
                  <c:v>43727</c:v>
                </c:pt>
                <c:pt idx="176">
                  <c:v>43728</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43763</c:v>
                </c:pt>
                <c:pt idx="202">
                  <c:v>43766</c:v>
                </c:pt>
                <c:pt idx="203">
                  <c:v>43767</c:v>
                </c:pt>
                <c:pt idx="204">
                  <c:v>43768</c:v>
                </c:pt>
                <c:pt idx="205">
                  <c:v>43769</c:v>
                </c:pt>
                <c:pt idx="206">
                  <c:v>43770</c:v>
                </c:pt>
                <c:pt idx="207">
                  <c:v>43773</c:v>
                </c:pt>
                <c:pt idx="208">
                  <c:v>43774</c:v>
                </c:pt>
                <c:pt idx="209">
                  <c:v>43775</c:v>
                </c:pt>
                <c:pt idx="210">
                  <c:v>43776</c:v>
                </c:pt>
                <c:pt idx="211">
                  <c:v>43777</c:v>
                </c:pt>
                <c:pt idx="212">
                  <c:v>43780</c:v>
                </c:pt>
                <c:pt idx="213">
                  <c:v>43781</c:v>
                </c:pt>
                <c:pt idx="214">
                  <c:v>43782</c:v>
                </c:pt>
                <c:pt idx="215">
                  <c:v>43783</c:v>
                </c:pt>
                <c:pt idx="216">
                  <c:v>43784</c:v>
                </c:pt>
                <c:pt idx="217">
                  <c:v>43787</c:v>
                </c:pt>
                <c:pt idx="218">
                  <c:v>43788</c:v>
                </c:pt>
                <c:pt idx="219">
                  <c:v>43789</c:v>
                </c:pt>
                <c:pt idx="220">
                  <c:v>43790</c:v>
                </c:pt>
                <c:pt idx="221">
                  <c:v>43791</c:v>
                </c:pt>
                <c:pt idx="222">
                  <c:v>43794</c:v>
                </c:pt>
                <c:pt idx="223">
                  <c:v>43795</c:v>
                </c:pt>
                <c:pt idx="224">
                  <c:v>43796</c:v>
                </c:pt>
                <c:pt idx="225">
                  <c:v>43797</c:v>
                </c:pt>
                <c:pt idx="226">
                  <c:v>43798</c:v>
                </c:pt>
                <c:pt idx="227">
                  <c:v>43801</c:v>
                </c:pt>
                <c:pt idx="228">
                  <c:v>43802</c:v>
                </c:pt>
                <c:pt idx="229">
                  <c:v>43803</c:v>
                </c:pt>
                <c:pt idx="230">
                  <c:v>43804</c:v>
                </c:pt>
                <c:pt idx="231">
                  <c:v>43805</c:v>
                </c:pt>
                <c:pt idx="232">
                  <c:v>43808</c:v>
                </c:pt>
                <c:pt idx="233">
                  <c:v>43809</c:v>
                </c:pt>
                <c:pt idx="234">
                  <c:v>43810</c:v>
                </c:pt>
                <c:pt idx="235">
                  <c:v>43811</c:v>
                </c:pt>
                <c:pt idx="236">
                  <c:v>43812</c:v>
                </c:pt>
                <c:pt idx="237">
                  <c:v>43815</c:v>
                </c:pt>
                <c:pt idx="238">
                  <c:v>43816</c:v>
                </c:pt>
                <c:pt idx="239">
                  <c:v>43817</c:v>
                </c:pt>
                <c:pt idx="240">
                  <c:v>43818</c:v>
                </c:pt>
                <c:pt idx="241">
                  <c:v>43819</c:v>
                </c:pt>
                <c:pt idx="242">
                  <c:v>43822</c:v>
                </c:pt>
                <c:pt idx="243">
                  <c:v>43823</c:v>
                </c:pt>
                <c:pt idx="244">
                  <c:v>43825</c:v>
                </c:pt>
                <c:pt idx="245">
                  <c:v>43826</c:v>
                </c:pt>
                <c:pt idx="246">
                  <c:v>43829</c:v>
                </c:pt>
                <c:pt idx="247">
                  <c:v>43838</c:v>
                </c:pt>
                <c:pt idx="248">
                  <c:v>43839</c:v>
                </c:pt>
                <c:pt idx="249">
                  <c:v>43840</c:v>
                </c:pt>
                <c:pt idx="250">
                  <c:v>43843</c:v>
                </c:pt>
                <c:pt idx="251">
                  <c:v>43844</c:v>
                </c:pt>
                <c:pt idx="252">
                  <c:v>43845</c:v>
                </c:pt>
                <c:pt idx="253">
                  <c:v>43846</c:v>
                </c:pt>
                <c:pt idx="254">
                  <c:v>43847</c:v>
                </c:pt>
                <c:pt idx="255">
                  <c:v>43850</c:v>
                </c:pt>
                <c:pt idx="256">
                  <c:v>43851</c:v>
                </c:pt>
                <c:pt idx="257">
                  <c:v>43852</c:v>
                </c:pt>
                <c:pt idx="258">
                  <c:v>43853</c:v>
                </c:pt>
                <c:pt idx="259">
                  <c:v>43854</c:v>
                </c:pt>
                <c:pt idx="260">
                  <c:v>43859</c:v>
                </c:pt>
                <c:pt idx="261">
                  <c:v>43860</c:v>
                </c:pt>
                <c:pt idx="262">
                  <c:v>43861</c:v>
                </c:pt>
                <c:pt idx="263">
                  <c:v>43864</c:v>
                </c:pt>
                <c:pt idx="264">
                  <c:v>43865</c:v>
                </c:pt>
                <c:pt idx="265">
                  <c:v>43866</c:v>
                </c:pt>
                <c:pt idx="266">
                  <c:v>43867</c:v>
                </c:pt>
                <c:pt idx="267">
                  <c:v>43868</c:v>
                </c:pt>
                <c:pt idx="268">
                  <c:v>43871</c:v>
                </c:pt>
                <c:pt idx="269">
                  <c:v>43872</c:v>
                </c:pt>
                <c:pt idx="270">
                  <c:v>43873</c:v>
                </c:pt>
                <c:pt idx="271">
                  <c:v>43874</c:v>
                </c:pt>
                <c:pt idx="272">
                  <c:v>43875</c:v>
                </c:pt>
                <c:pt idx="273">
                  <c:v>43878</c:v>
                </c:pt>
                <c:pt idx="274">
                  <c:v>43879</c:v>
                </c:pt>
                <c:pt idx="275">
                  <c:v>43880</c:v>
                </c:pt>
                <c:pt idx="276">
                  <c:v>43881</c:v>
                </c:pt>
                <c:pt idx="277">
                  <c:v>43882</c:v>
                </c:pt>
                <c:pt idx="278">
                  <c:v>43885</c:v>
                </c:pt>
                <c:pt idx="279">
                  <c:v>43886</c:v>
                </c:pt>
                <c:pt idx="280">
                  <c:v>43887</c:v>
                </c:pt>
                <c:pt idx="281">
                  <c:v>43888</c:v>
                </c:pt>
                <c:pt idx="282">
                  <c:v>43889</c:v>
                </c:pt>
                <c:pt idx="283">
                  <c:v>43892</c:v>
                </c:pt>
                <c:pt idx="284">
                  <c:v>43893</c:v>
                </c:pt>
                <c:pt idx="285">
                  <c:v>43894</c:v>
                </c:pt>
                <c:pt idx="286">
                  <c:v>43895</c:v>
                </c:pt>
                <c:pt idx="287">
                  <c:v>43896</c:v>
                </c:pt>
                <c:pt idx="288">
                  <c:v>43899</c:v>
                </c:pt>
                <c:pt idx="289">
                  <c:v>43900</c:v>
                </c:pt>
                <c:pt idx="290">
                  <c:v>43901</c:v>
                </c:pt>
                <c:pt idx="291">
                  <c:v>43902</c:v>
                </c:pt>
                <c:pt idx="292">
                  <c:v>43903</c:v>
                </c:pt>
                <c:pt idx="293">
                  <c:v>43906</c:v>
                </c:pt>
                <c:pt idx="294">
                  <c:v>43907</c:v>
                </c:pt>
                <c:pt idx="295">
                  <c:v>43908</c:v>
                </c:pt>
                <c:pt idx="296">
                  <c:v>43909</c:v>
                </c:pt>
                <c:pt idx="297">
                  <c:v>43910</c:v>
                </c:pt>
                <c:pt idx="298">
                  <c:v>43913</c:v>
                </c:pt>
                <c:pt idx="299">
                  <c:v>43914</c:v>
                </c:pt>
                <c:pt idx="300">
                  <c:v>43915</c:v>
                </c:pt>
                <c:pt idx="301">
                  <c:v>43916</c:v>
                </c:pt>
                <c:pt idx="302">
                  <c:v>43917</c:v>
                </c:pt>
                <c:pt idx="303">
                  <c:v>43920</c:v>
                </c:pt>
                <c:pt idx="304">
                  <c:v>43921</c:v>
                </c:pt>
                <c:pt idx="305">
                  <c:v>43922</c:v>
                </c:pt>
                <c:pt idx="306">
                  <c:v>43923</c:v>
                </c:pt>
                <c:pt idx="307">
                  <c:v>43924</c:v>
                </c:pt>
                <c:pt idx="308">
                  <c:v>43927</c:v>
                </c:pt>
                <c:pt idx="309">
                  <c:v>43928</c:v>
                </c:pt>
                <c:pt idx="310">
                  <c:v>43929</c:v>
                </c:pt>
                <c:pt idx="311">
                  <c:v>43930</c:v>
                </c:pt>
                <c:pt idx="312">
                  <c:v>43934</c:v>
                </c:pt>
                <c:pt idx="313">
                  <c:v>43935</c:v>
                </c:pt>
                <c:pt idx="314">
                  <c:v>43936</c:v>
                </c:pt>
                <c:pt idx="315">
                  <c:v>43937</c:v>
                </c:pt>
                <c:pt idx="316">
                  <c:v>43938</c:v>
                </c:pt>
                <c:pt idx="317">
                  <c:v>43941</c:v>
                </c:pt>
                <c:pt idx="318">
                  <c:v>43942</c:v>
                </c:pt>
                <c:pt idx="319">
                  <c:v>43943</c:v>
                </c:pt>
                <c:pt idx="320">
                  <c:v>43944</c:v>
                </c:pt>
                <c:pt idx="321">
                  <c:v>43948</c:v>
                </c:pt>
                <c:pt idx="322">
                  <c:v>43949</c:v>
                </c:pt>
                <c:pt idx="323">
                  <c:v>43950</c:v>
                </c:pt>
                <c:pt idx="324">
                  <c:v>43951</c:v>
                </c:pt>
                <c:pt idx="325">
                  <c:v>43955</c:v>
                </c:pt>
                <c:pt idx="326">
                  <c:v>43956</c:v>
                </c:pt>
                <c:pt idx="327">
                  <c:v>43957</c:v>
                </c:pt>
                <c:pt idx="328">
                  <c:v>43958</c:v>
                </c:pt>
                <c:pt idx="329">
                  <c:v>43959</c:v>
                </c:pt>
                <c:pt idx="330">
                  <c:v>43962</c:v>
                </c:pt>
                <c:pt idx="331">
                  <c:v>43963</c:v>
                </c:pt>
                <c:pt idx="332">
                  <c:v>43964</c:v>
                </c:pt>
                <c:pt idx="333">
                  <c:v>43965</c:v>
                </c:pt>
                <c:pt idx="334">
                  <c:v>43966</c:v>
                </c:pt>
                <c:pt idx="335">
                  <c:v>43969</c:v>
                </c:pt>
                <c:pt idx="336">
                  <c:v>43970</c:v>
                </c:pt>
                <c:pt idx="337">
                  <c:v>43971</c:v>
                </c:pt>
                <c:pt idx="338">
                  <c:v>43972</c:v>
                </c:pt>
                <c:pt idx="339">
                  <c:v>43973</c:v>
                </c:pt>
                <c:pt idx="340">
                  <c:v>43976</c:v>
                </c:pt>
                <c:pt idx="341">
                  <c:v>43977</c:v>
                </c:pt>
                <c:pt idx="342">
                  <c:v>43978</c:v>
                </c:pt>
                <c:pt idx="343">
                  <c:v>43983</c:v>
                </c:pt>
                <c:pt idx="344">
                  <c:v>43984</c:v>
                </c:pt>
                <c:pt idx="345">
                  <c:v>43985</c:v>
                </c:pt>
                <c:pt idx="346">
                  <c:v>43986</c:v>
                </c:pt>
                <c:pt idx="347">
                  <c:v>43987</c:v>
                </c:pt>
                <c:pt idx="348">
                  <c:v>43990</c:v>
                </c:pt>
                <c:pt idx="349">
                  <c:v>43991</c:v>
                </c:pt>
                <c:pt idx="350">
                  <c:v>43992</c:v>
                </c:pt>
                <c:pt idx="351">
                  <c:v>43993</c:v>
                </c:pt>
                <c:pt idx="352">
                  <c:v>43994</c:v>
                </c:pt>
                <c:pt idx="353">
                  <c:v>43997</c:v>
                </c:pt>
                <c:pt idx="354">
                  <c:v>43998</c:v>
                </c:pt>
                <c:pt idx="355">
                  <c:v>43999</c:v>
                </c:pt>
                <c:pt idx="356">
                  <c:v>44000</c:v>
                </c:pt>
                <c:pt idx="357">
                  <c:v>44001</c:v>
                </c:pt>
                <c:pt idx="358">
                  <c:v>44004</c:v>
                </c:pt>
                <c:pt idx="359">
                  <c:v>44005</c:v>
                </c:pt>
                <c:pt idx="360">
                  <c:v>44006</c:v>
                </c:pt>
                <c:pt idx="361">
                  <c:v>44007</c:v>
                </c:pt>
                <c:pt idx="362">
                  <c:v>44008</c:v>
                </c:pt>
                <c:pt idx="363">
                  <c:v>44011</c:v>
                </c:pt>
                <c:pt idx="364">
                  <c:v>44012</c:v>
                </c:pt>
                <c:pt idx="365">
                  <c:v>44013</c:v>
                </c:pt>
                <c:pt idx="366">
                  <c:v>44014</c:v>
                </c:pt>
                <c:pt idx="367">
                  <c:v>44015</c:v>
                </c:pt>
                <c:pt idx="368">
                  <c:v>44018</c:v>
                </c:pt>
                <c:pt idx="369">
                  <c:v>44019</c:v>
                </c:pt>
                <c:pt idx="370">
                  <c:v>44020</c:v>
                </c:pt>
                <c:pt idx="371">
                  <c:v>44021</c:v>
                </c:pt>
                <c:pt idx="372">
                  <c:v>44022</c:v>
                </c:pt>
                <c:pt idx="373">
                  <c:v>44025</c:v>
                </c:pt>
                <c:pt idx="374">
                  <c:v>44026</c:v>
                </c:pt>
                <c:pt idx="375">
                  <c:v>44027</c:v>
                </c:pt>
                <c:pt idx="376">
                  <c:v>44028</c:v>
                </c:pt>
                <c:pt idx="377">
                  <c:v>44029</c:v>
                </c:pt>
                <c:pt idx="378">
                  <c:v>44032</c:v>
                </c:pt>
                <c:pt idx="379">
                  <c:v>44033</c:v>
                </c:pt>
                <c:pt idx="380">
                  <c:v>44034</c:v>
                </c:pt>
                <c:pt idx="381">
                  <c:v>44035</c:v>
                </c:pt>
                <c:pt idx="382">
                  <c:v>44036</c:v>
                </c:pt>
                <c:pt idx="383">
                  <c:v>44039</c:v>
                </c:pt>
                <c:pt idx="384">
                  <c:v>44040</c:v>
                </c:pt>
                <c:pt idx="385">
                  <c:v>44041</c:v>
                </c:pt>
                <c:pt idx="386">
                  <c:v>44042</c:v>
                </c:pt>
                <c:pt idx="387">
                  <c:v>44043</c:v>
                </c:pt>
                <c:pt idx="388">
                  <c:v>44046</c:v>
                </c:pt>
                <c:pt idx="389">
                  <c:v>44047</c:v>
                </c:pt>
                <c:pt idx="390">
                  <c:v>44048</c:v>
                </c:pt>
                <c:pt idx="391">
                  <c:v>44049</c:v>
                </c:pt>
                <c:pt idx="392">
                  <c:v>44050</c:v>
                </c:pt>
                <c:pt idx="393">
                  <c:v>44053</c:v>
                </c:pt>
                <c:pt idx="394">
                  <c:v>44054</c:v>
                </c:pt>
                <c:pt idx="395">
                  <c:v>44055</c:v>
                </c:pt>
                <c:pt idx="396">
                  <c:v>44056</c:v>
                </c:pt>
                <c:pt idx="397">
                  <c:v>44057</c:v>
                </c:pt>
                <c:pt idx="398">
                  <c:v>44060</c:v>
                </c:pt>
                <c:pt idx="399">
                  <c:v>44061</c:v>
                </c:pt>
                <c:pt idx="400">
                  <c:v>44062</c:v>
                </c:pt>
                <c:pt idx="401">
                  <c:v>44063</c:v>
                </c:pt>
                <c:pt idx="402">
                  <c:v>44064</c:v>
                </c:pt>
                <c:pt idx="403">
                  <c:v>44067</c:v>
                </c:pt>
                <c:pt idx="404">
                  <c:v>44068</c:v>
                </c:pt>
                <c:pt idx="405">
                  <c:v>44069</c:v>
                </c:pt>
                <c:pt idx="406">
                  <c:v>44070</c:v>
                </c:pt>
                <c:pt idx="407">
                  <c:v>44071</c:v>
                </c:pt>
                <c:pt idx="408">
                  <c:v>44074</c:v>
                </c:pt>
                <c:pt idx="409">
                  <c:v>44075</c:v>
                </c:pt>
                <c:pt idx="410">
                  <c:v>44076</c:v>
                </c:pt>
                <c:pt idx="411">
                  <c:v>44077</c:v>
                </c:pt>
                <c:pt idx="412">
                  <c:v>44078</c:v>
                </c:pt>
                <c:pt idx="413">
                  <c:v>44081</c:v>
                </c:pt>
                <c:pt idx="414">
                  <c:v>44082</c:v>
                </c:pt>
                <c:pt idx="415">
                  <c:v>44083</c:v>
                </c:pt>
                <c:pt idx="416">
                  <c:v>44084</c:v>
                </c:pt>
                <c:pt idx="417">
                  <c:v>44085</c:v>
                </c:pt>
                <c:pt idx="418">
                  <c:v>44088</c:v>
                </c:pt>
                <c:pt idx="419">
                  <c:v>44089</c:v>
                </c:pt>
                <c:pt idx="420">
                  <c:v>44090</c:v>
                </c:pt>
                <c:pt idx="421">
                  <c:v>44091</c:v>
                </c:pt>
                <c:pt idx="422">
                  <c:v>44092</c:v>
                </c:pt>
                <c:pt idx="423">
                  <c:v>44096</c:v>
                </c:pt>
                <c:pt idx="424">
                  <c:v>44097</c:v>
                </c:pt>
                <c:pt idx="425">
                  <c:v>44098</c:v>
                </c:pt>
                <c:pt idx="426">
                  <c:v>44099</c:v>
                </c:pt>
                <c:pt idx="427">
                  <c:v>44102</c:v>
                </c:pt>
                <c:pt idx="428">
                  <c:v>44103</c:v>
                </c:pt>
                <c:pt idx="429">
                  <c:v>44104</c:v>
                </c:pt>
                <c:pt idx="430">
                  <c:v>44105</c:v>
                </c:pt>
                <c:pt idx="431">
                  <c:v>44106</c:v>
                </c:pt>
                <c:pt idx="432">
                  <c:v>44109</c:v>
                </c:pt>
                <c:pt idx="433">
                  <c:v>44110</c:v>
                </c:pt>
                <c:pt idx="434">
                  <c:v>44111</c:v>
                </c:pt>
                <c:pt idx="435">
                  <c:v>44112</c:v>
                </c:pt>
                <c:pt idx="436">
                  <c:v>44113</c:v>
                </c:pt>
                <c:pt idx="437">
                  <c:v>44116</c:v>
                </c:pt>
                <c:pt idx="438">
                  <c:v>44117</c:v>
                </c:pt>
                <c:pt idx="439">
                  <c:v>44118</c:v>
                </c:pt>
                <c:pt idx="440">
                  <c:v>44119</c:v>
                </c:pt>
                <c:pt idx="441">
                  <c:v>44120</c:v>
                </c:pt>
                <c:pt idx="442">
                  <c:v>44123</c:v>
                </c:pt>
                <c:pt idx="443">
                  <c:v>44124</c:v>
                </c:pt>
                <c:pt idx="444">
                  <c:v>44125</c:v>
                </c:pt>
                <c:pt idx="445">
                  <c:v>44126</c:v>
                </c:pt>
                <c:pt idx="446">
                  <c:v>44127</c:v>
                </c:pt>
                <c:pt idx="447">
                  <c:v>44130</c:v>
                </c:pt>
                <c:pt idx="448">
                  <c:v>44131</c:v>
                </c:pt>
                <c:pt idx="449">
                  <c:v>44132</c:v>
                </c:pt>
                <c:pt idx="450">
                  <c:v>44133</c:v>
                </c:pt>
                <c:pt idx="451">
                  <c:v>44134</c:v>
                </c:pt>
                <c:pt idx="452">
                  <c:v>44137</c:v>
                </c:pt>
                <c:pt idx="453">
                  <c:v>44138</c:v>
                </c:pt>
                <c:pt idx="454">
                  <c:v>44139</c:v>
                </c:pt>
                <c:pt idx="455">
                  <c:v>44140</c:v>
                </c:pt>
                <c:pt idx="456">
                  <c:v>44141</c:v>
                </c:pt>
                <c:pt idx="457">
                  <c:v>44144</c:v>
                </c:pt>
                <c:pt idx="458">
                  <c:v>44145</c:v>
                </c:pt>
                <c:pt idx="459">
                  <c:v>44146</c:v>
                </c:pt>
                <c:pt idx="460">
                  <c:v>44147</c:v>
                </c:pt>
                <c:pt idx="461">
                  <c:v>44148</c:v>
                </c:pt>
                <c:pt idx="462">
                  <c:v>44151</c:v>
                </c:pt>
                <c:pt idx="463">
                  <c:v>44152</c:v>
                </c:pt>
                <c:pt idx="464">
                  <c:v>44153</c:v>
                </c:pt>
                <c:pt idx="465">
                  <c:v>44154</c:v>
                </c:pt>
                <c:pt idx="466">
                  <c:v>44155</c:v>
                </c:pt>
                <c:pt idx="467">
                  <c:v>44158</c:v>
                </c:pt>
                <c:pt idx="468">
                  <c:v>44159</c:v>
                </c:pt>
                <c:pt idx="469">
                  <c:v>44160</c:v>
                </c:pt>
                <c:pt idx="470">
                  <c:v>44161</c:v>
                </c:pt>
                <c:pt idx="471">
                  <c:v>44162</c:v>
                </c:pt>
                <c:pt idx="472">
                  <c:v>44165</c:v>
                </c:pt>
                <c:pt idx="473">
                  <c:v>44166</c:v>
                </c:pt>
                <c:pt idx="474">
                  <c:v>44167</c:v>
                </c:pt>
                <c:pt idx="475">
                  <c:v>44168</c:v>
                </c:pt>
                <c:pt idx="476">
                  <c:v>44169</c:v>
                </c:pt>
                <c:pt idx="477">
                  <c:v>44172</c:v>
                </c:pt>
                <c:pt idx="478">
                  <c:v>44173</c:v>
                </c:pt>
                <c:pt idx="479">
                  <c:v>44174</c:v>
                </c:pt>
                <c:pt idx="480">
                  <c:v>44175</c:v>
                </c:pt>
                <c:pt idx="481">
                  <c:v>44176</c:v>
                </c:pt>
                <c:pt idx="482">
                  <c:v>44179</c:v>
                </c:pt>
                <c:pt idx="483">
                  <c:v>44180</c:v>
                </c:pt>
                <c:pt idx="484">
                  <c:v>44181</c:v>
                </c:pt>
                <c:pt idx="485">
                  <c:v>44182</c:v>
                </c:pt>
                <c:pt idx="486">
                  <c:v>44183</c:v>
                </c:pt>
                <c:pt idx="487">
                  <c:v>44186</c:v>
                </c:pt>
                <c:pt idx="488">
                  <c:v>44187</c:v>
                </c:pt>
                <c:pt idx="489">
                  <c:v>44188</c:v>
                </c:pt>
                <c:pt idx="490">
                  <c:v>44189</c:v>
                </c:pt>
                <c:pt idx="491">
                  <c:v>44193</c:v>
                </c:pt>
                <c:pt idx="492">
                  <c:v>44194</c:v>
                </c:pt>
                <c:pt idx="493">
                  <c:v>44195</c:v>
                </c:pt>
                <c:pt idx="494">
                  <c:v>44196</c:v>
                </c:pt>
                <c:pt idx="495">
                  <c:v>44204</c:v>
                </c:pt>
                <c:pt idx="496">
                  <c:v>44207</c:v>
                </c:pt>
                <c:pt idx="497">
                  <c:v>44208</c:v>
                </c:pt>
                <c:pt idx="498">
                  <c:v>44209</c:v>
                </c:pt>
                <c:pt idx="499">
                  <c:v>44210</c:v>
                </c:pt>
                <c:pt idx="500">
                  <c:v>44211</c:v>
                </c:pt>
                <c:pt idx="501">
                  <c:v>44214</c:v>
                </c:pt>
                <c:pt idx="502">
                  <c:v>44215</c:v>
                </c:pt>
                <c:pt idx="503">
                  <c:v>44216</c:v>
                </c:pt>
                <c:pt idx="504">
                  <c:v>44217</c:v>
                </c:pt>
                <c:pt idx="505">
                  <c:v>44218</c:v>
                </c:pt>
                <c:pt idx="506">
                  <c:v>44221</c:v>
                </c:pt>
                <c:pt idx="507">
                  <c:v>44222</c:v>
                </c:pt>
                <c:pt idx="508">
                  <c:v>44223</c:v>
                </c:pt>
                <c:pt idx="509">
                  <c:v>44225</c:v>
                </c:pt>
                <c:pt idx="510">
                  <c:v>44228</c:v>
                </c:pt>
                <c:pt idx="511">
                  <c:v>44229</c:v>
                </c:pt>
                <c:pt idx="512">
                  <c:v>44230</c:v>
                </c:pt>
                <c:pt idx="513">
                  <c:v>44231</c:v>
                </c:pt>
                <c:pt idx="514">
                  <c:v>44232</c:v>
                </c:pt>
                <c:pt idx="515">
                  <c:v>44235</c:v>
                </c:pt>
                <c:pt idx="516">
                  <c:v>44236</c:v>
                </c:pt>
                <c:pt idx="517">
                  <c:v>44237</c:v>
                </c:pt>
                <c:pt idx="518">
                  <c:v>44238</c:v>
                </c:pt>
                <c:pt idx="519">
                  <c:v>44239</c:v>
                </c:pt>
                <c:pt idx="520">
                  <c:v>44242</c:v>
                </c:pt>
                <c:pt idx="521">
                  <c:v>44243</c:v>
                </c:pt>
                <c:pt idx="522">
                  <c:v>44244</c:v>
                </c:pt>
                <c:pt idx="523">
                  <c:v>44245</c:v>
                </c:pt>
                <c:pt idx="524">
                  <c:v>44246</c:v>
                </c:pt>
                <c:pt idx="525">
                  <c:v>44249</c:v>
                </c:pt>
                <c:pt idx="526">
                  <c:v>44250</c:v>
                </c:pt>
                <c:pt idx="527">
                  <c:v>44251</c:v>
                </c:pt>
                <c:pt idx="528">
                  <c:v>44252</c:v>
                </c:pt>
                <c:pt idx="529">
                  <c:v>44253</c:v>
                </c:pt>
                <c:pt idx="530">
                  <c:v>44256</c:v>
                </c:pt>
                <c:pt idx="531">
                  <c:v>44257</c:v>
                </c:pt>
                <c:pt idx="532">
                  <c:v>44258</c:v>
                </c:pt>
                <c:pt idx="533">
                  <c:v>44259</c:v>
                </c:pt>
                <c:pt idx="534">
                  <c:v>44260</c:v>
                </c:pt>
                <c:pt idx="535">
                  <c:v>44264</c:v>
                </c:pt>
                <c:pt idx="536">
                  <c:v>44265</c:v>
                </c:pt>
                <c:pt idx="537">
                  <c:v>44266</c:v>
                </c:pt>
                <c:pt idx="538">
                  <c:v>44267</c:v>
                </c:pt>
                <c:pt idx="539">
                  <c:v>44270</c:v>
                </c:pt>
                <c:pt idx="540">
                  <c:v>44271</c:v>
                </c:pt>
                <c:pt idx="541">
                  <c:v>44272</c:v>
                </c:pt>
                <c:pt idx="542">
                  <c:v>44273</c:v>
                </c:pt>
                <c:pt idx="543">
                  <c:v>44274</c:v>
                </c:pt>
                <c:pt idx="544">
                  <c:v>44277</c:v>
                </c:pt>
                <c:pt idx="545">
                  <c:v>44278</c:v>
                </c:pt>
                <c:pt idx="546">
                  <c:v>44279</c:v>
                </c:pt>
                <c:pt idx="547">
                  <c:v>44280</c:v>
                </c:pt>
                <c:pt idx="548">
                  <c:v>44281</c:v>
                </c:pt>
                <c:pt idx="549">
                  <c:v>44284</c:v>
                </c:pt>
                <c:pt idx="550">
                  <c:v>44285</c:v>
                </c:pt>
                <c:pt idx="551">
                  <c:v>44286</c:v>
                </c:pt>
                <c:pt idx="552">
                  <c:v>44287</c:v>
                </c:pt>
                <c:pt idx="553">
                  <c:v>44288</c:v>
                </c:pt>
                <c:pt idx="554">
                  <c:v>44291</c:v>
                </c:pt>
                <c:pt idx="555">
                  <c:v>44292</c:v>
                </c:pt>
                <c:pt idx="556">
                  <c:v>44293</c:v>
                </c:pt>
                <c:pt idx="557">
                  <c:v>44294</c:v>
                </c:pt>
                <c:pt idx="558">
                  <c:v>44295</c:v>
                </c:pt>
                <c:pt idx="559">
                  <c:v>44298</c:v>
                </c:pt>
                <c:pt idx="560">
                  <c:v>44299</c:v>
                </c:pt>
                <c:pt idx="561">
                  <c:v>44300</c:v>
                </c:pt>
                <c:pt idx="562">
                  <c:v>44301</c:v>
                </c:pt>
                <c:pt idx="563">
                  <c:v>44302</c:v>
                </c:pt>
                <c:pt idx="564">
                  <c:v>44305</c:v>
                </c:pt>
                <c:pt idx="565">
                  <c:v>44306</c:v>
                </c:pt>
                <c:pt idx="566">
                  <c:v>44307</c:v>
                </c:pt>
                <c:pt idx="567">
                  <c:v>44308</c:v>
                </c:pt>
                <c:pt idx="568">
                  <c:v>44309</c:v>
                </c:pt>
                <c:pt idx="569">
                  <c:v>44312</c:v>
                </c:pt>
                <c:pt idx="570">
                  <c:v>44313</c:v>
                </c:pt>
                <c:pt idx="571">
                  <c:v>44314</c:v>
                </c:pt>
                <c:pt idx="572">
                  <c:v>44315</c:v>
                </c:pt>
                <c:pt idx="573">
                  <c:v>44316</c:v>
                </c:pt>
                <c:pt idx="574">
                  <c:v>44319</c:v>
                </c:pt>
                <c:pt idx="575">
                  <c:v>44320</c:v>
                </c:pt>
                <c:pt idx="576">
                  <c:v>44321</c:v>
                </c:pt>
                <c:pt idx="577">
                  <c:v>44322</c:v>
                </c:pt>
                <c:pt idx="578">
                  <c:v>44323</c:v>
                </c:pt>
                <c:pt idx="579">
                  <c:v>44326</c:v>
                </c:pt>
                <c:pt idx="580">
                  <c:v>44327</c:v>
                </c:pt>
                <c:pt idx="581">
                  <c:v>44328</c:v>
                </c:pt>
                <c:pt idx="582">
                  <c:v>44329</c:v>
                </c:pt>
                <c:pt idx="583">
                  <c:v>44330</c:v>
                </c:pt>
                <c:pt idx="584">
                  <c:v>44333</c:v>
                </c:pt>
                <c:pt idx="585">
                  <c:v>44334</c:v>
                </c:pt>
                <c:pt idx="586">
                  <c:v>44335</c:v>
                </c:pt>
                <c:pt idx="587">
                  <c:v>44336</c:v>
                </c:pt>
                <c:pt idx="588">
                  <c:v>44341</c:v>
                </c:pt>
                <c:pt idx="589" formatCode="d\-mmm\-yy">
                  <c:v>44342</c:v>
                </c:pt>
                <c:pt idx="590" formatCode="d\-mmm\-yy">
                  <c:v>44343</c:v>
                </c:pt>
                <c:pt idx="591" formatCode="d\-mmm\-yy">
                  <c:v>44347</c:v>
                </c:pt>
                <c:pt idx="592" formatCode="d\-mmm\-yy">
                  <c:v>44348</c:v>
                </c:pt>
                <c:pt idx="593" formatCode="d\-mmm\-yy">
                  <c:v>44349</c:v>
                </c:pt>
                <c:pt idx="594" formatCode="d\-mmm\-yy">
                  <c:v>44350</c:v>
                </c:pt>
                <c:pt idx="595" formatCode="d\-mmm\-yy">
                  <c:v>44351</c:v>
                </c:pt>
                <c:pt idx="596" formatCode="d\-mmm\-yy">
                  <c:v>44354</c:v>
                </c:pt>
                <c:pt idx="597" formatCode="d\-mmm\-yy">
                  <c:v>44355</c:v>
                </c:pt>
                <c:pt idx="598" formatCode="d\-mmm\-yy">
                  <c:v>44356</c:v>
                </c:pt>
                <c:pt idx="599" formatCode="d\-mmm\-yy">
                  <c:v>44357</c:v>
                </c:pt>
                <c:pt idx="600" formatCode="d\-mmm\-yy">
                  <c:v>44358</c:v>
                </c:pt>
                <c:pt idx="601" formatCode="d\-mmm\-yy">
                  <c:v>44361</c:v>
                </c:pt>
                <c:pt idx="602" formatCode="d\-mmm\-yy">
                  <c:v>44362</c:v>
                </c:pt>
                <c:pt idx="603" formatCode="d\-mmm\-yy">
                  <c:v>44363</c:v>
                </c:pt>
                <c:pt idx="604" formatCode="d\-mmm\-yy">
                  <c:v>44364</c:v>
                </c:pt>
                <c:pt idx="605" formatCode="d\-mmm\-yy">
                  <c:v>44365</c:v>
                </c:pt>
                <c:pt idx="606" formatCode="d\-mmm\-yy">
                  <c:v>44368</c:v>
                </c:pt>
                <c:pt idx="607" formatCode="d\-mmm\-yy">
                  <c:v>44369</c:v>
                </c:pt>
                <c:pt idx="608" formatCode="d\-mmm\-yy">
                  <c:v>44370</c:v>
                </c:pt>
                <c:pt idx="609" formatCode="d\-mmm\-yy">
                  <c:v>44371</c:v>
                </c:pt>
                <c:pt idx="610" formatCode="d\-mmm\-yy">
                  <c:v>44372</c:v>
                </c:pt>
                <c:pt idx="611" formatCode="d\-mmm\-yy">
                  <c:v>44375</c:v>
                </c:pt>
                <c:pt idx="612" formatCode="d\-mmm\-yy">
                  <c:v>44376</c:v>
                </c:pt>
                <c:pt idx="613" formatCode="d\-mmm\-yy">
                  <c:v>44377</c:v>
                </c:pt>
                <c:pt idx="614" formatCode="d\-mmm\-yy">
                  <c:v>44378</c:v>
                </c:pt>
                <c:pt idx="615" formatCode="d\-mmm\-yy">
                  <c:v>44379</c:v>
                </c:pt>
                <c:pt idx="616" formatCode="d\-mmm\-yy">
                  <c:v>44383</c:v>
                </c:pt>
                <c:pt idx="617" formatCode="d\-mmm\-yy">
                  <c:v>44384</c:v>
                </c:pt>
                <c:pt idx="618" formatCode="d\-mmm\-yy">
                  <c:v>44385</c:v>
                </c:pt>
                <c:pt idx="619" formatCode="d\-mmm\-yy">
                  <c:v>44386</c:v>
                </c:pt>
                <c:pt idx="620" formatCode="d\-mmm\-yy">
                  <c:v>44389</c:v>
                </c:pt>
              </c:numCache>
            </c:numRef>
          </c:cat>
          <c:val>
            <c:numRef>
              <c:f>Sheet1!$E$2:$E$622</c:f>
              <c:numCache>
                <c:formatCode>0</c:formatCode>
                <c:ptCount val="621"/>
                <c:pt idx="0" formatCode="General">
                  <c:v>100</c:v>
                </c:pt>
                <c:pt idx="1">
                  <c:v>99</c:v>
                </c:pt>
                <c:pt idx="2">
                  <c:v>100</c:v>
                </c:pt>
                <c:pt idx="3">
                  <c:v>100</c:v>
                </c:pt>
                <c:pt idx="4">
                  <c:v>100</c:v>
                </c:pt>
                <c:pt idx="5">
                  <c:v>100</c:v>
                </c:pt>
                <c:pt idx="6">
                  <c:v>100</c:v>
                </c:pt>
                <c:pt idx="7">
                  <c:v>100</c:v>
                </c:pt>
                <c:pt idx="8">
                  <c:v>101</c:v>
                </c:pt>
                <c:pt idx="9">
                  <c:v>101</c:v>
                </c:pt>
                <c:pt idx="10">
                  <c:v>101</c:v>
                </c:pt>
                <c:pt idx="11">
                  <c:v>100</c:v>
                </c:pt>
                <c:pt idx="12">
                  <c:v>101</c:v>
                </c:pt>
                <c:pt idx="13">
                  <c:v>100</c:v>
                </c:pt>
                <c:pt idx="14">
                  <c:v>100</c:v>
                </c:pt>
                <c:pt idx="15">
                  <c:v>100</c:v>
                </c:pt>
                <c:pt idx="16">
                  <c:v>100</c:v>
                </c:pt>
                <c:pt idx="17">
                  <c:v>100</c:v>
                </c:pt>
                <c:pt idx="18">
                  <c:v>100</c:v>
                </c:pt>
                <c:pt idx="19">
                  <c:v>100</c:v>
                </c:pt>
                <c:pt idx="20">
                  <c:v>101</c:v>
                </c:pt>
                <c:pt idx="21">
                  <c:v>101</c:v>
                </c:pt>
                <c:pt idx="22">
                  <c:v>101</c:v>
                </c:pt>
                <c:pt idx="23">
                  <c:v>101</c:v>
                </c:pt>
                <c:pt idx="24">
                  <c:v>101</c:v>
                </c:pt>
                <c:pt idx="25">
                  <c:v>102</c:v>
                </c:pt>
                <c:pt idx="26">
                  <c:v>101</c:v>
                </c:pt>
                <c:pt idx="27">
                  <c:v>101</c:v>
                </c:pt>
                <c:pt idx="28">
                  <c:v>101</c:v>
                </c:pt>
                <c:pt idx="29">
                  <c:v>101</c:v>
                </c:pt>
                <c:pt idx="30">
                  <c:v>101</c:v>
                </c:pt>
                <c:pt idx="31">
                  <c:v>101</c:v>
                </c:pt>
                <c:pt idx="32">
                  <c:v>101</c:v>
                </c:pt>
                <c:pt idx="33">
                  <c:v>101</c:v>
                </c:pt>
                <c:pt idx="34">
                  <c:v>100</c:v>
                </c:pt>
                <c:pt idx="35">
                  <c:v>101</c:v>
                </c:pt>
                <c:pt idx="36">
                  <c:v>101</c:v>
                </c:pt>
                <c:pt idx="37">
                  <c:v>101</c:v>
                </c:pt>
                <c:pt idx="38">
                  <c:v>101</c:v>
                </c:pt>
                <c:pt idx="39">
                  <c:v>101</c:v>
                </c:pt>
                <c:pt idx="40">
                  <c:v>101</c:v>
                </c:pt>
                <c:pt idx="41">
                  <c:v>102</c:v>
                </c:pt>
                <c:pt idx="42">
                  <c:v>102</c:v>
                </c:pt>
                <c:pt idx="43">
                  <c:v>101</c:v>
                </c:pt>
                <c:pt idx="44">
                  <c:v>101</c:v>
                </c:pt>
                <c:pt idx="45">
                  <c:v>101</c:v>
                </c:pt>
                <c:pt idx="46">
                  <c:v>101</c:v>
                </c:pt>
                <c:pt idx="47">
                  <c:v>101</c:v>
                </c:pt>
                <c:pt idx="48">
                  <c:v>100</c:v>
                </c:pt>
                <c:pt idx="49">
                  <c:v>100</c:v>
                </c:pt>
                <c:pt idx="50">
                  <c:v>101</c:v>
                </c:pt>
                <c:pt idx="51">
                  <c:v>101</c:v>
                </c:pt>
                <c:pt idx="52">
                  <c:v>101</c:v>
                </c:pt>
                <c:pt idx="53">
                  <c:v>101</c:v>
                </c:pt>
                <c:pt idx="54">
                  <c:v>101</c:v>
                </c:pt>
                <c:pt idx="55">
                  <c:v>101</c:v>
                </c:pt>
                <c:pt idx="56">
                  <c:v>101</c:v>
                </c:pt>
                <c:pt idx="57">
                  <c:v>101</c:v>
                </c:pt>
                <c:pt idx="58">
                  <c:v>102</c:v>
                </c:pt>
                <c:pt idx="59">
                  <c:v>101</c:v>
                </c:pt>
                <c:pt idx="60">
                  <c:v>102</c:v>
                </c:pt>
                <c:pt idx="61">
                  <c:v>102</c:v>
                </c:pt>
                <c:pt idx="62">
                  <c:v>101</c:v>
                </c:pt>
                <c:pt idx="63">
                  <c:v>101</c:v>
                </c:pt>
                <c:pt idx="64">
                  <c:v>101</c:v>
                </c:pt>
                <c:pt idx="65">
                  <c:v>101</c:v>
                </c:pt>
                <c:pt idx="66">
                  <c:v>101</c:v>
                </c:pt>
                <c:pt idx="67">
                  <c:v>101</c:v>
                </c:pt>
                <c:pt idx="68">
                  <c:v>101</c:v>
                </c:pt>
                <c:pt idx="69">
                  <c:v>101</c:v>
                </c:pt>
                <c:pt idx="70">
                  <c:v>102</c:v>
                </c:pt>
                <c:pt idx="71">
                  <c:v>102</c:v>
                </c:pt>
                <c:pt idx="72">
                  <c:v>102</c:v>
                </c:pt>
                <c:pt idx="73">
                  <c:v>102</c:v>
                </c:pt>
                <c:pt idx="74">
                  <c:v>103</c:v>
                </c:pt>
                <c:pt idx="75">
                  <c:v>102</c:v>
                </c:pt>
                <c:pt idx="76">
                  <c:v>102</c:v>
                </c:pt>
                <c:pt idx="77">
                  <c:v>102</c:v>
                </c:pt>
                <c:pt idx="78">
                  <c:v>102</c:v>
                </c:pt>
                <c:pt idx="79">
                  <c:v>102</c:v>
                </c:pt>
                <c:pt idx="80">
                  <c:v>102</c:v>
                </c:pt>
                <c:pt idx="81">
                  <c:v>102</c:v>
                </c:pt>
                <c:pt idx="82">
                  <c:v>102</c:v>
                </c:pt>
                <c:pt idx="83">
                  <c:v>102</c:v>
                </c:pt>
                <c:pt idx="84">
                  <c:v>102</c:v>
                </c:pt>
                <c:pt idx="85">
                  <c:v>102</c:v>
                </c:pt>
                <c:pt idx="86">
                  <c:v>102</c:v>
                </c:pt>
                <c:pt idx="87">
                  <c:v>102</c:v>
                </c:pt>
                <c:pt idx="88">
                  <c:v>102</c:v>
                </c:pt>
                <c:pt idx="89">
                  <c:v>102</c:v>
                </c:pt>
                <c:pt idx="90">
                  <c:v>103</c:v>
                </c:pt>
                <c:pt idx="91">
                  <c:v>103</c:v>
                </c:pt>
                <c:pt idx="92">
                  <c:v>102</c:v>
                </c:pt>
                <c:pt idx="93">
                  <c:v>102</c:v>
                </c:pt>
                <c:pt idx="94">
                  <c:v>102</c:v>
                </c:pt>
                <c:pt idx="95">
                  <c:v>103</c:v>
                </c:pt>
                <c:pt idx="96">
                  <c:v>103</c:v>
                </c:pt>
                <c:pt idx="97">
                  <c:v>102</c:v>
                </c:pt>
                <c:pt idx="98">
                  <c:v>102</c:v>
                </c:pt>
                <c:pt idx="99">
                  <c:v>102</c:v>
                </c:pt>
                <c:pt idx="100">
                  <c:v>102</c:v>
                </c:pt>
                <c:pt idx="101">
                  <c:v>102</c:v>
                </c:pt>
                <c:pt idx="102">
                  <c:v>101</c:v>
                </c:pt>
                <c:pt idx="103">
                  <c:v>101</c:v>
                </c:pt>
                <c:pt idx="104">
                  <c:v>101</c:v>
                </c:pt>
                <c:pt idx="105">
                  <c:v>102</c:v>
                </c:pt>
                <c:pt idx="106">
                  <c:v>102</c:v>
                </c:pt>
                <c:pt idx="107">
                  <c:v>102</c:v>
                </c:pt>
                <c:pt idx="108">
                  <c:v>102</c:v>
                </c:pt>
                <c:pt idx="109">
                  <c:v>102</c:v>
                </c:pt>
                <c:pt idx="110">
                  <c:v>101</c:v>
                </c:pt>
                <c:pt idx="111">
                  <c:v>101</c:v>
                </c:pt>
                <c:pt idx="112">
                  <c:v>100</c:v>
                </c:pt>
                <c:pt idx="113">
                  <c:v>100</c:v>
                </c:pt>
                <c:pt idx="114">
                  <c:v>100</c:v>
                </c:pt>
                <c:pt idx="115">
                  <c:v>100</c:v>
                </c:pt>
                <c:pt idx="116">
                  <c:v>100</c:v>
                </c:pt>
                <c:pt idx="117">
                  <c:v>100</c:v>
                </c:pt>
                <c:pt idx="118">
                  <c:v>101</c:v>
                </c:pt>
                <c:pt idx="119">
                  <c:v>101</c:v>
                </c:pt>
                <c:pt idx="120">
                  <c:v>101</c:v>
                </c:pt>
                <c:pt idx="121">
                  <c:v>101</c:v>
                </c:pt>
                <c:pt idx="122">
                  <c:v>102</c:v>
                </c:pt>
                <c:pt idx="123">
                  <c:v>102</c:v>
                </c:pt>
                <c:pt idx="124">
                  <c:v>101</c:v>
                </c:pt>
                <c:pt idx="125">
                  <c:v>101</c:v>
                </c:pt>
                <c:pt idx="126">
                  <c:v>101</c:v>
                </c:pt>
                <c:pt idx="127">
                  <c:v>101</c:v>
                </c:pt>
                <c:pt idx="128">
                  <c:v>102</c:v>
                </c:pt>
                <c:pt idx="129">
                  <c:v>101</c:v>
                </c:pt>
                <c:pt idx="130">
                  <c:v>101</c:v>
                </c:pt>
                <c:pt idx="131">
                  <c:v>101</c:v>
                </c:pt>
                <c:pt idx="132">
                  <c:v>102</c:v>
                </c:pt>
                <c:pt idx="133">
                  <c:v>102</c:v>
                </c:pt>
                <c:pt idx="134">
                  <c:v>102</c:v>
                </c:pt>
                <c:pt idx="135">
                  <c:v>102</c:v>
                </c:pt>
                <c:pt idx="136">
                  <c:v>102</c:v>
                </c:pt>
                <c:pt idx="137">
                  <c:v>102</c:v>
                </c:pt>
                <c:pt idx="138">
                  <c:v>102</c:v>
                </c:pt>
                <c:pt idx="139">
                  <c:v>103</c:v>
                </c:pt>
                <c:pt idx="140">
                  <c:v>103</c:v>
                </c:pt>
                <c:pt idx="141">
                  <c:v>102</c:v>
                </c:pt>
                <c:pt idx="142">
                  <c:v>102</c:v>
                </c:pt>
                <c:pt idx="143">
                  <c:v>102</c:v>
                </c:pt>
                <c:pt idx="144">
                  <c:v>102</c:v>
                </c:pt>
                <c:pt idx="145">
                  <c:v>102</c:v>
                </c:pt>
                <c:pt idx="146">
                  <c:v>102</c:v>
                </c:pt>
                <c:pt idx="147">
                  <c:v>102</c:v>
                </c:pt>
                <c:pt idx="148">
                  <c:v>102</c:v>
                </c:pt>
                <c:pt idx="149">
                  <c:v>102</c:v>
                </c:pt>
                <c:pt idx="150">
                  <c:v>103</c:v>
                </c:pt>
                <c:pt idx="151">
                  <c:v>103</c:v>
                </c:pt>
                <c:pt idx="152">
                  <c:v>103</c:v>
                </c:pt>
                <c:pt idx="153">
                  <c:v>103</c:v>
                </c:pt>
                <c:pt idx="154">
                  <c:v>103</c:v>
                </c:pt>
                <c:pt idx="155">
                  <c:v>103</c:v>
                </c:pt>
                <c:pt idx="156">
                  <c:v>102</c:v>
                </c:pt>
                <c:pt idx="157">
                  <c:v>103</c:v>
                </c:pt>
                <c:pt idx="158">
                  <c:v>103</c:v>
                </c:pt>
                <c:pt idx="159">
                  <c:v>103</c:v>
                </c:pt>
                <c:pt idx="160">
                  <c:v>103</c:v>
                </c:pt>
                <c:pt idx="161">
                  <c:v>104</c:v>
                </c:pt>
                <c:pt idx="162">
                  <c:v>104</c:v>
                </c:pt>
                <c:pt idx="163">
                  <c:v>104</c:v>
                </c:pt>
                <c:pt idx="164">
                  <c:v>103</c:v>
                </c:pt>
                <c:pt idx="165">
                  <c:v>103</c:v>
                </c:pt>
                <c:pt idx="166">
                  <c:v>103</c:v>
                </c:pt>
                <c:pt idx="167">
                  <c:v>103</c:v>
                </c:pt>
                <c:pt idx="168">
                  <c:v>103</c:v>
                </c:pt>
                <c:pt idx="169">
                  <c:v>103</c:v>
                </c:pt>
                <c:pt idx="170">
                  <c:v>103</c:v>
                </c:pt>
                <c:pt idx="171">
                  <c:v>103</c:v>
                </c:pt>
                <c:pt idx="172">
                  <c:v>103</c:v>
                </c:pt>
                <c:pt idx="173">
                  <c:v>102</c:v>
                </c:pt>
                <c:pt idx="174">
                  <c:v>103</c:v>
                </c:pt>
                <c:pt idx="175">
                  <c:v>102</c:v>
                </c:pt>
                <c:pt idx="176">
                  <c:v>103</c:v>
                </c:pt>
                <c:pt idx="177">
                  <c:v>103</c:v>
                </c:pt>
                <c:pt idx="178">
                  <c:v>103</c:v>
                </c:pt>
                <c:pt idx="179">
                  <c:v>103</c:v>
                </c:pt>
                <c:pt idx="180">
                  <c:v>103</c:v>
                </c:pt>
                <c:pt idx="181">
                  <c:v>103</c:v>
                </c:pt>
                <c:pt idx="182">
                  <c:v>104</c:v>
                </c:pt>
                <c:pt idx="183">
                  <c:v>103</c:v>
                </c:pt>
                <c:pt idx="184">
                  <c:v>103</c:v>
                </c:pt>
                <c:pt idx="185">
                  <c:v>103</c:v>
                </c:pt>
                <c:pt idx="186">
                  <c:v>103</c:v>
                </c:pt>
                <c:pt idx="187">
                  <c:v>103</c:v>
                </c:pt>
                <c:pt idx="188">
                  <c:v>104</c:v>
                </c:pt>
                <c:pt idx="189">
                  <c:v>103</c:v>
                </c:pt>
                <c:pt idx="190">
                  <c:v>103</c:v>
                </c:pt>
                <c:pt idx="191">
                  <c:v>103</c:v>
                </c:pt>
                <c:pt idx="192">
                  <c:v>103</c:v>
                </c:pt>
                <c:pt idx="193">
                  <c:v>103</c:v>
                </c:pt>
                <c:pt idx="194">
                  <c:v>102</c:v>
                </c:pt>
                <c:pt idx="195">
                  <c:v>102</c:v>
                </c:pt>
                <c:pt idx="196">
                  <c:v>102</c:v>
                </c:pt>
                <c:pt idx="197">
                  <c:v>102</c:v>
                </c:pt>
                <c:pt idx="198">
                  <c:v>102</c:v>
                </c:pt>
                <c:pt idx="199">
                  <c:v>102</c:v>
                </c:pt>
                <c:pt idx="200">
                  <c:v>102</c:v>
                </c:pt>
                <c:pt idx="201">
                  <c:v>102</c:v>
                </c:pt>
                <c:pt idx="202">
                  <c:v>102</c:v>
                </c:pt>
                <c:pt idx="203">
                  <c:v>102</c:v>
                </c:pt>
                <c:pt idx="204">
                  <c:v>102</c:v>
                </c:pt>
                <c:pt idx="205">
                  <c:v>102</c:v>
                </c:pt>
                <c:pt idx="206">
                  <c:v>102</c:v>
                </c:pt>
                <c:pt idx="207">
                  <c:v>102</c:v>
                </c:pt>
                <c:pt idx="208">
                  <c:v>102</c:v>
                </c:pt>
                <c:pt idx="209">
                  <c:v>102</c:v>
                </c:pt>
                <c:pt idx="210">
                  <c:v>103</c:v>
                </c:pt>
                <c:pt idx="211">
                  <c:v>103</c:v>
                </c:pt>
                <c:pt idx="212">
                  <c:v>103</c:v>
                </c:pt>
                <c:pt idx="213">
                  <c:v>103</c:v>
                </c:pt>
                <c:pt idx="214">
                  <c:v>103</c:v>
                </c:pt>
                <c:pt idx="215">
                  <c:v>103</c:v>
                </c:pt>
                <c:pt idx="216">
                  <c:v>103</c:v>
                </c:pt>
                <c:pt idx="217">
                  <c:v>102</c:v>
                </c:pt>
                <c:pt idx="218">
                  <c:v>102</c:v>
                </c:pt>
                <c:pt idx="219">
                  <c:v>102</c:v>
                </c:pt>
                <c:pt idx="220">
                  <c:v>103</c:v>
                </c:pt>
                <c:pt idx="221">
                  <c:v>103</c:v>
                </c:pt>
                <c:pt idx="222">
                  <c:v>103</c:v>
                </c:pt>
                <c:pt idx="223">
                  <c:v>103</c:v>
                </c:pt>
                <c:pt idx="224">
                  <c:v>103</c:v>
                </c:pt>
                <c:pt idx="225">
                  <c:v>103</c:v>
                </c:pt>
                <c:pt idx="226">
                  <c:v>103</c:v>
                </c:pt>
                <c:pt idx="227">
                  <c:v>102</c:v>
                </c:pt>
                <c:pt idx="228">
                  <c:v>102</c:v>
                </c:pt>
                <c:pt idx="229">
                  <c:v>102</c:v>
                </c:pt>
                <c:pt idx="230">
                  <c:v>102</c:v>
                </c:pt>
                <c:pt idx="231">
                  <c:v>102</c:v>
                </c:pt>
                <c:pt idx="232">
                  <c:v>102</c:v>
                </c:pt>
                <c:pt idx="233">
                  <c:v>102</c:v>
                </c:pt>
                <c:pt idx="234">
                  <c:v>102</c:v>
                </c:pt>
                <c:pt idx="235">
                  <c:v>102</c:v>
                </c:pt>
                <c:pt idx="236">
                  <c:v>102</c:v>
                </c:pt>
                <c:pt idx="237">
                  <c:v>102</c:v>
                </c:pt>
                <c:pt idx="238">
                  <c:v>101</c:v>
                </c:pt>
                <c:pt idx="239">
                  <c:v>102</c:v>
                </c:pt>
                <c:pt idx="240">
                  <c:v>102</c:v>
                </c:pt>
                <c:pt idx="241">
                  <c:v>102</c:v>
                </c:pt>
                <c:pt idx="242">
                  <c:v>102</c:v>
                </c:pt>
                <c:pt idx="243">
                  <c:v>102</c:v>
                </c:pt>
                <c:pt idx="244">
                  <c:v>102</c:v>
                </c:pt>
                <c:pt idx="245">
                  <c:v>101</c:v>
                </c:pt>
                <c:pt idx="246">
                  <c:v>101</c:v>
                </c:pt>
                <c:pt idx="247">
                  <c:v>102</c:v>
                </c:pt>
                <c:pt idx="248">
                  <c:v>102</c:v>
                </c:pt>
                <c:pt idx="249">
                  <c:v>102</c:v>
                </c:pt>
                <c:pt idx="250">
                  <c:v>102</c:v>
                </c:pt>
                <c:pt idx="251">
                  <c:v>102</c:v>
                </c:pt>
                <c:pt idx="252">
                  <c:v>102</c:v>
                </c:pt>
                <c:pt idx="253">
                  <c:v>102</c:v>
                </c:pt>
                <c:pt idx="254">
                  <c:v>102</c:v>
                </c:pt>
                <c:pt idx="255">
                  <c:v>102</c:v>
                </c:pt>
                <c:pt idx="256">
                  <c:v>102</c:v>
                </c:pt>
                <c:pt idx="257">
                  <c:v>102</c:v>
                </c:pt>
                <c:pt idx="258">
                  <c:v>102</c:v>
                </c:pt>
                <c:pt idx="259">
                  <c:v>102</c:v>
                </c:pt>
                <c:pt idx="260">
                  <c:v>102</c:v>
                </c:pt>
                <c:pt idx="261">
                  <c:v>102</c:v>
                </c:pt>
                <c:pt idx="262">
                  <c:v>102</c:v>
                </c:pt>
                <c:pt idx="263">
                  <c:v>102</c:v>
                </c:pt>
                <c:pt idx="264">
                  <c:v>102</c:v>
                </c:pt>
                <c:pt idx="265">
                  <c:v>103</c:v>
                </c:pt>
                <c:pt idx="266">
                  <c:v>103</c:v>
                </c:pt>
                <c:pt idx="267">
                  <c:v>103</c:v>
                </c:pt>
                <c:pt idx="268">
                  <c:v>103</c:v>
                </c:pt>
                <c:pt idx="269">
                  <c:v>103</c:v>
                </c:pt>
                <c:pt idx="270">
                  <c:v>104</c:v>
                </c:pt>
                <c:pt idx="271">
                  <c:v>104</c:v>
                </c:pt>
                <c:pt idx="272">
                  <c:v>104</c:v>
                </c:pt>
                <c:pt idx="273">
                  <c:v>104</c:v>
                </c:pt>
                <c:pt idx="274">
                  <c:v>104</c:v>
                </c:pt>
                <c:pt idx="275">
                  <c:v>104</c:v>
                </c:pt>
                <c:pt idx="276">
                  <c:v>105</c:v>
                </c:pt>
                <c:pt idx="277">
                  <c:v>104</c:v>
                </c:pt>
                <c:pt idx="278">
                  <c:v>104</c:v>
                </c:pt>
                <c:pt idx="279">
                  <c:v>104</c:v>
                </c:pt>
                <c:pt idx="280">
                  <c:v>104</c:v>
                </c:pt>
                <c:pt idx="281">
                  <c:v>103</c:v>
                </c:pt>
                <c:pt idx="282">
                  <c:v>103</c:v>
                </c:pt>
                <c:pt idx="283">
                  <c:v>102</c:v>
                </c:pt>
                <c:pt idx="284">
                  <c:v>102</c:v>
                </c:pt>
                <c:pt idx="285">
                  <c:v>102</c:v>
                </c:pt>
                <c:pt idx="286">
                  <c:v>101</c:v>
                </c:pt>
                <c:pt idx="287">
                  <c:v>100</c:v>
                </c:pt>
                <c:pt idx="288">
                  <c:v>99</c:v>
                </c:pt>
                <c:pt idx="289">
                  <c:v>101</c:v>
                </c:pt>
                <c:pt idx="290">
                  <c:v>101</c:v>
                </c:pt>
                <c:pt idx="291">
                  <c:v>102</c:v>
                </c:pt>
                <c:pt idx="292">
                  <c:v>103</c:v>
                </c:pt>
                <c:pt idx="293">
                  <c:v>103</c:v>
                </c:pt>
                <c:pt idx="294">
                  <c:v>105</c:v>
                </c:pt>
                <c:pt idx="295">
                  <c:v>106</c:v>
                </c:pt>
                <c:pt idx="296">
                  <c:v>109</c:v>
                </c:pt>
                <c:pt idx="297">
                  <c:v>108</c:v>
                </c:pt>
                <c:pt idx="298">
                  <c:v>108</c:v>
                </c:pt>
                <c:pt idx="299">
                  <c:v>107</c:v>
                </c:pt>
                <c:pt idx="300">
                  <c:v>106</c:v>
                </c:pt>
                <c:pt idx="301">
                  <c:v>104</c:v>
                </c:pt>
                <c:pt idx="302">
                  <c:v>103</c:v>
                </c:pt>
                <c:pt idx="303">
                  <c:v>104</c:v>
                </c:pt>
                <c:pt idx="304">
                  <c:v>104</c:v>
                </c:pt>
                <c:pt idx="305">
                  <c:v>104</c:v>
                </c:pt>
                <c:pt idx="306">
                  <c:v>105</c:v>
                </c:pt>
                <c:pt idx="307">
                  <c:v>105</c:v>
                </c:pt>
                <c:pt idx="308">
                  <c:v>106</c:v>
                </c:pt>
                <c:pt idx="309">
                  <c:v>105</c:v>
                </c:pt>
                <c:pt idx="310">
                  <c:v>105</c:v>
                </c:pt>
                <c:pt idx="311">
                  <c:v>104</c:v>
                </c:pt>
                <c:pt idx="312">
                  <c:v>104</c:v>
                </c:pt>
                <c:pt idx="313">
                  <c:v>104</c:v>
                </c:pt>
                <c:pt idx="314">
                  <c:v>104</c:v>
                </c:pt>
                <c:pt idx="315">
                  <c:v>105</c:v>
                </c:pt>
                <c:pt idx="316">
                  <c:v>105</c:v>
                </c:pt>
                <c:pt idx="317">
                  <c:v>105</c:v>
                </c:pt>
                <c:pt idx="318">
                  <c:v>105</c:v>
                </c:pt>
                <c:pt idx="319">
                  <c:v>105</c:v>
                </c:pt>
                <c:pt idx="320">
                  <c:v>105</c:v>
                </c:pt>
                <c:pt idx="321">
                  <c:v>105</c:v>
                </c:pt>
                <c:pt idx="322">
                  <c:v>105</c:v>
                </c:pt>
                <c:pt idx="323">
                  <c:v>104</c:v>
                </c:pt>
                <c:pt idx="324">
                  <c:v>104</c:v>
                </c:pt>
                <c:pt idx="325">
                  <c:v>104</c:v>
                </c:pt>
                <c:pt idx="326">
                  <c:v>104</c:v>
                </c:pt>
                <c:pt idx="327">
                  <c:v>105</c:v>
                </c:pt>
                <c:pt idx="328">
                  <c:v>105</c:v>
                </c:pt>
                <c:pt idx="329">
                  <c:v>104</c:v>
                </c:pt>
                <c:pt idx="330">
                  <c:v>105</c:v>
                </c:pt>
                <c:pt idx="331">
                  <c:v>105</c:v>
                </c:pt>
                <c:pt idx="332">
                  <c:v>105</c:v>
                </c:pt>
                <c:pt idx="333">
                  <c:v>105</c:v>
                </c:pt>
                <c:pt idx="334">
                  <c:v>105</c:v>
                </c:pt>
                <c:pt idx="335">
                  <c:v>104</c:v>
                </c:pt>
                <c:pt idx="336">
                  <c:v>104</c:v>
                </c:pt>
                <c:pt idx="337">
                  <c:v>104</c:v>
                </c:pt>
                <c:pt idx="338">
                  <c:v>104</c:v>
                </c:pt>
                <c:pt idx="339">
                  <c:v>105</c:v>
                </c:pt>
                <c:pt idx="340">
                  <c:v>105</c:v>
                </c:pt>
                <c:pt idx="341">
                  <c:v>104</c:v>
                </c:pt>
                <c:pt idx="342">
                  <c:v>104</c:v>
                </c:pt>
                <c:pt idx="343">
                  <c:v>102</c:v>
                </c:pt>
                <c:pt idx="344">
                  <c:v>102</c:v>
                </c:pt>
                <c:pt idx="345">
                  <c:v>102</c:v>
                </c:pt>
                <c:pt idx="346">
                  <c:v>101</c:v>
                </c:pt>
                <c:pt idx="347">
                  <c:v>102</c:v>
                </c:pt>
                <c:pt idx="348">
                  <c:v>101</c:v>
                </c:pt>
                <c:pt idx="349">
                  <c:v>101</c:v>
                </c:pt>
                <c:pt idx="350">
                  <c:v>100</c:v>
                </c:pt>
                <c:pt idx="351">
                  <c:v>101</c:v>
                </c:pt>
                <c:pt idx="352">
                  <c:v>102</c:v>
                </c:pt>
                <c:pt idx="353">
                  <c:v>102</c:v>
                </c:pt>
                <c:pt idx="354">
                  <c:v>102</c:v>
                </c:pt>
                <c:pt idx="355">
                  <c:v>102</c:v>
                </c:pt>
                <c:pt idx="356">
                  <c:v>102</c:v>
                </c:pt>
                <c:pt idx="357">
                  <c:v>102</c:v>
                </c:pt>
                <c:pt idx="358">
                  <c:v>102</c:v>
                </c:pt>
                <c:pt idx="359">
                  <c:v>101</c:v>
                </c:pt>
                <c:pt idx="360">
                  <c:v>102</c:v>
                </c:pt>
                <c:pt idx="361">
                  <c:v>102</c:v>
                </c:pt>
                <c:pt idx="362">
                  <c:v>102</c:v>
                </c:pt>
                <c:pt idx="363">
                  <c:v>102</c:v>
                </c:pt>
                <c:pt idx="364">
                  <c:v>102</c:v>
                </c:pt>
                <c:pt idx="365">
                  <c:v>102</c:v>
                </c:pt>
                <c:pt idx="366">
                  <c:v>102</c:v>
                </c:pt>
                <c:pt idx="367">
                  <c:v>102</c:v>
                </c:pt>
                <c:pt idx="368">
                  <c:v>101</c:v>
                </c:pt>
                <c:pt idx="369">
                  <c:v>101</c:v>
                </c:pt>
                <c:pt idx="370">
                  <c:v>101</c:v>
                </c:pt>
                <c:pt idx="371">
                  <c:v>101</c:v>
                </c:pt>
                <c:pt idx="372">
                  <c:v>101</c:v>
                </c:pt>
                <c:pt idx="373">
                  <c:v>101</c:v>
                </c:pt>
                <c:pt idx="374">
                  <c:v>101</c:v>
                </c:pt>
                <c:pt idx="375">
                  <c:v>101</c:v>
                </c:pt>
                <c:pt idx="376">
                  <c:v>101</c:v>
                </c:pt>
                <c:pt idx="377">
                  <c:v>100</c:v>
                </c:pt>
                <c:pt idx="378">
                  <c:v>100</c:v>
                </c:pt>
                <c:pt idx="379">
                  <c:v>100</c:v>
                </c:pt>
                <c:pt idx="380">
                  <c:v>99</c:v>
                </c:pt>
                <c:pt idx="381">
                  <c:v>99</c:v>
                </c:pt>
                <c:pt idx="382">
                  <c:v>99</c:v>
                </c:pt>
                <c:pt idx="383">
                  <c:v>98</c:v>
                </c:pt>
                <c:pt idx="384">
                  <c:v>98</c:v>
                </c:pt>
                <c:pt idx="385">
                  <c:v>98</c:v>
                </c:pt>
                <c:pt idx="386">
                  <c:v>97</c:v>
                </c:pt>
                <c:pt idx="387">
                  <c:v>98</c:v>
                </c:pt>
                <c:pt idx="388">
                  <c:v>98</c:v>
                </c:pt>
                <c:pt idx="389">
                  <c:v>98</c:v>
                </c:pt>
                <c:pt idx="390">
                  <c:v>97</c:v>
                </c:pt>
                <c:pt idx="391">
                  <c:v>97</c:v>
                </c:pt>
                <c:pt idx="392">
                  <c:v>98</c:v>
                </c:pt>
                <c:pt idx="393">
                  <c:v>98</c:v>
                </c:pt>
                <c:pt idx="394">
                  <c:v>98</c:v>
                </c:pt>
                <c:pt idx="395">
                  <c:v>98</c:v>
                </c:pt>
                <c:pt idx="396">
                  <c:v>98</c:v>
                </c:pt>
                <c:pt idx="397">
                  <c:v>97</c:v>
                </c:pt>
                <c:pt idx="398">
                  <c:v>97</c:v>
                </c:pt>
                <c:pt idx="399">
                  <c:v>97</c:v>
                </c:pt>
                <c:pt idx="400">
                  <c:v>97</c:v>
                </c:pt>
                <c:pt idx="401">
                  <c:v>97</c:v>
                </c:pt>
                <c:pt idx="402">
                  <c:v>98</c:v>
                </c:pt>
                <c:pt idx="403">
                  <c:v>98</c:v>
                </c:pt>
                <c:pt idx="404">
                  <c:v>97</c:v>
                </c:pt>
                <c:pt idx="405">
                  <c:v>97</c:v>
                </c:pt>
                <c:pt idx="406">
                  <c:v>97</c:v>
                </c:pt>
                <c:pt idx="407">
                  <c:v>97</c:v>
                </c:pt>
                <c:pt idx="408">
                  <c:v>96</c:v>
                </c:pt>
                <c:pt idx="409">
                  <c:v>97</c:v>
                </c:pt>
                <c:pt idx="410">
                  <c:v>97</c:v>
                </c:pt>
                <c:pt idx="411">
                  <c:v>97</c:v>
                </c:pt>
                <c:pt idx="412">
                  <c:v>97</c:v>
                </c:pt>
                <c:pt idx="413">
                  <c:v>97</c:v>
                </c:pt>
                <c:pt idx="414">
                  <c:v>98</c:v>
                </c:pt>
                <c:pt idx="415">
                  <c:v>98</c:v>
                </c:pt>
                <c:pt idx="416">
                  <c:v>98</c:v>
                </c:pt>
                <c:pt idx="417">
                  <c:v>98</c:v>
                </c:pt>
                <c:pt idx="418">
                  <c:v>97</c:v>
                </c:pt>
                <c:pt idx="419">
                  <c:v>97</c:v>
                </c:pt>
                <c:pt idx="420">
                  <c:v>98</c:v>
                </c:pt>
                <c:pt idx="421">
                  <c:v>97</c:v>
                </c:pt>
                <c:pt idx="422">
                  <c:v>97</c:v>
                </c:pt>
                <c:pt idx="423">
                  <c:v>98</c:v>
                </c:pt>
                <c:pt idx="424">
                  <c:v>99</c:v>
                </c:pt>
                <c:pt idx="425">
                  <c:v>99</c:v>
                </c:pt>
                <c:pt idx="426">
                  <c:v>99</c:v>
                </c:pt>
                <c:pt idx="427">
                  <c:v>99</c:v>
                </c:pt>
                <c:pt idx="428">
                  <c:v>98</c:v>
                </c:pt>
                <c:pt idx="429">
                  <c:v>98</c:v>
                </c:pt>
                <c:pt idx="430">
                  <c:v>98</c:v>
                </c:pt>
                <c:pt idx="431">
                  <c:v>98</c:v>
                </c:pt>
                <c:pt idx="432">
                  <c:v>98</c:v>
                </c:pt>
                <c:pt idx="433">
                  <c:v>98</c:v>
                </c:pt>
                <c:pt idx="434">
                  <c:v>98</c:v>
                </c:pt>
                <c:pt idx="435">
                  <c:v>98</c:v>
                </c:pt>
                <c:pt idx="436">
                  <c:v>97</c:v>
                </c:pt>
                <c:pt idx="437">
                  <c:v>98</c:v>
                </c:pt>
                <c:pt idx="438">
                  <c:v>98</c:v>
                </c:pt>
                <c:pt idx="439">
                  <c:v>98</c:v>
                </c:pt>
                <c:pt idx="440">
                  <c:v>98</c:v>
                </c:pt>
                <c:pt idx="441">
                  <c:v>98</c:v>
                </c:pt>
                <c:pt idx="442">
                  <c:v>98</c:v>
                </c:pt>
                <c:pt idx="443">
                  <c:v>97</c:v>
                </c:pt>
                <c:pt idx="444">
                  <c:v>97</c:v>
                </c:pt>
                <c:pt idx="445">
                  <c:v>97</c:v>
                </c:pt>
                <c:pt idx="446">
                  <c:v>97</c:v>
                </c:pt>
                <c:pt idx="447">
                  <c:v>97</c:v>
                </c:pt>
                <c:pt idx="448">
                  <c:v>97</c:v>
                </c:pt>
                <c:pt idx="449">
                  <c:v>98</c:v>
                </c:pt>
                <c:pt idx="450">
                  <c:v>98</c:v>
                </c:pt>
                <c:pt idx="451">
                  <c:v>98</c:v>
                </c:pt>
                <c:pt idx="452">
                  <c:v>99</c:v>
                </c:pt>
                <c:pt idx="453">
                  <c:v>98</c:v>
                </c:pt>
                <c:pt idx="454">
                  <c:v>98</c:v>
                </c:pt>
                <c:pt idx="455">
                  <c:v>97</c:v>
                </c:pt>
                <c:pt idx="456">
                  <c:v>97</c:v>
                </c:pt>
                <c:pt idx="457">
                  <c:v>97</c:v>
                </c:pt>
                <c:pt idx="458">
                  <c:v>97</c:v>
                </c:pt>
                <c:pt idx="459">
                  <c:v>97</c:v>
                </c:pt>
                <c:pt idx="460">
                  <c:v>97</c:v>
                </c:pt>
                <c:pt idx="461">
                  <c:v>97</c:v>
                </c:pt>
                <c:pt idx="462">
                  <c:v>97</c:v>
                </c:pt>
                <c:pt idx="463">
                  <c:v>97</c:v>
                </c:pt>
                <c:pt idx="464">
                  <c:v>97</c:v>
                </c:pt>
                <c:pt idx="465">
                  <c:v>97</c:v>
                </c:pt>
                <c:pt idx="466">
                  <c:v>97</c:v>
                </c:pt>
                <c:pt idx="467">
                  <c:v>97</c:v>
                </c:pt>
                <c:pt idx="468">
                  <c:v>97</c:v>
                </c:pt>
                <c:pt idx="469">
                  <c:v>96</c:v>
                </c:pt>
                <c:pt idx="470">
                  <c:v>96</c:v>
                </c:pt>
                <c:pt idx="471">
                  <c:v>96</c:v>
                </c:pt>
                <c:pt idx="472">
                  <c:v>96</c:v>
                </c:pt>
                <c:pt idx="473">
                  <c:v>96</c:v>
                </c:pt>
                <c:pt idx="474">
                  <c:v>95</c:v>
                </c:pt>
                <c:pt idx="475">
                  <c:v>95</c:v>
                </c:pt>
                <c:pt idx="476">
                  <c:v>95</c:v>
                </c:pt>
                <c:pt idx="477">
                  <c:v>95</c:v>
                </c:pt>
                <c:pt idx="478">
                  <c:v>95</c:v>
                </c:pt>
                <c:pt idx="479">
                  <c:v>95</c:v>
                </c:pt>
                <c:pt idx="480">
                  <c:v>95</c:v>
                </c:pt>
                <c:pt idx="481">
                  <c:v>95</c:v>
                </c:pt>
                <c:pt idx="482">
                  <c:v>95</c:v>
                </c:pt>
                <c:pt idx="483">
                  <c:v>95</c:v>
                </c:pt>
                <c:pt idx="484">
                  <c:v>95</c:v>
                </c:pt>
                <c:pt idx="485">
                  <c:v>94</c:v>
                </c:pt>
                <c:pt idx="486">
                  <c:v>94</c:v>
                </c:pt>
                <c:pt idx="487">
                  <c:v>94</c:v>
                </c:pt>
                <c:pt idx="488">
                  <c:v>95</c:v>
                </c:pt>
                <c:pt idx="489">
                  <c:v>95</c:v>
                </c:pt>
                <c:pt idx="490">
                  <c:v>95</c:v>
                </c:pt>
                <c:pt idx="491">
                  <c:v>95</c:v>
                </c:pt>
                <c:pt idx="492">
                  <c:v>94</c:v>
                </c:pt>
                <c:pt idx="493">
                  <c:v>94</c:v>
                </c:pt>
                <c:pt idx="494">
                  <c:v>94</c:v>
                </c:pt>
                <c:pt idx="495">
                  <c:v>94</c:v>
                </c:pt>
                <c:pt idx="496">
                  <c:v>95</c:v>
                </c:pt>
                <c:pt idx="497">
                  <c:v>94</c:v>
                </c:pt>
                <c:pt idx="498">
                  <c:v>95</c:v>
                </c:pt>
                <c:pt idx="499">
                  <c:v>94</c:v>
                </c:pt>
                <c:pt idx="500">
                  <c:v>95</c:v>
                </c:pt>
                <c:pt idx="501">
                  <c:v>95</c:v>
                </c:pt>
                <c:pt idx="502">
                  <c:v>95</c:v>
                </c:pt>
                <c:pt idx="503">
                  <c:v>95</c:v>
                </c:pt>
                <c:pt idx="504">
                  <c:v>94</c:v>
                </c:pt>
                <c:pt idx="505">
                  <c:v>94</c:v>
                </c:pt>
                <c:pt idx="506">
                  <c:v>95</c:v>
                </c:pt>
                <c:pt idx="507">
                  <c:v>94</c:v>
                </c:pt>
                <c:pt idx="508">
                  <c:v>95</c:v>
                </c:pt>
                <c:pt idx="509">
                  <c:v>95</c:v>
                </c:pt>
                <c:pt idx="510">
                  <c:v>95</c:v>
                </c:pt>
                <c:pt idx="511">
                  <c:v>96</c:v>
                </c:pt>
                <c:pt idx="512">
                  <c:v>95</c:v>
                </c:pt>
                <c:pt idx="513">
                  <c:v>96</c:v>
                </c:pt>
                <c:pt idx="514">
                  <c:v>95</c:v>
                </c:pt>
                <c:pt idx="515">
                  <c:v>95</c:v>
                </c:pt>
                <c:pt idx="516">
                  <c:v>95</c:v>
                </c:pt>
                <c:pt idx="517">
                  <c:v>95</c:v>
                </c:pt>
                <c:pt idx="518">
                  <c:v>95</c:v>
                </c:pt>
                <c:pt idx="519">
                  <c:v>95</c:v>
                </c:pt>
                <c:pt idx="520">
                  <c:v>95</c:v>
                </c:pt>
                <c:pt idx="521">
                  <c:v>95</c:v>
                </c:pt>
                <c:pt idx="522">
                  <c:v>95</c:v>
                </c:pt>
                <c:pt idx="523">
                  <c:v>95</c:v>
                </c:pt>
                <c:pt idx="524">
                  <c:v>95</c:v>
                </c:pt>
                <c:pt idx="525">
                  <c:v>94</c:v>
                </c:pt>
                <c:pt idx="526">
                  <c:v>94</c:v>
                </c:pt>
                <c:pt idx="527">
                  <c:v>94</c:v>
                </c:pt>
                <c:pt idx="528">
                  <c:v>94</c:v>
                </c:pt>
                <c:pt idx="529">
                  <c:v>95</c:v>
                </c:pt>
                <c:pt idx="530">
                  <c:v>95</c:v>
                </c:pt>
                <c:pt idx="531">
                  <c:v>95</c:v>
                </c:pt>
                <c:pt idx="532">
                  <c:v>95</c:v>
                </c:pt>
                <c:pt idx="533">
                  <c:v>96</c:v>
                </c:pt>
                <c:pt idx="534">
                  <c:v>96</c:v>
                </c:pt>
                <c:pt idx="535">
                  <c:v>96</c:v>
                </c:pt>
                <c:pt idx="536">
                  <c:v>96</c:v>
                </c:pt>
                <c:pt idx="537">
                  <c:v>96</c:v>
                </c:pt>
                <c:pt idx="538">
                  <c:v>96</c:v>
                </c:pt>
                <c:pt idx="539">
                  <c:v>96</c:v>
                </c:pt>
                <c:pt idx="540">
                  <c:v>96</c:v>
                </c:pt>
                <c:pt idx="541">
                  <c:v>96</c:v>
                </c:pt>
                <c:pt idx="542">
                  <c:v>96</c:v>
                </c:pt>
                <c:pt idx="543">
                  <c:v>96</c:v>
                </c:pt>
                <c:pt idx="544">
                  <c:v>96</c:v>
                </c:pt>
                <c:pt idx="545">
                  <c:v>97</c:v>
                </c:pt>
                <c:pt idx="546">
                  <c:v>97</c:v>
                </c:pt>
                <c:pt idx="547">
                  <c:v>97</c:v>
                </c:pt>
                <c:pt idx="548">
                  <c:v>97</c:v>
                </c:pt>
                <c:pt idx="549">
                  <c:v>97</c:v>
                </c:pt>
                <c:pt idx="550">
                  <c:v>98</c:v>
                </c:pt>
                <c:pt idx="551">
                  <c:v>98</c:v>
                </c:pt>
                <c:pt idx="552">
                  <c:v>97</c:v>
                </c:pt>
                <c:pt idx="553">
                  <c:v>97</c:v>
                </c:pt>
                <c:pt idx="554">
                  <c:v>97</c:v>
                </c:pt>
                <c:pt idx="555">
                  <c:v>97</c:v>
                </c:pt>
                <c:pt idx="556">
                  <c:v>97</c:v>
                </c:pt>
                <c:pt idx="557" formatCode="0.00">
                  <c:v>96.43</c:v>
                </c:pt>
                <c:pt idx="558" formatCode="0.00">
                  <c:v>96.52</c:v>
                </c:pt>
                <c:pt idx="559" formatCode="0.00">
                  <c:v>96.51</c:v>
                </c:pt>
                <c:pt idx="560">
                  <c:v>96</c:v>
                </c:pt>
                <c:pt idx="561">
                  <c:v>96</c:v>
                </c:pt>
                <c:pt idx="562">
                  <c:v>96</c:v>
                </c:pt>
                <c:pt idx="563">
                  <c:v>96</c:v>
                </c:pt>
                <c:pt idx="564">
                  <c:v>95</c:v>
                </c:pt>
                <c:pt idx="565">
                  <c:v>96</c:v>
                </c:pt>
                <c:pt idx="566">
                  <c:v>95</c:v>
                </c:pt>
                <c:pt idx="567">
                  <c:v>96</c:v>
                </c:pt>
                <c:pt idx="568">
                  <c:v>95</c:v>
                </c:pt>
                <c:pt idx="569">
                  <c:v>95</c:v>
                </c:pt>
                <c:pt idx="570">
                  <c:v>95</c:v>
                </c:pt>
                <c:pt idx="571">
                  <c:v>95</c:v>
                </c:pt>
                <c:pt idx="572">
                  <c:v>95</c:v>
                </c:pt>
                <c:pt idx="573">
                  <c:v>96</c:v>
                </c:pt>
                <c:pt idx="574">
                  <c:v>95</c:v>
                </c:pt>
                <c:pt idx="575">
                  <c:v>96</c:v>
                </c:pt>
                <c:pt idx="576">
                  <c:v>96</c:v>
                </c:pt>
                <c:pt idx="577">
                  <c:v>95</c:v>
                </c:pt>
                <c:pt idx="578">
                  <c:v>94</c:v>
                </c:pt>
                <c:pt idx="579">
                  <c:v>94</c:v>
                </c:pt>
                <c:pt idx="580">
                  <c:v>94</c:v>
                </c:pt>
                <c:pt idx="581">
                  <c:v>95</c:v>
                </c:pt>
                <c:pt idx="582">
                  <c:v>95</c:v>
                </c:pt>
                <c:pt idx="583">
                  <c:v>95</c:v>
                </c:pt>
                <c:pt idx="584">
                  <c:v>94.4</c:v>
                </c:pt>
                <c:pt idx="585">
                  <c:v>94</c:v>
                </c:pt>
                <c:pt idx="586">
                  <c:v>94.5</c:v>
                </c:pt>
                <c:pt idx="587">
                  <c:v>94</c:v>
                </c:pt>
                <c:pt idx="588">
                  <c:v>93.9</c:v>
                </c:pt>
                <c:pt idx="589" formatCode="General">
                  <c:v>94.3</c:v>
                </c:pt>
                <c:pt idx="590" formatCode="General">
                  <c:v>94.2</c:v>
                </c:pt>
                <c:pt idx="591" formatCode="General">
                  <c:v>94.3</c:v>
                </c:pt>
                <c:pt idx="592" formatCode="General">
                  <c:v>94.1</c:v>
                </c:pt>
                <c:pt idx="593" formatCode="General">
                  <c:v>94.2</c:v>
                </c:pt>
                <c:pt idx="594" formatCode="General">
                  <c:v>94.8</c:v>
                </c:pt>
                <c:pt idx="595" formatCode="General">
                  <c:v>94.4</c:v>
                </c:pt>
                <c:pt idx="596" formatCode="General">
                  <c:v>94.2</c:v>
                </c:pt>
                <c:pt idx="597" formatCode="General">
                  <c:v>94.3</c:v>
                </c:pt>
                <c:pt idx="598" formatCode="General">
                  <c:v>94.4</c:v>
                </c:pt>
                <c:pt idx="599" formatCode="General">
                  <c:v>94.3</c:v>
                </c:pt>
                <c:pt idx="600" formatCode="General">
                  <c:v>94.8</c:v>
                </c:pt>
                <c:pt idx="601" formatCode="General">
                  <c:v>94.8</c:v>
                </c:pt>
                <c:pt idx="602" formatCode="General">
                  <c:v>94.8</c:v>
                </c:pt>
                <c:pt idx="603" formatCode="General">
                  <c:v>95.5</c:v>
                </c:pt>
                <c:pt idx="604" formatCode="General">
                  <c:v>96.2</c:v>
                </c:pt>
                <c:pt idx="605" formatCode="General">
                  <c:v>96.6</c:v>
                </c:pt>
                <c:pt idx="606" formatCode="General">
                  <c:v>96.2</c:v>
                </c:pt>
                <c:pt idx="607" formatCode="General">
                  <c:v>96.1</c:v>
                </c:pt>
                <c:pt idx="608" formatCode="General">
                  <c:v>96.1</c:v>
                </c:pt>
                <c:pt idx="609" formatCode="General">
                  <c:v>96.1</c:v>
                </c:pt>
                <c:pt idx="610" formatCode="General">
                  <c:v>96.2</c:v>
                </c:pt>
                <c:pt idx="611" formatCode="General">
                  <c:v>96.2</c:v>
                </c:pt>
                <c:pt idx="612" formatCode="General">
                  <c:v>96.4</c:v>
                </c:pt>
                <c:pt idx="613" formatCode="General">
                  <c:v>96.8</c:v>
                </c:pt>
                <c:pt idx="614" formatCode="General">
                  <c:v>97</c:v>
                </c:pt>
                <c:pt idx="615" formatCode="General">
                  <c:v>96.8</c:v>
                </c:pt>
                <c:pt idx="616" formatCode="General">
                  <c:v>96.9</c:v>
                </c:pt>
                <c:pt idx="617" formatCode="General">
                  <c:v>97</c:v>
                </c:pt>
                <c:pt idx="618" formatCode="General">
                  <c:v>96.8</c:v>
                </c:pt>
                <c:pt idx="619" formatCode="General">
                  <c:v>96.5</c:v>
                </c:pt>
                <c:pt idx="620" formatCode="General">
                  <c:v>96.6</c:v>
                </c:pt>
              </c:numCache>
            </c:numRef>
          </c:val>
          <c:smooth val="0"/>
          <c:extLst>
            <c:ext xmlns:c16="http://schemas.microsoft.com/office/drawing/2014/chart" uri="{C3380CC4-5D6E-409C-BE32-E72D297353CC}">
              <c16:uniqueId val="{00000003-5C27-41EC-B8F3-CB2673AED5CF}"/>
            </c:ext>
          </c:extLst>
        </c:ser>
        <c:dLbls>
          <c:showLegendKey val="0"/>
          <c:showVal val="0"/>
          <c:showCatName val="0"/>
          <c:showSerName val="0"/>
          <c:showPercent val="0"/>
          <c:showBubbleSize val="0"/>
        </c:dLbls>
        <c:smooth val="0"/>
        <c:axId val="129713664"/>
        <c:axId val="129715200"/>
      </c:lineChart>
      <c:dateAx>
        <c:axId val="129713664"/>
        <c:scaling>
          <c:orientation val="minMax"/>
        </c:scaling>
        <c:delete val="0"/>
        <c:axPos val="b"/>
        <c:numFmt formatCode="d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29715200"/>
        <c:crosses val="autoZero"/>
        <c:auto val="1"/>
        <c:lblOffset val="100"/>
        <c:baseTimeUnit val="days"/>
      </c:dateAx>
      <c:valAx>
        <c:axId val="129715200"/>
        <c:scaling>
          <c:orientation val="minMax"/>
          <c:max val="125"/>
          <c:min val="9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baseline="0">
                    <a:effectLst/>
                  </a:rPr>
                  <a:t>Ինդեքս՝ 2019 թ. հունվարի 8</a:t>
                </a:r>
                <a:endParaRPr lang="en-US" sz="800" b="0" i="0" u="none" strike="noStrike" baseline="0">
                  <a:effectLst/>
                </a:endParaRPr>
              </a:p>
              <a:p>
                <a:pPr>
                  <a:defRPr sz="800" b="0" i="0" u="none" strike="noStrike" kern="1200" baseline="0">
                    <a:solidFill>
                      <a:schemeClr val="tx1">
                        <a:lumMod val="65000"/>
                        <a:lumOff val="35000"/>
                      </a:schemeClr>
                    </a:solidFill>
                    <a:latin typeface="+mn-lt"/>
                    <a:ea typeface="+mn-ea"/>
                    <a:cs typeface="+mn-cs"/>
                  </a:defRPr>
                </a:pPr>
                <a:r>
                  <a:rPr lang="hy-AM" sz="800" b="0" i="0" u="none" strike="noStrike" baseline="0">
                    <a:effectLst/>
                  </a:rPr>
                  <a:t>=100</a:t>
                </a:r>
                <a:endParaRPr lang="en-US" sz="800"/>
              </a:p>
            </c:rich>
          </c:tx>
          <c:layout>
            <c:manualLayout>
              <c:xMode val="edge"/>
              <c:yMode val="edge"/>
              <c:x val="7.751937984496143E-3"/>
              <c:y val="8.4670206921809224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13664"/>
        <c:crosses val="autoZero"/>
        <c:crossBetween val="between"/>
      </c:valAx>
      <c:spPr>
        <a:noFill/>
        <a:ln>
          <a:noFill/>
        </a:ln>
        <a:effectLst/>
      </c:spPr>
    </c:plotArea>
    <c:legend>
      <c:legendPos val="b"/>
      <c:layout>
        <c:manualLayout>
          <c:xMode val="edge"/>
          <c:yMode val="edge"/>
          <c:x val="0"/>
          <c:y val="0.81035853771867028"/>
          <c:w val="0.99798755588566268"/>
          <c:h val="0.1896414622813296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38663563281004"/>
          <c:y val="4.912280701754386E-2"/>
          <c:w val="0.8114917710757853"/>
          <c:h val="0.65850145047658515"/>
        </c:manualLayout>
      </c:layout>
      <c:lineChart>
        <c:grouping val="standard"/>
        <c:varyColors val="0"/>
        <c:ser>
          <c:idx val="0"/>
          <c:order val="0"/>
          <c:tx>
            <c:strRef>
              <c:f>Sheet1!$A$2</c:f>
              <c:strCache>
                <c:ptCount val="1"/>
                <c:pt idx="0">
                  <c:v>Իրական փոփոխություն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Sheet1!$B$1:$F$1</c:f>
              <c:strCache>
                <c:ptCount val="5"/>
                <c:pt idx="0">
                  <c:v>հունվար</c:v>
                </c:pt>
                <c:pt idx="1">
                  <c:v>փետրվար</c:v>
                </c:pt>
                <c:pt idx="2">
                  <c:v>մարտ</c:v>
                </c:pt>
                <c:pt idx="3">
                  <c:v>ապրիլ</c:v>
                </c:pt>
                <c:pt idx="4">
                  <c:v>մայիս</c:v>
                </c:pt>
              </c:strCache>
            </c:strRef>
          </c:cat>
          <c:val>
            <c:numRef>
              <c:f>Sheet1!$B$2:$F$2</c:f>
              <c:numCache>
                <c:formatCode>0.0</c:formatCode>
                <c:ptCount val="5"/>
                <c:pt idx="0">
                  <c:v>-16.29043052313483</c:v>
                </c:pt>
                <c:pt idx="1">
                  <c:v>-14.133213866780892</c:v>
                </c:pt>
                <c:pt idx="2">
                  <c:v>-7.9905985835550268</c:v>
                </c:pt>
                <c:pt idx="3">
                  <c:v>3.3789448544991245</c:v>
                </c:pt>
                <c:pt idx="4">
                  <c:v>4.8035890392669245</c:v>
                </c:pt>
              </c:numCache>
            </c:numRef>
          </c:val>
          <c:smooth val="0"/>
          <c:extLst>
            <c:ext xmlns:c16="http://schemas.microsoft.com/office/drawing/2014/chart" uri="{C3380CC4-5D6E-409C-BE32-E72D297353CC}">
              <c16:uniqueId val="{00000000-4635-48F3-BBFF-5C5F8311E5B7}"/>
            </c:ext>
          </c:extLst>
        </c:ser>
        <c:ser>
          <c:idx val="1"/>
          <c:order val="1"/>
          <c:tx>
            <c:strRef>
              <c:f>Sheet1!$A$3</c:f>
              <c:strCache>
                <c:ptCount val="1"/>
                <c:pt idx="0">
                  <c:v>Գնային փոփոխություն</c:v>
                </c:pt>
              </c:strCache>
            </c:strRef>
          </c:tx>
          <c:spPr>
            <a:ln>
              <a:solidFill>
                <a:srgbClr val="C00000"/>
              </a:solidFill>
            </a:ln>
          </c:spPr>
          <c:marker>
            <c:spPr>
              <a:solidFill>
                <a:srgbClr val="C00000"/>
              </a:solidFill>
              <a:ln>
                <a:solidFill>
                  <a:srgbClr val="C00000"/>
                </a:solidFill>
              </a:ln>
            </c:spPr>
          </c:marker>
          <c:cat>
            <c:strRef>
              <c:f>Sheet1!$B$1:$F$1</c:f>
              <c:strCache>
                <c:ptCount val="5"/>
                <c:pt idx="0">
                  <c:v>հունվար</c:v>
                </c:pt>
                <c:pt idx="1">
                  <c:v>փետրվար</c:v>
                </c:pt>
                <c:pt idx="2">
                  <c:v>մարտ</c:v>
                </c:pt>
                <c:pt idx="3">
                  <c:v>ապրիլ</c:v>
                </c:pt>
                <c:pt idx="4">
                  <c:v>մայիս</c:v>
                </c:pt>
              </c:strCache>
            </c:strRef>
          </c:cat>
          <c:val>
            <c:numRef>
              <c:f>Sheet1!$B$3:$F$3</c:f>
              <c:numCache>
                <c:formatCode>0.0</c:formatCode>
                <c:ptCount val="5"/>
                <c:pt idx="0">
                  <c:v>19.65961740414653</c:v>
                </c:pt>
                <c:pt idx="1">
                  <c:v>21.637984274365536</c:v>
                </c:pt>
                <c:pt idx="2">
                  <c:v>22.380414099273295</c:v>
                </c:pt>
                <c:pt idx="3">
                  <c:v>22.166105819935652</c:v>
                </c:pt>
                <c:pt idx="4">
                  <c:v>24.821625868672129</c:v>
                </c:pt>
              </c:numCache>
            </c:numRef>
          </c:val>
          <c:smooth val="0"/>
          <c:extLst>
            <c:ext xmlns:c16="http://schemas.microsoft.com/office/drawing/2014/chart" uri="{C3380CC4-5D6E-409C-BE32-E72D297353CC}">
              <c16:uniqueId val="{00000001-4635-48F3-BBFF-5C5F8311E5B7}"/>
            </c:ext>
          </c:extLst>
        </c:ser>
        <c:dLbls>
          <c:showLegendKey val="0"/>
          <c:showVal val="0"/>
          <c:showCatName val="0"/>
          <c:showSerName val="0"/>
          <c:showPercent val="0"/>
          <c:showBubbleSize val="0"/>
        </c:dLbls>
        <c:marker val="1"/>
        <c:smooth val="0"/>
        <c:axId val="149385600"/>
        <c:axId val="149387520"/>
      </c:lineChart>
      <c:catAx>
        <c:axId val="1493856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9387520"/>
        <c:crosses val="autoZero"/>
        <c:auto val="1"/>
        <c:lblAlgn val="ctr"/>
        <c:lblOffset val="100"/>
        <c:noMultiLvlLbl val="0"/>
      </c:catAx>
      <c:valAx>
        <c:axId val="149387520"/>
        <c:scaling>
          <c:orientation val="minMax"/>
          <c:max val="3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9385600"/>
        <c:crosses val="autoZero"/>
        <c:crossBetween val="between"/>
        <c:majorUnit val="10"/>
      </c:valAx>
      <c:spPr>
        <a:noFill/>
        <a:ln>
          <a:noFill/>
        </a:ln>
        <a:effectLst/>
      </c:spPr>
    </c:plotArea>
    <c:legend>
      <c:legendPos val="b"/>
      <c:layout>
        <c:manualLayout>
          <c:xMode val="edge"/>
          <c:yMode val="edge"/>
          <c:x val="1.2903481404447125E-2"/>
          <c:y val="0.74575571992894862"/>
          <c:w val="0.94484293236930472"/>
          <c:h val="0.2138402396670117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5358700104683449"/>
          <c:h val="0.53218566100289999"/>
        </c:manualLayout>
      </c:layout>
      <c:lineChart>
        <c:grouping val="standard"/>
        <c:varyColors val="0"/>
        <c:ser>
          <c:idx val="0"/>
          <c:order val="0"/>
          <c:tx>
            <c:strRef>
              <c:f>Sheet1!$A$2</c:f>
              <c:strCache>
                <c:ptCount val="1"/>
                <c:pt idx="0">
                  <c:v>Անվանական 12 ամսյա փոփոխություն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Sheet1!$B$1:$F$1</c:f>
              <c:strCache>
                <c:ptCount val="5"/>
                <c:pt idx="0">
                  <c:v>հունվար</c:v>
                </c:pt>
                <c:pt idx="1">
                  <c:v>փետրվար</c:v>
                </c:pt>
                <c:pt idx="2">
                  <c:v>մարտ</c:v>
                </c:pt>
                <c:pt idx="3">
                  <c:v>ապրիլ</c:v>
                </c:pt>
                <c:pt idx="4">
                  <c:v>մայիս</c:v>
                </c:pt>
              </c:strCache>
            </c:strRef>
          </c:cat>
          <c:val>
            <c:numRef>
              <c:f>Sheet1!$B$2:$F$2</c:f>
              <c:numCache>
                <c:formatCode>0.0</c:formatCode>
                <c:ptCount val="5"/>
                <c:pt idx="0">
                  <c:v>-7.9032757155481477</c:v>
                </c:pt>
                <c:pt idx="1">
                  <c:v>-0.98160913983153364</c:v>
                </c:pt>
                <c:pt idx="2">
                  <c:v>19.892237673068863</c:v>
                </c:pt>
                <c:pt idx="3">
                  <c:v>65.08976385622276</c:v>
                </c:pt>
                <c:pt idx="4">
                  <c:v>36.673349626855014</c:v>
                </c:pt>
              </c:numCache>
            </c:numRef>
          </c:val>
          <c:smooth val="0"/>
          <c:extLst>
            <c:ext xmlns:c16="http://schemas.microsoft.com/office/drawing/2014/chart" uri="{C3380CC4-5D6E-409C-BE32-E72D297353CC}">
              <c16:uniqueId val="{00000000-7032-4A63-9812-823885DBF807}"/>
            </c:ext>
          </c:extLst>
        </c:ser>
        <c:ser>
          <c:idx val="1"/>
          <c:order val="1"/>
          <c:tx>
            <c:strRef>
              <c:f>Sheet1!$A$3</c:f>
              <c:strCache>
                <c:ptCount val="1"/>
                <c:pt idx="0">
                  <c:v>Անվանական կուտակային փոփոխություն</c:v>
                </c:pt>
              </c:strCache>
            </c:strRef>
          </c:tx>
          <c:spPr>
            <a:ln>
              <a:solidFill>
                <a:srgbClr val="C00000"/>
              </a:solidFill>
            </a:ln>
          </c:spPr>
          <c:marker>
            <c:spPr>
              <a:solidFill>
                <a:srgbClr val="C00000"/>
              </a:solidFill>
              <a:ln>
                <a:solidFill>
                  <a:srgbClr val="C00000"/>
                </a:solidFill>
              </a:ln>
            </c:spPr>
          </c:marker>
          <c:dLbls>
            <c:dLbl>
              <c:idx val="4"/>
              <c:layout>
                <c:manualLayout>
                  <c:x val="-5.4054054054054057E-2"/>
                  <c:y val="8.42105263157894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032-4A63-9812-823885DBF80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Sheet1!$B$1:$F$1</c:f>
              <c:strCache>
                <c:ptCount val="5"/>
                <c:pt idx="0">
                  <c:v>հունվար</c:v>
                </c:pt>
                <c:pt idx="1">
                  <c:v>փետրվար</c:v>
                </c:pt>
                <c:pt idx="2">
                  <c:v>մարտ</c:v>
                </c:pt>
                <c:pt idx="3">
                  <c:v>ապրիլ</c:v>
                </c:pt>
                <c:pt idx="4">
                  <c:v>մայիս</c:v>
                </c:pt>
              </c:strCache>
            </c:strRef>
          </c:cat>
          <c:val>
            <c:numRef>
              <c:f>Sheet1!$B$3:$F$3</c:f>
              <c:numCache>
                <c:formatCode>0.0</c:formatCode>
                <c:ptCount val="5"/>
                <c:pt idx="0">
                  <c:v>-7.9032757155480482</c:v>
                </c:pt>
                <c:pt idx="1">
                  <c:v>-4.2300982885071221</c:v>
                </c:pt>
                <c:pt idx="2">
                  <c:v>3.6179157176098755</c:v>
                </c:pt>
                <c:pt idx="3">
                  <c:v>16.517520057607697</c:v>
                </c:pt>
                <c:pt idx="4">
                  <c:v>20.846164561671927</c:v>
                </c:pt>
              </c:numCache>
            </c:numRef>
          </c:val>
          <c:smooth val="0"/>
          <c:extLst>
            <c:ext xmlns:c16="http://schemas.microsoft.com/office/drawing/2014/chart" uri="{C3380CC4-5D6E-409C-BE32-E72D297353CC}">
              <c16:uniqueId val="{00000002-7032-4A63-9812-823885DBF807}"/>
            </c:ext>
          </c:extLst>
        </c:ser>
        <c:dLbls>
          <c:showLegendKey val="0"/>
          <c:showVal val="0"/>
          <c:showCatName val="0"/>
          <c:showSerName val="0"/>
          <c:showPercent val="0"/>
          <c:showBubbleSize val="0"/>
        </c:dLbls>
        <c:marker val="1"/>
        <c:smooth val="0"/>
        <c:axId val="149214720"/>
        <c:axId val="149216256"/>
      </c:lineChart>
      <c:catAx>
        <c:axId val="1492147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9216256"/>
        <c:crosses val="autoZero"/>
        <c:auto val="1"/>
        <c:lblAlgn val="ctr"/>
        <c:lblOffset val="100"/>
        <c:noMultiLvlLbl val="0"/>
      </c:catAx>
      <c:valAx>
        <c:axId val="149216256"/>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9214720"/>
        <c:crosses val="autoZero"/>
        <c:crossBetween val="between"/>
        <c:majorUnit val="10"/>
      </c:valAx>
      <c:spPr>
        <a:noFill/>
        <a:ln>
          <a:noFill/>
        </a:ln>
        <a:effectLst/>
      </c:spPr>
    </c:plotArea>
    <c:legend>
      <c:legendPos val="b"/>
      <c:layout>
        <c:manualLayout>
          <c:xMode val="edge"/>
          <c:yMode val="edge"/>
          <c:x val="1.7440690881381768E-2"/>
          <c:y val="0.73505069761016884"/>
          <c:w val="0.97802150537634414"/>
          <c:h val="0.2228440392319382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21400231947778"/>
          <c:y val="6.636500754147813E-2"/>
          <c:w val="0.8241503387657938"/>
          <c:h val="0.65813850191802969"/>
        </c:manualLayout>
      </c:layout>
      <c:lineChart>
        <c:grouping val="standard"/>
        <c:varyColors val="0"/>
        <c:ser>
          <c:idx val="0"/>
          <c:order val="0"/>
          <c:tx>
            <c:strRef>
              <c:f>Sheet1!$A$2</c:f>
              <c:strCache>
                <c:ptCount val="1"/>
                <c:pt idx="0">
                  <c:v>Անվանական 12 ամսյա փոփոխություն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Sheet1!$B$1:$F$1</c:f>
              <c:strCache>
                <c:ptCount val="5"/>
                <c:pt idx="0">
                  <c:v>հունվար</c:v>
                </c:pt>
                <c:pt idx="1">
                  <c:v>փետրվար</c:v>
                </c:pt>
                <c:pt idx="2">
                  <c:v>մարտ</c:v>
                </c:pt>
                <c:pt idx="3">
                  <c:v>ապրիլ</c:v>
                </c:pt>
                <c:pt idx="4">
                  <c:v>մայիս</c:v>
                </c:pt>
              </c:strCache>
            </c:strRef>
          </c:cat>
          <c:val>
            <c:numRef>
              <c:f>Sheet1!$B$2:$F$2</c:f>
              <c:numCache>
                <c:formatCode>0.0</c:formatCode>
                <c:ptCount val="5"/>
                <c:pt idx="0">
                  <c:v>-19.529273519380197</c:v>
                </c:pt>
                <c:pt idx="1">
                  <c:v>-15.461705408054428</c:v>
                </c:pt>
                <c:pt idx="2">
                  <c:v>1.2279315242772668</c:v>
                </c:pt>
                <c:pt idx="3">
                  <c:v>39.75896628055321</c:v>
                </c:pt>
                <c:pt idx="4">
                  <c:v>34.393663184173136</c:v>
                </c:pt>
              </c:numCache>
            </c:numRef>
          </c:val>
          <c:smooth val="0"/>
          <c:extLst>
            <c:ext xmlns:c16="http://schemas.microsoft.com/office/drawing/2014/chart" uri="{C3380CC4-5D6E-409C-BE32-E72D297353CC}">
              <c16:uniqueId val="{00000000-27F2-41F2-9B03-BA9B639D05B3}"/>
            </c:ext>
          </c:extLst>
        </c:ser>
        <c:ser>
          <c:idx val="1"/>
          <c:order val="1"/>
          <c:tx>
            <c:strRef>
              <c:f>Sheet1!$A$3</c:f>
              <c:strCache>
                <c:ptCount val="1"/>
                <c:pt idx="0">
                  <c:v>Անվանական կուտակային փոփոխություն</c:v>
                </c:pt>
              </c:strCache>
            </c:strRef>
          </c:tx>
          <c:spPr>
            <a:ln>
              <a:solidFill>
                <a:srgbClr val="C00000"/>
              </a:solidFill>
            </a:ln>
          </c:spPr>
          <c:marker>
            <c:spPr>
              <a:solidFill>
                <a:srgbClr val="C00000"/>
              </a:solidFill>
              <a:ln>
                <a:solidFill>
                  <a:srgbClr val="C00000"/>
                </a:solidFill>
              </a:ln>
            </c:spPr>
          </c:marker>
          <c:dLbls>
            <c:dLbl>
              <c:idx val="4"/>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7F2-41F2-9B03-BA9B639D05B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Sheet1!$B$1:$F$1</c:f>
              <c:strCache>
                <c:ptCount val="5"/>
                <c:pt idx="0">
                  <c:v>հունվար</c:v>
                </c:pt>
                <c:pt idx="1">
                  <c:v>փետրվար</c:v>
                </c:pt>
                <c:pt idx="2">
                  <c:v>մարտ</c:v>
                </c:pt>
                <c:pt idx="3">
                  <c:v>ապրիլ</c:v>
                </c:pt>
                <c:pt idx="4">
                  <c:v>մայիս</c:v>
                </c:pt>
              </c:strCache>
            </c:strRef>
          </c:cat>
          <c:val>
            <c:numRef>
              <c:f>Sheet1!$B$3:$F$3</c:f>
              <c:numCache>
                <c:formatCode>0.0</c:formatCode>
                <c:ptCount val="5"/>
                <c:pt idx="0">
                  <c:v>-19.529273519380283</c:v>
                </c:pt>
                <c:pt idx="1">
                  <c:v>-17.29977755606285</c:v>
                </c:pt>
                <c:pt idx="2">
                  <c:v>-10.952506428933205</c:v>
                </c:pt>
                <c:pt idx="3">
                  <c:v>0.23245130964551208</c:v>
                </c:pt>
                <c:pt idx="4">
                  <c:v>6.6817385111675094</c:v>
                </c:pt>
              </c:numCache>
            </c:numRef>
          </c:val>
          <c:smooth val="0"/>
          <c:extLst>
            <c:ext xmlns:c16="http://schemas.microsoft.com/office/drawing/2014/chart" uri="{C3380CC4-5D6E-409C-BE32-E72D297353CC}">
              <c16:uniqueId val="{00000002-27F2-41F2-9B03-BA9B639D05B3}"/>
            </c:ext>
          </c:extLst>
        </c:ser>
        <c:dLbls>
          <c:showLegendKey val="0"/>
          <c:showVal val="0"/>
          <c:showCatName val="0"/>
          <c:showSerName val="0"/>
          <c:showPercent val="0"/>
          <c:showBubbleSize val="0"/>
        </c:dLbls>
        <c:marker val="1"/>
        <c:smooth val="0"/>
        <c:axId val="149329792"/>
        <c:axId val="149331328"/>
      </c:lineChart>
      <c:catAx>
        <c:axId val="1493297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9331328"/>
        <c:crosses val="autoZero"/>
        <c:auto val="1"/>
        <c:lblAlgn val="ctr"/>
        <c:lblOffset val="100"/>
        <c:noMultiLvlLbl val="0"/>
      </c:catAx>
      <c:valAx>
        <c:axId val="149331328"/>
        <c:scaling>
          <c:orientation val="minMax"/>
          <c:max val="4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9329792"/>
        <c:crosses val="autoZero"/>
        <c:crossBetween val="between"/>
        <c:majorUnit val="10"/>
      </c:valAx>
      <c:spPr>
        <a:noFill/>
        <a:ln>
          <a:noFill/>
        </a:ln>
        <a:effectLst/>
      </c:spPr>
    </c:plotArea>
    <c:legend>
      <c:legendPos val="b"/>
      <c:layout>
        <c:manualLayout>
          <c:xMode val="edge"/>
          <c:yMode val="edge"/>
          <c:x val="0"/>
          <c:y val="0.82552036199094858"/>
          <c:w val="1"/>
          <c:h val="0.1460488235430749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1438189791494"/>
          <c:y val="9.078014184397161E-2"/>
          <c:w val="0.8320738168598506"/>
          <c:h val="0.6545163798969551"/>
        </c:manualLayout>
      </c:layout>
      <c:lineChart>
        <c:grouping val="standard"/>
        <c:varyColors val="0"/>
        <c:ser>
          <c:idx val="0"/>
          <c:order val="0"/>
          <c:tx>
            <c:strRef>
              <c:f>Sheet1!$A$2</c:f>
              <c:strCache>
                <c:ptCount val="1"/>
                <c:pt idx="0">
                  <c:v>Իրական փոփոխություն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Sheet1!$B$1:$F$1</c:f>
              <c:strCache>
                <c:ptCount val="5"/>
                <c:pt idx="0">
                  <c:v>հունվար</c:v>
                </c:pt>
                <c:pt idx="1">
                  <c:v>փետրվար</c:v>
                </c:pt>
                <c:pt idx="2">
                  <c:v>մարտ</c:v>
                </c:pt>
                <c:pt idx="3">
                  <c:v>ապրիլ</c:v>
                </c:pt>
                <c:pt idx="4">
                  <c:v>մայիս</c:v>
                </c:pt>
              </c:strCache>
            </c:strRef>
          </c:cat>
          <c:val>
            <c:numRef>
              <c:f>Sheet1!$B$2:$F$2</c:f>
              <c:numCache>
                <c:formatCode>0.0</c:formatCode>
                <c:ptCount val="5"/>
                <c:pt idx="0">
                  <c:v>-16.126242967419174</c:v>
                </c:pt>
                <c:pt idx="1">
                  <c:v>-13.969583121443861</c:v>
                </c:pt>
                <c:pt idx="2">
                  <c:v>-9.6178787282900942</c:v>
                </c:pt>
                <c:pt idx="3">
                  <c:v>0.20519439517971705</c:v>
                </c:pt>
                <c:pt idx="4">
                  <c:v>5.7076639762596528</c:v>
                </c:pt>
              </c:numCache>
            </c:numRef>
          </c:val>
          <c:smooth val="0"/>
          <c:extLst>
            <c:ext xmlns:c16="http://schemas.microsoft.com/office/drawing/2014/chart" uri="{C3380CC4-5D6E-409C-BE32-E72D297353CC}">
              <c16:uniqueId val="{00000000-0A34-49A9-9821-0F86E9251F84}"/>
            </c:ext>
          </c:extLst>
        </c:ser>
        <c:ser>
          <c:idx val="1"/>
          <c:order val="1"/>
          <c:tx>
            <c:strRef>
              <c:f>Sheet1!$A$3</c:f>
              <c:strCache>
                <c:ptCount val="1"/>
                <c:pt idx="0">
                  <c:v>Գնային փոփոխություն</c:v>
                </c:pt>
              </c:strCache>
            </c:strRef>
          </c:tx>
          <c:spPr>
            <a:ln>
              <a:solidFill>
                <a:srgbClr val="C00000"/>
              </a:solidFill>
            </a:ln>
          </c:spPr>
          <c:marker>
            <c:spPr>
              <a:solidFill>
                <a:srgbClr val="C00000"/>
              </a:solidFill>
              <a:ln>
                <a:solidFill>
                  <a:srgbClr val="C00000"/>
                </a:solidFill>
              </a:ln>
            </c:spPr>
          </c:marker>
          <c:cat>
            <c:strRef>
              <c:f>Sheet1!$B$1:$F$1</c:f>
              <c:strCache>
                <c:ptCount val="5"/>
                <c:pt idx="0">
                  <c:v>հունվար</c:v>
                </c:pt>
                <c:pt idx="1">
                  <c:v>փետրվար</c:v>
                </c:pt>
                <c:pt idx="2">
                  <c:v>մարտ</c:v>
                </c:pt>
                <c:pt idx="3">
                  <c:v>ապրիլ</c:v>
                </c:pt>
                <c:pt idx="4">
                  <c:v>մայիս</c:v>
                </c:pt>
              </c:strCache>
            </c:strRef>
          </c:cat>
          <c:val>
            <c:numRef>
              <c:f>Sheet1!$B$3:$F$3</c:f>
              <c:numCache>
                <c:formatCode>0.0</c:formatCode>
                <c:ptCount val="5"/>
                <c:pt idx="0">
                  <c:v>4.3494969513496784</c:v>
                </c:pt>
                <c:pt idx="1">
                  <c:v>4.8383148200538244</c:v>
                </c:pt>
                <c:pt idx="2">
                  <c:v>7.0652268117635657</c:v>
                </c:pt>
                <c:pt idx="3">
                  <c:v>8.4200766278695056</c:v>
                </c:pt>
                <c:pt idx="4">
                  <c:v>9.2488133452767443</c:v>
                </c:pt>
              </c:numCache>
            </c:numRef>
          </c:val>
          <c:smooth val="0"/>
          <c:extLst>
            <c:ext xmlns:c16="http://schemas.microsoft.com/office/drawing/2014/chart" uri="{C3380CC4-5D6E-409C-BE32-E72D297353CC}">
              <c16:uniqueId val="{00000001-0A34-49A9-9821-0F86E9251F84}"/>
            </c:ext>
          </c:extLst>
        </c:ser>
        <c:dLbls>
          <c:showLegendKey val="0"/>
          <c:showVal val="0"/>
          <c:showCatName val="0"/>
          <c:showSerName val="0"/>
          <c:showPercent val="0"/>
          <c:showBubbleSize val="0"/>
        </c:dLbls>
        <c:marker val="1"/>
        <c:smooth val="0"/>
        <c:axId val="149485056"/>
        <c:axId val="149486976"/>
      </c:lineChart>
      <c:catAx>
        <c:axId val="1494850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9486976"/>
        <c:crosses val="autoZero"/>
        <c:auto val="1"/>
        <c:lblAlgn val="ctr"/>
        <c:lblOffset val="100"/>
        <c:noMultiLvlLbl val="0"/>
      </c:catAx>
      <c:valAx>
        <c:axId val="149486976"/>
        <c:scaling>
          <c:orientation val="minMax"/>
          <c:max val="1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9485056"/>
        <c:crosses val="autoZero"/>
        <c:crossBetween val="between"/>
        <c:majorUnit val="5"/>
      </c:valAx>
      <c:spPr>
        <a:noFill/>
        <a:ln>
          <a:noFill/>
        </a:ln>
        <a:effectLst/>
      </c:spPr>
    </c:plotArea>
    <c:legend>
      <c:legendPos val="b"/>
      <c:layout>
        <c:manualLayout>
          <c:xMode val="edge"/>
          <c:yMode val="edge"/>
          <c:x val="3.9658303581617572E-2"/>
          <c:y val="0.83684950019545556"/>
          <c:w val="0.92068339283676459"/>
          <c:h val="0.129107946613056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48326771653562"/>
          <c:y val="9.1389048471945289E-2"/>
          <c:w val="0.89352514220179968"/>
          <c:h val="0.68063487772182985"/>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Sheet1!$B$1:$K$1</c:f>
              <c:strCache>
                <c:ptCount val="9"/>
                <c:pt idx="0">
                  <c:v>2009</c:v>
                </c:pt>
                <c:pt idx="1">
                  <c:v>2010</c:v>
                </c:pt>
                <c:pt idx="2">
                  <c:v>...</c:v>
                </c:pt>
                <c:pt idx="3">
                  <c:v>2019</c:v>
                </c:pt>
                <c:pt idx="4">
                  <c:v>2020</c:v>
                </c:pt>
                <c:pt idx="5">
                  <c:v>2021</c:v>
                </c:pt>
                <c:pt idx="6">
                  <c:v>2022</c:v>
                </c:pt>
                <c:pt idx="7">
                  <c:v>2023</c:v>
                </c:pt>
                <c:pt idx="8">
                  <c:v>2024</c:v>
                </c:pt>
              </c:strCache>
            </c:strRef>
          </c:cat>
          <c:val>
            <c:numRef>
              <c:f>Sheet1!$B$2:$K$2</c:f>
              <c:numCache>
                <c:formatCode>#\,##0.0</c:formatCode>
                <c:ptCount val="9"/>
                <c:pt idx="0">
                  <c:v>18.030764842843368</c:v>
                </c:pt>
                <c:pt idx="1">
                  <c:v>23.872584985205389</c:v>
                </c:pt>
                <c:pt idx="3" formatCode="0.0">
                  <c:v>41.985467543342466</c:v>
                </c:pt>
                <c:pt idx="4" formatCode="0.0">
                  <c:v>29.764298371950591</c:v>
                </c:pt>
                <c:pt idx="5" formatCode="0.0">
                  <c:v>32.902667998836911</c:v>
                </c:pt>
                <c:pt idx="6" formatCode="0.0">
                  <c:v>34.756341334635053</c:v>
                </c:pt>
                <c:pt idx="7" formatCode="0.0">
                  <c:v>36.253587155934071</c:v>
                </c:pt>
                <c:pt idx="8" formatCode="0.0">
                  <c:v>37.199976381601282</c:v>
                </c:pt>
              </c:numCache>
            </c:numRef>
          </c:val>
          <c:extLst>
            <c:ext xmlns:c16="http://schemas.microsoft.com/office/drawing/2014/chart" uri="{C3380CC4-5D6E-409C-BE32-E72D297353CC}">
              <c16:uniqueId val="{00000000-C93F-4F98-BE1C-64A86BC5DAFB}"/>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Sheet1!$B$1:$K$1</c:f>
              <c:strCache>
                <c:ptCount val="9"/>
                <c:pt idx="0">
                  <c:v>2009</c:v>
                </c:pt>
                <c:pt idx="1">
                  <c:v>2010</c:v>
                </c:pt>
                <c:pt idx="2">
                  <c:v>...</c:v>
                </c:pt>
                <c:pt idx="3">
                  <c:v>2019</c:v>
                </c:pt>
                <c:pt idx="4">
                  <c:v>2020</c:v>
                </c:pt>
                <c:pt idx="5">
                  <c:v>2021</c:v>
                </c:pt>
                <c:pt idx="6">
                  <c:v>2022</c:v>
                </c:pt>
                <c:pt idx="7">
                  <c:v>2023</c:v>
                </c:pt>
                <c:pt idx="8">
                  <c:v>2024</c:v>
                </c:pt>
              </c:strCache>
            </c:strRef>
          </c:cat>
          <c:val>
            <c:numRef>
              <c:f>Sheet1!$B$3:$K$3</c:f>
              <c:numCache>
                <c:formatCode>#\,##0.0</c:formatCode>
                <c:ptCount val="9"/>
                <c:pt idx="0">
                  <c:v>-19.773709903356107</c:v>
                </c:pt>
                <c:pt idx="1">
                  <c:v>41.77337373770419</c:v>
                </c:pt>
                <c:pt idx="3" formatCode="0.0">
                  <c:v>15.709804500958342</c:v>
                </c:pt>
                <c:pt idx="4" formatCode="0.0">
                  <c:v>-34.198868672796166</c:v>
                </c:pt>
                <c:pt idx="5" formatCode="0.0">
                  <c:v>18.185232354980201</c:v>
                </c:pt>
                <c:pt idx="6" formatCode="0.0">
                  <c:v>14.971634051403711</c:v>
                </c:pt>
                <c:pt idx="7" formatCode="0.0">
                  <c:v>12.019397428942227</c:v>
                </c:pt>
                <c:pt idx="8" formatCode="0.0">
                  <c:v>10.40050535254089</c:v>
                </c:pt>
              </c:numCache>
            </c:numRef>
          </c:val>
          <c:extLst>
            <c:ext xmlns:c16="http://schemas.microsoft.com/office/drawing/2014/chart" uri="{C3380CC4-5D6E-409C-BE32-E72D297353CC}">
              <c16:uniqueId val="{00000001-C93F-4F98-BE1C-64A86BC5DAFB}"/>
            </c:ext>
          </c:extLst>
        </c:ser>
        <c:dLbls>
          <c:showLegendKey val="0"/>
          <c:showVal val="0"/>
          <c:showCatName val="0"/>
          <c:showSerName val="0"/>
          <c:showPercent val="0"/>
          <c:showBubbleSize val="0"/>
        </c:dLbls>
        <c:gapWidth val="150"/>
        <c:axId val="149534592"/>
        <c:axId val="149536128"/>
      </c:barChart>
      <c:catAx>
        <c:axId val="1495345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9536128"/>
        <c:crosses val="autoZero"/>
        <c:auto val="1"/>
        <c:lblAlgn val="ctr"/>
        <c:lblOffset val="100"/>
        <c:noMultiLvlLbl val="0"/>
      </c:catAx>
      <c:valAx>
        <c:axId val="149536128"/>
        <c:scaling>
          <c:orientation val="minMax"/>
          <c:max val="45"/>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9534592"/>
        <c:crosses val="autoZero"/>
        <c:crossBetween val="between"/>
        <c:majorUnit val="20"/>
      </c:valAx>
      <c:spPr>
        <a:noFill/>
        <a:ln>
          <a:noFill/>
        </a:ln>
        <a:effectLst/>
      </c:spPr>
    </c:plotArea>
    <c:legend>
      <c:legendPos val="b"/>
      <c:layout>
        <c:manualLayout>
          <c:xMode val="edge"/>
          <c:yMode val="edge"/>
          <c:x val="0.05"/>
          <c:y val="0.91940387279916191"/>
          <c:w val="0.92515703461595589"/>
          <c:h val="7.753569794601392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7462150075816"/>
          <c:y val="9.8556430446194554E-2"/>
          <c:w val="0.8528251014077799"/>
          <c:h val="0.64581645243062558"/>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Sheet1!$B$1:$K$1</c:f>
              <c:strCache>
                <c:ptCount val="9"/>
                <c:pt idx="0">
                  <c:v>2009</c:v>
                </c:pt>
                <c:pt idx="1">
                  <c:v>2010</c:v>
                </c:pt>
                <c:pt idx="2">
                  <c:v>Column1</c:v>
                </c:pt>
                <c:pt idx="3">
                  <c:v>2019</c:v>
                </c:pt>
                <c:pt idx="4">
                  <c:v>2020</c:v>
                </c:pt>
                <c:pt idx="5">
                  <c:v>2021</c:v>
                </c:pt>
                <c:pt idx="6">
                  <c:v>2022</c:v>
                </c:pt>
                <c:pt idx="7">
                  <c:v>2023</c:v>
                </c:pt>
                <c:pt idx="8">
                  <c:v>2024</c:v>
                </c:pt>
              </c:strCache>
            </c:strRef>
          </c:cat>
          <c:val>
            <c:numRef>
              <c:f>Sheet1!$B$2:$K$2</c:f>
              <c:numCache>
                <c:formatCode>#\,##0.0</c:formatCode>
                <c:ptCount val="9"/>
                <c:pt idx="0">
                  <c:v>45.392955666919889</c:v>
                </c:pt>
                <c:pt idx="1">
                  <c:v>48.995851468704608</c:v>
                </c:pt>
                <c:pt idx="3" formatCode="0.0">
                  <c:v>55.164226569505161</c:v>
                </c:pt>
                <c:pt idx="4" formatCode="0.0">
                  <c:v>39.70086105537515</c:v>
                </c:pt>
                <c:pt idx="5" formatCode="0.0">
                  <c:v>43.17933096018843</c:v>
                </c:pt>
                <c:pt idx="6" formatCode="0.0">
                  <c:v>45.697840148557972</c:v>
                </c:pt>
                <c:pt idx="7" formatCode="0.0">
                  <c:v>47.27276912120341</c:v>
                </c:pt>
                <c:pt idx="8" formatCode="0.0">
                  <c:v>47.985028520940901</c:v>
                </c:pt>
              </c:numCache>
            </c:numRef>
          </c:val>
          <c:extLst>
            <c:ext xmlns:c16="http://schemas.microsoft.com/office/drawing/2014/chart" uri="{C3380CC4-5D6E-409C-BE32-E72D297353CC}">
              <c16:uniqueId val="{00000000-1F4F-428D-874C-2C501E9C7F3E}"/>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Sheet1!$B$1:$K$1</c:f>
              <c:strCache>
                <c:ptCount val="9"/>
                <c:pt idx="0">
                  <c:v>2009</c:v>
                </c:pt>
                <c:pt idx="1">
                  <c:v>2010</c:v>
                </c:pt>
                <c:pt idx="2">
                  <c:v>Column1</c:v>
                </c:pt>
                <c:pt idx="3">
                  <c:v>2019</c:v>
                </c:pt>
                <c:pt idx="4">
                  <c:v>2020</c:v>
                </c:pt>
                <c:pt idx="5">
                  <c:v>2021</c:v>
                </c:pt>
                <c:pt idx="6">
                  <c:v>2022</c:v>
                </c:pt>
                <c:pt idx="7">
                  <c:v>2023</c:v>
                </c:pt>
                <c:pt idx="8">
                  <c:v>2024</c:v>
                </c:pt>
              </c:strCache>
            </c:strRef>
          </c:cat>
          <c:val>
            <c:numRef>
              <c:f>Sheet1!$B$3:$K$3</c:f>
              <c:numCache>
                <c:formatCode>#\,##0.0</c:formatCode>
                <c:ptCount val="9"/>
                <c:pt idx="0">
                  <c:v>-22.58933683177068</c:v>
                </c:pt>
                <c:pt idx="1">
                  <c:v>15.579343442577226</c:v>
                </c:pt>
                <c:pt idx="3" formatCode="0.0">
                  <c:v>13.120372725442422</c:v>
                </c:pt>
                <c:pt idx="4" formatCode="0.0">
                  <c:v>-33.19959470782247</c:v>
                </c:pt>
                <c:pt idx="5" formatCode="0.0">
                  <c:v>16.279653876229162</c:v>
                </c:pt>
                <c:pt idx="6" formatCode="0.0">
                  <c:v>15.188077718421937</c:v>
                </c:pt>
                <c:pt idx="7" formatCode="0.0">
                  <c:v>11.094272624271582</c:v>
                </c:pt>
                <c:pt idx="8" formatCode="0.0">
                  <c:v>9.2129394873154524</c:v>
                </c:pt>
              </c:numCache>
            </c:numRef>
          </c:val>
          <c:extLst>
            <c:ext xmlns:c16="http://schemas.microsoft.com/office/drawing/2014/chart" uri="{C3380CC4-5D6E-409C-BE32-E72D297353CC}">
              <c16:uniqueId val="{00000001-1F4F-428D-874C-2C501E9C7F3E}"/>
            </c:ext>
          </c:extLst>
        </c:ser>
        <c:dLbls>
          <c:showLegendKey val="0"/>
          <c:showVal val="0"/>
          <c:showCatName val="0"/>
          <c:showSerName val="0"/>
          <c:showPercent val="0"/>
          <c:showBubbleSize val="0"/>
        </c:dLbls>
        <c:gapWidth val="150"/>
        <c:axId val="149604992"/>
        <c:axId val="149606784"/>
      </c:barChart>
      <c:catAx>
        <c:axId val="1496049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9606784"/>
        <c:crosses val="autoZero"/>
        <c:auto val="1"/>
        <c:lblAlgn val="ctr"/>
        <c:lblOffset val="100"/>
        <c:noMultiLvlLbl val="0"/>
      </c:catAx>
      <c:valAx>
        <c:axId val="149606784"/>
        <c:scaling>
          <c:orientation val="minMax"/>
          <c:max val="60"/>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9604992"/>
        <c:crosses val="autoZero"/>
        <c:crossBetween val="between"/>
        <c:majorUnit val="20"/>
      </c:valAx>
      <c:spPr>
        <a:noFill/>
        <a:ln>
          <a:noFill/>
        </a:ln>
        <a:effectLst/>
      </c:spPr>
    </c:plotArea>
    <c:legend>
      <c:legendPos val="b"/>
      <c:layout>
        <c:manualLayout>
          <c:xMode val="edge"/>
          <c:yMode val="edge"/>
          <c:x val="4.9999900955776937E-2"/>
          <c:y val="0.9160701503221188"/>
          <c:w val="0.92515703461595589"/>
          <c:h val="8.392984967788148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80962686681708"/>
          <c:y val="6.2146892655367263E-2"/>
          <c:w val="0.80331873409440868"/>
          <c:h val="0.5938454990423494"/>
        </c:manualLayout>
      </c:layout>
      <c:lineChart>
        <c:grouping val="standard"/>
        <c:varyColors val="0"/>
        <c:ser>
          <c:idx val="0"/>
          <c:order val="0"/>
          <c:tx>
            <c:strRef>
              <c:f>Sheet1!$B$1</c:f>
              <c:strCache>
                <c:ptCount val="1"/>
                <c:pt idx="0">
                  <c:v>USD/AMD</c:v>
                </c:pt>
              </c:strCache>
            </c:strRef>
          </c:tx>
          <c:spPr>
            <a:ln w="28575" cap="rnd">
              <a:solidFill>
                <a:srgbClr val="0070C0"/>
              </a:solidFill>
              <a:round/>
            </a:ln>
            <a:effectLst/>
          </c:spPr>
          <c:marker>
            <c:symbol val="none"/>
          </c:marker>
          <c:cat>
            <c:numRef>
              <c:f>Sheet1!$A$2:$A$876</c:f>
              <c:numCache>
                <c:formatCode>m\/d\/yyyy</c:formatCode>
                <c:ptCount val="875"/>
                <c:pt idx="0">
                  <c:v>43108</c:v>
                </c:pt>
                <c:pt idx="1">
                  <c:v>43109</c:v>
                </c:pt>
                <c:pt idx="2">
                  <c:v>43110</c:v>
                </c:pt>
                <c:pt idx="3">
                  <c:v>43111</c:v>
                </c:pt>
                <c:pt idx="4">
                  <c:v>43112</c:v>
                </c:pt>
                <c:pt idx="5">
                  <c:v>43115</c:v>
                </c:pt>
                <c:pt idx="6">
                  <c:v>43116</c:v>
                </c:pt>
                <c:pt idx="7">
                  <c:v>43117</c:v>
                </c:pt>
                <c:pt idx="8">
                  <c:v>43118</c:v>
                </c:pt>
                <c:pt idx="9">
                  <c:v>43119</c:v>
                </c:pt>
                <c:pt idx="10">
                  <c:v>43122</c:v>
                </c:pt>
                <c:pt idx="11">
                  <c:v>43123</c:v>
                </c:pt>
                <c:pt idx="12">
                  <c:v>43124</c:v>
                </c:pt>
                <c:pt idx="13">
                  <c:v>43125</c:v>
                </c:pt>
                <c:pt idx="14">
                  <c:v>43126</c:v>
                </c:pt>
                <c:pt idx="15">
                  <c:v>43129</c:v>
                </c:pt>
                <c:pt idx="16">
                  <c:v>43130</c:v>
                </c:pt>
                <c:pt idx="17">
                  <c:v>43131</c:v>
                </c:pt>
                <c:pt idx="18">
                  <c:v>43132</c:v>
                </c:pt>
                <c:pt idx="19">
                  <c:v>43133</c:v>
                </c:pt>
                <c:pt idx="20">
                  <c:v>43136</c:v>
                </c:pt>
                <c:pt idx="21">
                  <c:v>43137</c:v>
                </c:pt>
                <c:pt idx="22">
                  <c:v>43138</c:v>
                </c:pt>
                <c:pt idx="23">
                  <c:v>43139</c:v>
                </c:pt>
                <c:pt idx="24">
                  <c:v>43140</c:v>
                </c:pt>
                <c:pt idx="25">
                  <c:v>43143</c:v>
                </c:pt>
                <c:pt idx="26">
                  <c:v>43144</c:v>
                </c:pt>
                <c:pt idx="27">
                  <c:v>43145</c:v>
                </c:pt>
                <c:pt idx="28">
                  <c:v>43146</c:v>
                </c:pt>
                <c:pt idx="29">
                  <c:v>43147</c:v>
                </c:pt>
                <c:pt idx="30">
                  <c:v>43150</c:v>
                </c:pt>
                <c:pt idx="31">
                  <c:v>43151</c:v>
                </c:pt>
                <c:pt idx="32">
                  <c:v>43152</c:v>
                </c:pt>
                <c:pt idx="33">
                  <c:v>43153</c:v>
                </c:pt>
                <c:pt idx="34">
                  <c:v>43154</c:v>
                </c:pt>
                <c:pt idx="35">
                  <c:v>43157</c:v>
                </c:pt>
                <c:pt idx="36">
                  <c:v>43158</c:v>
                </c:pt>
                <c:pt idx="37">
                  <c:v>43159</c:v>
                </c:pt>
                <c:pt idx="38">
                  <c:v>43160</c:v>
                </c:pt>
                <c:pt idx="39">
                  <c:v>43161</c:v>
                </c:pt>
                <c:pt idx="40">
                  <c:v>43164</c:v>
                </c:pt>
                <c:pt idx="41">
                  <c:v>43165</c:v>
                </c:pt>
                <c:pt idx="42">
                  <c:v>43166</c:v>
                </c:pt>
                <c:pt idx="43">
                  <c:v>43171</c:v>
                </c:pt>
                <c:pt idx="44">
                  <c:v>43172</c:v>
                </c:pt>
                <c:pt idx="45">
                  <c:v>43173</c:v>
                </c:pt>
                <c:pt idx="46">
                  <c:v>43174</c:v>
                </c:pt>
                <c:pt idx="47">
                  <c:v>43175</c:v>
                </c:pt>
                <c:pt idx="48">
                  <c:v>43176</c:v>
                </c:pt>
                <c:pt idx="49">
                  <c:v>43178</c:v>
                </c:pt>
                <c:pt idx="50">
                  <c:v>43179</c:v>
                </c:pt>
                <c:pt idx="51">
                  <c:v>43180</c:v>
                </c:pt>
                <c:pt idx="52">
                  <c:v>43181</c:v>
                </c:pt>
                <c:pt idx="53">
                  <c:v>43182</c:v>
                </c:pt>
                <c:pt idx="54">
                  <c:v>43185</c:v>
                </c:pt>
                <c:pt idx="55">
                  <c:v>43186</c:v>
                </c:pt>
                <c:pt idx="56">
                  <c:v>43187</c:v>
                </c:pt>
                <c:pt idx="57">
                  <c:v>43188</c:v>
                </c:pt>
                <c:pt idx="58">
                  <c:v>43189</c:v>
                </c:pt>
                <c:pt idx="59">
                  <c:v>43193</c:v>
                </c:pt>
                <c:pt idx="60">
                  <c:v>43194</c:v>
                </c:pt>
                <c:pt idx="61">
                  <c:v>43195</c:v>
                </c:pt>
                <c:pt idx="62">
                  <c:v>43196</c:v>
                </c:pt>
                <c:pt idx="63">
                  <c:v>43197</c:v>
                </c:pt>
                <c:pt idx="64">
                  <c:v>43199</c:v>
                </c:pt>
                <c:pt idx="65">
                  <c:v>43200</c:v>
                </c:pt>
                <c:pt idx="66">
                  <c:v>43201</c:v>
                </c:pt>
                <c:pt idx="67">
                  <c:v>43202</c:v>
                </c:pt>
                <c:pt idx="68">
                  <c:v>43203</c:v>
                </c:pt>
                <c:pt idx="69">
                  <c:v>43206</c:v>
                </c:pt>
                <c:pt idx="70">
                  <c:v>43207</c:v>
                </c:pt>
                <c:pt idx="71">
                  <c:v>43208</c:v>
                </c:pt>
                <c:pt idx="72">
                  <c:v>43209</c:v>
                </c:pt>
                <c:pt idx="73">
                  <c:v>43210</c:v>
                </c:pt>
                <c:pt idx="74">
                  <c:v>43213</c:v>
                </c:pt>
                <c:pt idx="75">
                  <c:v>43215</c:v>
                </c:pt>
                <c:pt idx="76">
                  <c:v>43216</c:v>
                </c:pt>
                <c:pt idx="77">
                  <c:v>43217</c:v>
                </c:pt>
                <c:pt idx="78">
                  <c:v>43222</c:v>
                </c:pt>
                <c:pt idx="79">
                  <c:v>43223</c:v>
                </c:pt>
                <c:pt idx="80">
                  <c:v>43224</c:v>
                </c:pt>
                <c:pt idx="81">
                  <c:v>43225</c:v>
                </c:pt>
                <c:pt idx="82">
                  <c:v>43227</c:v>
                </c:pt>
                <c:pt idx="83">
                  <c:v>43228</c:v>
                </c:pt>
                <c:pt idx="84">
                  <c:v>43230</c:v>
                </c:pt>
                <c:pt idx="85">
                  <c:v>43231</c:v>
                </c:pt>
                <c:pt idx="86">
                  <c:v>43234</c:v>
                </c:pt>
                <c:pt idx="87">
                  <c:v>43235</c:v>
                </c:pt>
                <c:pt idx="88">
                  <c:v>43236</c:v>
                </c:pt>
                <c:pt idx="89">
                  <c:v>43237</c:v>
                </c:pt>
                <c:pt idx="90">
                  <c:v>43238</c:v>
                </c:pt>
                <c:pt idx="91">
                  <c:v>43241</c:v>
                </c:pt>
                <c:pt idx="92">
                  <c:v>43242</c:v>
                </c:pt>
                <c:pt idx="93">
                  <c:v>43243</c:v>
                </c:pt>
                <c:pt idx="94">
                  <c:v>43244</c:v>
                </c:pt>
                <c:pt idx="95">
                  <c:v>43245</c:v>
                </c:pt>
                <c:pt idx="96">
                  <c:v>43249</c:v>
                </c:pt>
                <c:pt idx="97">
                  <c:v>43250</c:v>
                </c:pt>
                <c:pt idx="98">
                  <c:v>43251</c:v>
                </c:pt>
                <c:pt idx="99">
                  <c:v>43252</c:v>
                </c:pt>
                <c:pt idx="100">
                  <c:v>43255</c:v>
                </c:pt>
                <c:pt idx="101">
                  <c:v>43256</c:v>
                </c:pt>
                <c:pt idx="102">
                  <c:v>43257</c:v>
                </c:pt>
                <c:pt idx="103">
                  <c:v>43258</c:v>
                </c:pt>
                <c:pt idx="104">
                  <c:v>43259</c:v>
                </c:pt>
                <c:pt idx="105">
                  <c:v>43262</c:v>
                </c:pt>
                <c:pt idx="106">
                  <c:v>43263</c:v>
                </c:pt>
                <c:pt idx="107">
                  <c:v>43264</c:v>
                </c:pt>
                <c:pt idx="108">
                  <c:v>43265</c:v>
                </c:pt>
                <c:pt idx="109">
                  <c:v>43266</c:v>
                </c:pt>
                <c:pt idx="110">
                  <c:v>43269</c:v>
                </c:pt>
                <c:pt idx="111">
                  <c:v>43270</c:v>
                </c:pt>
                <c:pt idx="112">
                  <c:v>43271</c:v>
                </c:pt>
                <c:pt idx="113">
                  <c:v>43272</c:v>
                </c:pt>
                <c:pt idx="114">
                  <c:v>43273</c:v>
                </c:pt>
                <c:pt idx="115">
                  <c:v>43276</c:v>
                </c:pt>
                <c:pt idx="116">
                  <c:v>43277</c:v>
                </c:pt>
                <c:pt idx="117">
                  <c:v>43278</c:v>
                </c:pt>
                <c:pt idx="118">
                  <c:v>43279</c:v>
                </c:pt>
                <c:pt idx="119">
                  <c:v>43280</c:v>
                </c:pt>
                <c:pt idx="120">
                  <c:v>43283</c:v>
                </c:pt>
                <c:pt idx="121">
                  <c:v>43284</c:v>
                </c:pt>
                <c:pt idx="122">
                  <c:v>43285</c:v>
                </c:pt>
                <c:pt idx="123">
                  <c:v>43287</c:v>
                </c:pt>
                <c:pt idx="124">
                  <c:v>43290</c:v>
                </c:pt>
                <c:pt idx="125">
                  <c:v>43291</c:v>
                </c:pt>
                <c:pt idx="126">
                  <c:v>43292</c:v>
                </c:pt>
                <c:pt idx="127">
                  <c:v>43293</c:v>
                </c:pt>
                <c:pt idx="128">
                  <c:v>43294</c:v>
                </c:pt>
                <c:pt idx="129">
                  <c:v>43297</c:v>
                </c:pt>
                <c:pt idx="130">
                  <c:v>43298</c:v>
                </c:pt>
                <c:pt idx="131">
                  <c:v>43299</c:v>
                </c:pt>
                <c:pt idx="132">
                  <c:v>43300</c:v>
                </c:pt>
                <c:pt idx="133">
                  <c:v>43301</c:v>
                </c:pt>
                <c:pt idx="134">
                  <c:v>43304</c:v>
                </c:pt>
                <c:pt idx="135">
                  <c:v>43305</c:v>
                </c:pt>
                <c:pt idx="136">
                  <c:v>43306</c:v>
                </c:pt>
                <c:pt idx="137">
                  <c:v>43307</c:v>
                </c:pt>
                <c:pt idx="138">
                  <c:v>43308</c:v>
                </c:pt>
                <c:pt idx="139">
                  <c:v>43311</c:v>
                </c:pt>
                <c:pt idx="140">
                  <c:v>43312</c:v>
                </c:pt>
                <c:pt idx="141">
                  <c:v>43313</c:v>
                </c:pt>
                <c:pt idx="142">
                  <c:v>43314</c:v>
                </c:pt>
                <c:pt idx="143">
                  <c:v>43315</c:v>
                </c:pt>
                <c:pt idx="144">
                  <c:v>43318</c:v>
                </c:pt>
                <c:pt idx="145">
                  <c:v>43319</c:v>
                </c:pt>
                <c:pt idx="146">
                  <c:v>43320</c:v>
                </c:pt>
                <c:pt idx="147">
                  <c:v>43321</c:v>
                </c:pt>
                <c:pt idx="148">
                  <c:v>43322</c:v>
                </c:pt>
                <c:pt idx="149">
                  <c:v>43325</c:v>
                </c:pt>
                <c:pt idx="150">
                  <c:v>43326</c:v>
                </c:pt>
                <c:pt idx="151">
                  <c:v>43327</c:v>
                </c:pt>
                <c:pt idx="152">
                  <c:v>43328</c:v>
                </c:pt>
                <c:pt idx="153">
                  <c:v>43329</c:v>
                </c:pt>
                <c:pt idx="154">
                  <c:v>43332</c:v>
                </c:pt>
                <c:pt idx="155">
                  <c:v>43333</c:v>
                </c:pt>
                <c:pt idx="156">
                  <c:v>43334</c:v>
                </c:pt>
                <c:pt idx="157">
                  <c:v>43335</c:v>
                </c:pt>
                <c:pt idx="158">
                  <c:v>43336</c:v>
                </c:pt>
                <c:pt idx="159">
                  <c:v>43339</c:v>
                </c:pt>
                <c:pt idx="160">
                  <c:v>43340</c:v>
                </c:pt>
                <c:pt idx="161">
                  <c:v>43341</c:v>
                </c:pt>
                <c:pt idx="162">
                  <c:v>43342</c:v>
                </c:pt>
                <c:pt idx="163">
                  <c:v>43343</c:v>
                </c:pt>
                <c:pt idx="164">
                  <c:v>43346</c:v>
                </c:pt>
                <c:pt idx="165">
                  <c:v>43347</c:v>
                </c:pt>
                <c:pt idx="166">
                  <c:v>43348</c:v>
                </c:pt>
                <c:pt idx="167">
                  <c:v>43349</c:v>
                </c:pt>
                <c:pt idx="168">
                  <c:v>43350</c:v>
                </c:pt>
                <c:pt idx="169">
                  <c:v>43353</c:v>
                </c:pt>
                <c:pt idx="170">
                  <c:v>43354</c:v>
                </c:pt>
                <c:pt idx="171">
                  <c:v>43355</c:v>
                </c:pt>
                <c:pt idx="172">
                  <c:v>43356</c:v>
                </c:pt>
                <c:pt idx="173">
                  <c:v>43357</c:v>
                </c:pt>
                <c:pt idx="174">
                  <c:v>43360</c:v>
                </c:pt>
                <c:pt idx="175">
                  <c:v>43361</c:v>
                </c:pt>
                <c:pt idx="176">
                  <c:v>43362</c:v>
                </c:pt>
                <c:pt idx="177">
                  <c:v>43363</c:v>
                </c:pt>
                <c:pt idx="178">
                  <c:v>43367</c:v>
                </c:pt>
                <c:pt idx="179">
                  <c:v>43368</c:v>
                </c:pt>
                <c:pt idx="180">
                  <c:v>43369</c:v>
                </c:pt>
                <c:pt idx="181">
                  <c:v>43370</c:v>
                </c:pt>
                <c:pt idx="182">
                  <c:v>43371</c:v>
                </c:pt>
                <c:pt idx="183">
                  <c:v>43374</c:v>
                </c:pt>
                <c:pt idx="184">
                  <c:v>43375</c:v>
                </c:pt>
                <c:pt idx="185">
                  <c:v>43376</c:v>
                </c:pt>
                <c:pt idx="186">
                  <c:v>43377</c:v>
                </c:pt>
                <c:pt idx="187">
                  <c:v>43378</c:v>
                </c:pt>
                <c:pt idx="188">
                  <c:v>43381</c:v>
                </c:pt>
                <c:pt idx="189">
                  <c:v>43382</c:v>
                </c:pt>
                <c:pt idx="190">
                  <c:v>43383</c:v>
                </c:pt>
                <c:pt idx="191">
                  <c:v>43388</c:v>
                </c:pt>
                <c:pt idx="192">
                  <c:v>43389</c:v>
                </c:pt>
                <c:pt idx="193">
                  <c:v>43390</c:v>
                </c:pt>
                <c:pt idx="194">
                  <c:v>43391</c:v>
                </c:pt>
                <c:pt idx="195">
                  <c:v>43392</c:v>
                </c:pt>
                <c:pt idx="196">
                  <c:v>43395</c:v>
                </c:pt>
                <c:pt idx="197">
                  <c:v>43396</c:v>
                </c:pt>
                <c:pt idx="198">
                  <c:v>43397</c:v>
                </c:pt>
                <c:pt idx="199">
                  <c:v>43398</c:v>
                </c:pt>
                <c:pt idx="200">
                  <c:v>43399</c:v>
                </c:pt>
                <c:pt idx="201">
                  <c:v>43400</c:v>
                </c:pt>
                <c:pt idx="202">
                  <c:v>43402</c:v>
                </c:pt>
                <c:pt idx="203">
                  <c:v>43403</c:v>
                </c:pt>
                <c:pt idx="204">
                  <c:v>43404</c:v>
                </c:pt>
                <c:pt idx="205">
                  <c:v>43405</c:v>
                </c:pt>
                <c:pt idx="206">
                  <c:v>43406</c:v>
                </c:pt>
                <c:pt idx="207">
                  <c:v>43407</c:v>
                </c:pt>
                <c:pt idx="208">
                  <c:v>43409</c:v>
                </c:pt>
                <c:pt idx="209">
                  <c:v>43410</c:v>
                </c:pt>
                <c:pt idx="210">
                  <c:v>43411</c:v>
                </c:pt>
                <c:pt idx="211">
                  <c:v>43412</c:v>
                </c:pt>
                <c:pt idx="212">
                  <c:v>43413</c:v>
                </c:pt>
                <c:pt idx="213">
                  <c:v>43416</c:v>
                </c:pt>
                <c:pt idx="214">
                  <c:v>43417</c:v>
                </c:pt>
                <c:pt idx="215">
                  <c:v>43418</c:v>
                </c:pt>
                <c:pt idx="216">
                  <c:v>43419</c:v>
                </c:pt>
                <c:pt idx="217">
                  <c:v>43420</c:v>
                </c:pt>
                <c:pt idx="218">
                  <c:v>43423</c:v>
                </c:pt>
                <c:pt idx="219">
                  <c:v>43424</c:v>
                </c:pt>
                <c:pt idx="220">
                  <c:v>43425</c:v>
                </c:pt>
                <c:pt idx="221">
                  <c:v>43426</c:v>
                </c:pt>
                <c:pt idx="222">
                  <c:v>43427</c:v>
                </c:pt>
                <c:pt idx="223">
                  <c:v>43430</c:v>
                </c:pt>
                <c:pt idx="224">
                  <c:v>43431</c:v>
                </c:pt>
                <c:pt idx="225">
                  <c:v>43432</c:v>
                </c:pt>
                <c:pt idx="226">
                  <c:v>43433</c:v>
                </c:pt>
                <c:pt idx="227">
                  <c:v>43434</c:v>
                </c:pt>
                <c:pt idx="228">
                  <c:v>43437</c:v>
                </c:pt>
                <c:pt idx="229">
                  <c:v>43438</c:v>
                </c:pt>
                <c:pt idx="230">
                  <c:v>43439</c:v>
                </c:pt>
                <c:pt idx="231">
                  <c:v>43440</c:v>
                </c:pt>
                <c:pt idx="232">
                  <c:v>43441</c:v>
                </c:pt>
                <c:pt idx="233">
                  <c:v>43444</c:v>
                </c:pt>
                <c:pt idx="234">
                  <c:v>43445</c:v>
                </c:pt>
                <c:pt idx="235">
                  <c:v>43446</c:v>
                </c:pt>
                <c:pt idx="236">
                  <c:v>43447</c:v>
                </c:pt>
                <c:pt idx="237">
                  <c:v>43448</c:v>
                </c:pt>
                <c:pt idx="238">
                  <c:v>43451</c:v>
                </c:pt>
                <c:pt idx="239">
                  <c:v>43452</c:v>
                </c:pt>
                <c:pt idx="240">
                  <c:v>43453</c:v>
                </c:pt>
                <c:pt idx="241">
                  <c:v>43454</c:v>
                </c:pt>
                <c:pt idx="242">
                  <c:v>43455</c:v>
                </c:pt>
                <c:pt idx="243">
                  <c:v>43458</c:v>
                </c:pt>
                <c:pt idx="244">
                  <c:v>43459</c:v>
                </c:pt>
                <c:pt idx="245">
                  <c:v>43460</c:v>
                </c:pt>
                <c:pt idx="246">
                  <c:v>43461</c:v>
                </c:pt>
                <c:pt idx="247">
                  <c:v>43462</c:v>
                </c:pt>
                <c:pt idx="248">
                  <c:v>43473</c:v>
                </c:pt>
                <c:pt idx="249">
                  <c:v>43474</c:v>
                </c:pt>
                <c:pt idx="250">
                  <c:v>43475</c:v>
                </c:pt>
                <c:pt idx="251">
                  <c:v>43476</c:v>
                </c:pt>
                <c:pt idx="252">
                  <c:v>43479</c:v>
                </c:pt>
                <c:pt idx="253">
                  <c:v>43480</c:v>
                </c:pt>
                <c:pt idx="254">
                  <c:v>43481</c:v>
                </c:pt>
                <c:pt idx="255">
                  <c:v>43482</c:v>
                </c:pt>
                <c:pt idx="256">
                  <c:v>43483</c:v>
                </c:pt>
                <c:pt idx="257">
                  <c:v>43486</c:v>
                </c:pt>
                <c:pt idx="258">
                  <c:v>43487</c:v>
                </c:pt>
                <c:pt idx="259">
                  <c:v>43488</c:v>
                </c:pt>
                <c:pt idx="260">
                  <c:v>43489</c:v>
                </c:pt>
                <c:pt idx="261">
                  <c:v>43490</c:v>
                </c:pt>
                <c:pt idx="262">
                  <c:v>43494</c:v>
                </c:pt>
                <c:pt idx="263">
                  <c:v>43495</c:v>
                </c:pt>
                <c:pt idx="264">
                  <c:v>43496</c:v>
                </c:pt>
                <c:pt idx="265">
                  <c:v>43497</c:v>
                </c:pt>
                <c:pt idx="266">
                  <c:v>43500</c:v>
                </c:pt>
                <c:pt idx="267">
                  <c:v>43501</c:v>
                </c:pt>
                <c:pt idx="268">
                  <c:v>43502</c:v>
                </c:pt>
                <c:pt idx="269">
                  <c:v>43503</c:v>
                </c:pt>
                <c:pt idx="270">
                  <c:v>43504</c:v>
                </c:pt>
                <c:pt idx="271">
                  <c:v>43507</c:v>
                </c:pt>
                <c:pt idx="272">
                  <c:v>43508</c:v>
                </c:pt>
                <c:pt idx="273">
                  <c:v>43509</c:v>
                </c:pt>
                <c:pt idx="274">
                  <c:v>43510</c:v>
                </c:pt>
                <c:pt idx="275">
                  <c:v>43511</c:v>
                </c:pt>
                <c:pt idx="276">
                  <c:v>43514</c:v>
                </c:pt>
                <c:pt idx="277">
                  <c:v>43515</c:v>
                </c:pt>
                <c:pt idx="278">
                  <c:v>43516</c:v>
                </c:pt>
                <c:pt idx="279">
                  <c:v>43517</c:v>
                </c:pt>
                <c:pt idx="280">
                  <c:v>43518</c:v>
                </c:pt>
                <c:pt idx="281">
                  <c:v>43521</c:v>
                </c:pt>
                <c:pt idx="282">
                  <c:v>43522</c:v>
                </c:pt>
                <c:pt idx="283">
                  <c:v>43523</c:v>
                </c:pt>
                <c:pt idx="284">
                  <c:v>43524</c:v>
                </c:pt>
                <c:pt idx="285">
                  <c:v>43525</c:v>
                </c:pt>
                <c:pt idx="286">
                  <c:v>43528</c:v>
                </c:pt>
                <c:pt idx="287">
                  <c:v>43529</c:v>
                </c:pt>
                <c:pt idx="288">
                  <c:v>43530</c:v>
                </c:pt>
                <c:pt idx="289">
                  <c:v>43531</c:v>
                </c:pt>
                <c:pt idx="290">
                  <c:v>43535</c:v>
                </c:pt>
                <c:pt idx="291">
                  <c:v>43536</c:v>
                </c:pt>
                <c:pt idx="292">
                  <c:v>43537</c:v>
                </c:pt>
                <c:pt idx="293">
                  <c:v>43538</c:v>
                </c:pt>
                <c:pt idx="294">
                  <c:v>43539</c:v>
                </c:pt>
                <c:pt idx="295">
                  <c:v>43542</c:v>
                </c:pt>
                <c:pt idx="296">
                  <c:v>43543</c:v>
                </c:pt>
                <c:pt idx="297">
                  <c:v>43544</c:v>
                </c:pt>
                <c:pt idx="298">
                  <c:v>43545</c:v>
                </c:pt>
                <c:pt idx="299">
                  <c:v>43546</c:v>
                </c:pt>
                <c:pt idx="300">
                  <c:v>43549</c:v>
                </c:pt>
                <c:pt idx="301">
                  <c:v>43550</c:v>
                </c:pt>
                <c:pt idx="302">
                  <c:v>43551</c:v>
                </c:pt>
                <c:pt idx="303">
                  <c:v>43552</c:v>
                </c:pt>
                <c:pt idx="304">
                  <c:v>43553</c:v>
                </c:pt>
                <c:pt idx="305">
                  <c:v>43556</c:v>
                </c:pt>
                <c:pt idx="306">
                  <c:v>43557</c:v>
                </c:pt>
                <c:pt idx="307">
                  <c:v>43558</c:v>
                </c:pt>
                <c:pt idx="308">
                  <c:v>43559</c:v>
                </c:pt>
                <c:pt idx="309">
                  <c:v>43560</c:v>
                </c:pt>
                <c:pt idx="310">
                  <c:v>43563</c:v>
                </c:pt>
                <c:pt idx="311">
                  <c:v>43564</c:v>
                </c:pt>
                <c:pt idx="312">
                  <c:v>43565</c:v>
                </c:pt>
                <c:pt idx="313">
                  <c:v>43566</c:v>
                </c:pt>
                <c:pt idx="314">
                  <c:v>43567</c:v>
                </c:pt>
                <c:pt idx="315">
                  <c:v>43570</c:v>
                </c:pt>
                <c:pt idx="316">
                  <c:v>43571</c:v>
                </c:pt>
                <c:pt idx="317">
                  <c:v>43572</c:v>
                </c:pt>
                <c:pt idx="318">
                  <c:v>43573</c:v>
                </c:pt>
                <c:pt idx="319">
                  <c:v>43574</c:v>
                </c:pt>
                <c:pt idx="320">
                  <c:v>43577</c:v>
                </c:pt>
                <c:pt idx="321">
                  <c:v>43578</c:v>
                </c:pt>
                <c:pt idx="322">
                  <c:v>43580</c:v>
                </c:pt>
                <c:pt idx="323">
                  <c:v>43581</c:v>
                </c:pt>
                <c:pt idx="324">
                  <c:v>43584</c:v>
                </c:pt>
                <c:pt idx="325">
                  <c:v>43585</c:v>
                </c:pt>
                <c:pt idx="326">
                  <c:v>43587</c:v>
                </c:pt>
                <c:pt idx="327">
                  <c:v>43588</c:v>
                </c:pt>
                <c:pt idx="328">
                  <c:v>43591</c:v>
                </c:pt>
                <c:pt idx="329">
                  <c:v>43592</c:v>
                </c:pt>
                <c:pt idx="330">
                  <c:v>43593</c:v>
                </c:pt>
                <c:pt idx="331">
                  <c:v>43595</c:v>
                </c:pt>
                <c:pt idx="332">
                  <c:v>43598</c:v>
                </c:pt>
                <c:pt idx="333">
                  <c:v>43599</c:v>
                </c:pt>
                <c:pt idx="334">
                  <c:v>43600</c:v>
                </c:pt>
                <c:pt idx="335">
                  <c:v>43601</c:v>
                </c:pt>
                <c:pt idx="336">
                  <c:v>43602</c:v>
                </c:pt>
                <c:pt idx="337">
                  <c:v>43605</c:v>
                </c:pt>
                <c:pt idx="338">
                  <c:v>43606</c:v>
                </c:pt>
                <c:pt idx="339">
                  <c:v>43607</c:v>
                </c:pt>
                <c:pt idx="340">
                  <c:v>43608</c:v>
                </c:pt>
                <c:pt idx="341">
                  <c:v>43609</c:v>
                </c:pt>
                <c:pt idx="342">
                  <c:v>43612</c:v>
                </c:pt>
                <c:pt idx="343">
                  <c:v>43614</c:v>
                </c:pt>
                <c:pt idx="344">
                  <c:v>43615</c:v>
                </c:pt>
                <c:pt idx="345">
                  <c:v>43616</c:v>
                </c:pt>
                <c:pt idx="346">
                  <c:v>43619</c:v>
                </c:pt>
                <c:pt idx="347">
                  <c:v>43620</c:v>
                </c:pt>
                <c:pt idx="348">
                  <c:v>43621</c:v>
                </c:pt>
                <c:pt idx="349">
                  <c:v>43622</c:v>
                </c:pt>
                <c:pt idx="350">
                  <c:v>43623</c:v>
                </c:pt>
                <c:pt idx="351">
                  <c:v>43626</c:v>
                </c:pt>
                <c:pt idx="352">
                  <c:v>43627</c:v>
                </c:pt>
                <c:pt idx="353">
                  <c:v>43628</c:v>
                </c:pt>
                <c:pt idx="354">
                  <c:v>43629</c:v>
                </c:pt>
                <c:pt idx="355">
                  <c:v>43630</c:v>
                </c:pt>
                <c:pt idx="356">
                  <c:v>43633</c:v>
                </c:pt>
                <c:pt idx="357">
                  <c:v>43634</c:v>
                </c:pt>
                <c:pt idx="358">
                  <c:v>43635</c:v>
                </c:pt>
                <c:pt idx="359">
                  <c:v>43636</c:v>
                </c:pt>
                <c:pt idx="360">
                  <c:v>43637</c:v>
                </c:pt>
                <c:pt idx="361">
                  <c:v>43640</c:v>
                </c:pt>
                <c:pt idx="362">
                  <c:v>43641</c:v>
                </c:pt>
                <c:pt idx="363">
                  <c:v>43642</c:v>
                </c:pt>
                <c:pt idx="364">
                  <c:v>43643</c:v>
                </c:pt>
                <c:pt idx="365">
                  <c:v>43644</c:v>
                </c:pt>
                <c:pt idx="366">
                  <c:v>43647</c:v>
                </c:pt>
                <c:pt idx="367">
                  <c:v>43648</c:v>
                </c:pt>
                <c:pt idx="368">
                  <c:v>43649</c:v>
                </c:pt>
                <c:pt idx="369">
                  <c:v>43650</c:v>
                </c:pt>
                <c:pt idx="370">
                  <c:v>43654</c:v>
                </c:pt>
                <c:pt idx="371">
                  <c:v>43655</c:v>
                </c:pt>
                <c:pt idx="372">
                  <c:v>43656</c:v>
                </c:pt>
                <c:pt idx="373">
                  <c:v>43657</c:v>
                </c:pt>
                <c:pt idx="374">
                  <c:v>43658</c:v>
                </c:pt>
                <c:pt idx="375">
                  <c:v>43661</c:v>
                </c:pt>
                <c:pt idx="376">
                  <c:v>43662</c:v>
                </c:pt>
                <c:pt idx="377">
                  <c:v>43663</c:v>
                </c:pt>
                <c:pt idx="378">
                  <c:v>43664</c:v>
                </c:pt>
                <c:pt idx="379">
                  <c:v>43665</c:v>
                </c:pt>
                <c:pt idx="380">
                  <c:v>43668</c:v>
                </c:pt>
                <c:pt idx="381">
                  <c:v>43669</c:v>
                </c:pt>
                <c:pt idx="382">
                  <c:v>43670</c:v>
                </c:pt>
                <c:pt idx="383">
                  <c:v>43671</c:v>
                </c:pt>
                <c:pt idx="384">
                  <c:v>43672</c:v>
                </c:pt>
                <c:pt idx="385">
                  <c:v>43675</c:v>
                </c:pt>
                <c:pt idx="386">
                  <c:v>43676</c:v>
                </c:pt>
                <c:pt idx="387">
                  <c:v>43677</c:v>
                </c:pt>
                <c:pt idx="388">
                  <c:v>43678</c:v>
                </c:pt>
                <c:pt idx="389">
                  <c:v>43679</c:v>
                </c:pt>
                <c:pt idx="390">
                  <c:v>43682</c:v>
                </c:pt>
                <c:pt idx="391">
                  <c:v>43683</c:v>
                </c:pt>
                <c:pt idx="392">
                  <c:v>43684</c:v>
                </c:pt>
                <c:pt idx="393">
                  <c:v>43685</c:v>
                </c:pt>
                <c:pt idx="394">
                  <c:v>43686</c:v>
                </c:pt>
                <c:pt idx="395">
                  <c:v>43689</c:v>
                </c:pt>
                <c:pt idx="396">
                  <c:v>43690</c:v>
                </c:pt>
                <c:pt idx="397">
                  <c:v>43691</c:v>
                </c:pt>
                <c:pt idx="398">
                  <c:v>43692</c:v>
                </c:pt>
                <c:pt idx="399">
                  <c:v>43693</c:v>
                </c:pt>
                <c:pt idx="400">
                  <c:v>43696</c:v>
                </c:pt>
                <c:pt idx="401">
                  <c:v>43697</c:v>
                </c:pt>
                <c:pt idx="402">
                  <c:v>43698</c:v>
                </c:pt>
                <c:pt idx="403">
                  <c:v>43699</c:v>
                </c:pt>
                <c:pt idx="404">
                  <c:v>43700</c:v>
                </c:pt>
                <c:pt idx="405">
                  <c:v>43703</c:v>
                </c:pt>
                <c:pt idx="406">
                  <c:v>43704</c:v>
                </c:pt>
                <c:pt idx="407">
                  <c:v>43705</c:v>
                </c:pt>
                <c:pt idx="408">
                  <c:v>43706</c:v>
                </c:pt>
                <c:pt idx="409">
                  <c:v>43707</c:v>
                </c:pt>
                <c:pt idx="410">
                  <c:v>43710</c:v>
                </c:pt>
                <c:pt idx="411">
                  <c:v>43711</c:v>
                </c:pt>
                <c:pt idx="412">
                  <c:v>43712</c:v>
                </c:pt>
                <c:pt idx="413">
                  <c:v>43713</c:v>
                </c:pt>
                <c:pt idx="414">
                  <c:v>43714</c:v>
                </c:pt>
                <c:pt idx="415">
                  <c:v>43717</c:v>
                </c:pt>
                <c:pt idx="416">
                  <c:v>43718</c:v>
                </c:pt>
                <c:pt idx="417">
                  <c:v>43719</c:v>
                </c:pt>
                <c:pt idx="418">
                  <c:v>43720</c:v>
                </c:pt>
                <c:pt idx="419">
                  <c:v>43721</c:v>
                </c:pt>
                <c:pt idx="420">
                  <c:v>43724</c:v>
                </c:pt>
                <c:pt idx="421">
                  <c:v>43725</c:v>
                </c:pt>
                <c:pt idx="422">
                  <c:v>43726</c:v>
                </c:pt>
                <c:pt idx="423">
                  <c:v>43727</c:v>
                </c:pt>
                <c:pt idx="424">
                  <c:v>43728</c:v>
                </c:pt>
                <c:pt idx="425">
                  <c:v>43731</c:v>
                </c:pt>
                <c:pt idx="426">
                  <c:v>43732</c:v>
                </c:pt>
                <c:pt idx="427">
                  <c:v>43733</c:v>
                </c:pt>
                <c:pt idx="428">
                  <c:v>43734</c:v>
                </c:pt>
                <c:pt idx="429">
                  <c:v>43735</c:v>
                </c:pt>
                <c:pt idx="430">
                  <c:v>43738</c:v>
                </c:pt>
                <c:pt idx="431">
                  <c:v>43739</c:v>
                </c:pt>
                <c:pt idx="432">
                  <c:v>43740</c:v>
                </c:pt>
                <c:pt idx="433">
                  <c:v>43741</c:v>
                </c:pt>
                <c:pt idx="434">
                  <c:v>43742</c:v>
                </c:pt>
                <c:pt idx="435">
                  <c:v>43745</c:v>
                </c:pt>
                <c:pt idx="436">
                  <c:v>43746</c:v>
                </c:pt>
                <c:pt idx="437">
                  <c:v>43747</c:v>
                </c:pt>
                <c:pt idx="438">
                  <c:v>43748</c:v>
                </c:pt>
                <c:pt idx="439">
                  <c:v>43749</c:v>
                </c:pt>
                <c:pt idx="440">
                  <c:v>43752</c:v>
                </c:pt>
                <c:pt idx="441">
                  <c:v>43753</c:v>
                </c:pt>
                <c:pt idx="442">
                  <c:v>43754</c:v>
                </c:pt>
                <c:pt idx="443">
                  <c:v>43755</c:v>
                </c:pt>
                <c:pt idx="444">
                  <c:v>43756</c:v>
                </c:pt>
                <c:pt idx="445">
                  <c:v>43759</c:v>
                </c:pt>
                <c:pt idx="446">
                  <c:v>43760</c:v>
                </c:pt>
                <c:pt idx="447">
                  <c:v>43761</c:v>
                </c:pt>
                <c:pt idx="448">
                  <c:v>43762</c:v>
                </c:pt>
                <c:pt idx="449">
                  <c:v>43763</c:v>
                </c:pt>
                <c:pt idx="450">
                  <c:v>43766</c:v>
                </c:pt>
                <c:pt idx="451">
                  <c:v>43767</c:v>
                </c:pt>
                <c:pt idx="452">
                  <c:v>43768</c:v>
                </c:pt>
                <c:pt idx="453">
                  <c:v>43769</c:v>
                </c:pt>
                <c:pt idx="454">
                  <c:v>43770</c:v>
                </c:pt>
                <c:pt idx="455">
                  <c:v>43773</c:v>
                </c:pt>
                <c:pt idx="456">
                  <c:v>43774</c:v>
                </c:pt>
                <c:pt idx="457">
                  <c:v>43775</c:v>
                </c:pt>
                <c:pt idx="458">
                  <c:v>43776</c:v>
                </c:pt>
                <c:pt idx="459">
                  <c:v>43777</c:v>
                </c:pt>
                <c:pt idx="460">
                  <c:v>43780</c:v>
                </c:pt>
                <c:pt idx="461">
                  <c:v>43781</c:v>
                </c:pt>
                <c:pt idx="462">
                  <c:v>43782</c:v>
                </c:pt>
                <c:pt idx="463">
                  <c:v>43783</c:v>
                </c:pt>
                <c:pt idx="464">
                  <c:v>43784</c:v>
                </c:pt>
                <c:pt idx="465">
                  <c:v>43787</c:v>
                </c:pt>
                <c:pt idx="466">
                  <c:v>43788</c:v>
                </c:pt>
                <c:pt idx="467">
                  <c:v>43789</c:v>
                </c:pt>
                <c:pt idx="468">
                  <c:v>43790</c:v>
                </c:pt>
                <c:pt idx="469">
                  <c:v>43791</c:v>
                </c:pt>
                <c:pt idx="470">
                  <c:v>43794</c:v>
                </c:pt>
                <c:pt idx="471">
                  <c:v>43795</c:v>
                </c:pt>
                <c:pt idx="472">
                  <c:v>43796</c:v>
                </c:pt>
                <c:pt idx="473">
                  <c:v>43797</c:v>
                </c:pt>
                <c:pt idx="474">
                  <c:v>43798</c:v>
                </c:pt>
                <c:pt idx="475">
                  <c:v>43801</c:v>
                </c:pt>
                <c:pt idx="476">
                  <c:v>43802</c:v>
                </c:pt>
                <c:pt idx="477">
                  <c:v>43803</c:v>
                </c:pt>
                <c:pt idx="478">
                  <c:v>43804</c:v>
                </c:pt>
                <c:pt idx="479">
                  <c:v>43805</c:v>
                </c:pt>
                <c:pt idx="480">
                  <c:v>43808</c:v>
                </c:pt>
                <c:pt idx="481">
                  <c:v>43809</c:v>
                </c:pt>
                <c:pt idx="482">
                  <c:v>43810</c:v>
                </c:pt>
                <c:pt idx="483">
                  <c:v>43811</c:v>
                </c:pt>
                <c:pt idx="484">
                  <c:v>43812</c:v>
                </c:pt>
                <c:pt idx="485">
                  <c:v>43815</c:v>
                </c:pt>
                <c:pt idx="486">
                  <c:v>43816</c:v>
                </c:pt>
                <c:pt idx="487">
                  <c:v>43817</c:v>
                </c:pt>
                <c:pt idx="488">
                  <c:v>43818</c:v>
                </c:pt>
                <c:pt idx="489">
                  <c:v>43819</c:v>
                </c:pt>
                <c:pt idx="490">
                  <c:v>43822</c:v>
                </c:pt>
                <c:pt idx="491">
                  <c:v>43823</c:v>
                </c:pt>
                <c:pt idx="492">
                  <c:v>43824</c:v>
                </c:pt>
                <c:pt idx="493">
                  <c:v>43825</c:v>
                </c:pt>
                <c:pt idx="494">
                  <c:v>43826</c:v>
                </c:pt>
                <c:pt idx="495">
                  <c:v>43829</c:v>
                </c:pt>
                <c:pt idx="496">
                  <c:v>43838</c:v>
                </c:pt>
                <c:pt idx="497">
                  <c:v>43839</c:v>
                </c:pt>
                <c:pt idx="498">
                  <c:v>43840</c:v>
                </c:pt>
                <c:pt idx="499">
                  <c:v>43843</c:v>
                </c:pt>
                <c:pt idx="500">
                  <c:v>43844</c:v>
                </c:pt>
                <c:pt idx="501">
                  <c:v>43845</c:v>
                </c:pt>
                <c:pt idx="502">
                  <c:v>43846</c:v>
                </c:pt>
                <c:pt idx="503">
                  <c:v>43847</c:v>
                </c:pt>
                <c:pt idx="504">
                  <c:v>43850</c:v>
                </c:pt>
                <c:pt idx="505">
                  <c:v>43851</c:v>
                </c:pt>
                <c:pt idx="506">
                  <c:v>43852</c:v>
                </c:pt>
                <c:pt idx="507">
                  <c:v>43853</c:v>
                </c:pt>
                <c:pt idx="508">
                  <c:v>43854</c:v>
                </c:pt>
                <c:pt idx="509">
                  <c:v>43859</c:v>
                </c:pt>
                <c:pt idx="510">
                  <c:v>43860</c:v>
                </c:pt>
                <c:pt idx="511">
                  <c:v>43861</c:v>
                </c:pt>
                <c:pt idx="512">
                  <c:v>43862</c:v>
                </c:pt>
                <c:pt idx="513">
                  <c:v>43864</c:v>
                </c:pt>
                <c:pt idx="514">
                  <c:v>43865</c:v>
                </c:pt>
                <c:pt idx="515">
                  <c:v>43866</c:v>
                </c:pt>
                <c:pt idx="516">
                  <c:v>43867</c:v>
                </c:pt>
                <c:pt idx="517">
                  <c:v>43868</c:v>
                </c:pt>
                <c:pt idx="518">
                  <c:v>43871</c:v>
                </c:pt>
                <c:pt idx="519">
                  <c:v>43872</c:v>
                </c:pt>
                <c:pt idx="520">
                  <c:v>43873</c:v>
                </c:pt>
                <c:pt idx="521">
                  <c:v>43874</c:v>
                </c:pt>
                <c:pt idx="522">
                  <c:v>43875</c:v>
                </c:pt>
                <c:pt idx="523">
                  <c:v>43878</c:v>
                </c:pt>
                <c:pt idx="524">
                  <c:v>43879</c:v>
                </c:pt>
                <c:pt idx="525">
                  <c:v>43880</c:v>
                </c:pt>
                <c:pt idx="526">
                  <c:v>43881</c:v>
                </c:pt>
                <c:pt idx="527">
                  <c:v>43882</c:v>
                </c:pt>
                <c:pt idx="528">
                  <c:v>43885</c:v>
                </c:pt>
                <c:pt idx="529">
                  <c:v>43886</c:v>
                </c:pt>
                <c:pt idx="530">
                  <c:v>43887</c:v>
                </c:pt>
                <c:pt idx="531">
                  <c:v>43888</c:v>
                </c:pt>
                <c:pt idx="532">
                  <c:v>43889</c:v>
                </c:pt>
                <c:pt idx="533">
                  <c:v>43892</c:v>
                </c:pt>
                <c:pt idx="534">
                  <c:v>43893</c:v>
                </c:pt>
                <c:pt idx="535">
                  <c:v>43894</c:v>
                </c:pt>
                <c:pt idx="536">
                  <c:v>43895</c:v>
                </c:pt>
                <c:pt idx="537">
                  <c:v>43896</c:v>
                </c:pt>
                <c:pt idx="538">
                  <c:v>43899</c:v>
                </c:pt>
                <c:pt idx="539">
                  <c:v>43900</c:v>
                </c:pt>
                <c:pt idx="540">
                  <c:v>43901</c:v>
                </c:pt>
                <c:pt idx="541">
                  <c:v>43902</c:v>
                </c:pt>
                <c:pt idx="542">
                  <c:v>43903</c:v>
                </c:pt>
                <c:pt idx="543">
                  <c:v>43906</c:v>
                </c:pt>
                <c:pt idx="544">
                  <c:v>43907</c:v>
                </c:pt>
                <c:pt idx="545">
                  <c:v>43908</c:v>
                </c:pt>
                <c:pt idx="546">
                  <c:v>43909</c:v>
                </c:pt>
                <c:pt idx="547">
                  <c:v>43910</c:v>
                </c:pt>
                <c:pt idx="548">
                  <c:v>43913</c:v>
                </c:pt>
                <c:pt idx="549">
                  <c:v>43914</c:v>
                </c:pt>
                <c:pt idx="550">
                  <c:v>43915</c:v>
                </c:pt>
                <c:pt idx="551">
                  <c:v>43916</c:v>
                </c:pt>
                <c:pt idx="552">
                  <c:v>43917</c:v>
                </c:pt>
                <c:pt idx="553">
                  <c:v>43920</c:v>
                </c:pt>
                <c:pt idx="554">
                  <c:v>43921</c:v>
                </c:pt>
                <c:pt idx="555">
                  <c:v>43922</c:v>
                </c:pt>
                <c:pt idx="556">
                  <c:v>43923</c:v>
                </c:pt>
                <c:pt idx="557">
                  <c:v>43924</c:v>
                </c:pt>
                <c:pt idx="558">
                  <c:v>43927</c:v>
                </c:pt>
                <c:pt idx="559">
                  <c:v>43928</c:v>
                </c:pt>
                <c:pt idx="560">
                  <c:v>43929</c:v>
                </c:pt>
                <c:pt idx="561">
                  <c:v>43930</c:v>
                </c:pt>
                <c:pt idx="562">
                  <c:v>43931</c:v>
                </c:pt>
                <c:pt idx="563">
                  <c:v>43934</c:v>
                </c:pt>
                <c:pt idx="564">
                  <c:v>43935</c:v>
                </c:pt>
                <c:pt idx="565">
                  <c:v>43936</c:v>
                </c:pt>
                <c:pt idx="566">
                  <c:v>43937</c:v>
                </c:pt>
                <c:pt idx="567">
                  <c:v>43938</c:v>
                </c:pt>
                <c:pt idx="568">
                  <c:v>43941</c:v>
                </c:pt>
                <c:pt idx="569">
                  <c:v>43942</c:v>
                </c:pt>
                <c:pt idx="570">
                  <c:v>43943</c:v>
                </c:pt>
                <c:pt idx="571">
                  <c:v>43944</c:v>
                </c:pt>
                <c:pt idx="572">
                  <c:v>43948</c:v>
                </c:pt>
                <c:pt idx="573">
                  <c:v>43949</c:v>
                </c:pt>
                <c:pt idx="574">
                  <c:v>43950</c:v>
                </c:pt>
                <c:pt idx="575">
                  <c:v>43951</c:v>
                </c:pt>
                <c:pt idx="576">
                  <c:v>43955</c:v>
                </c:pt>
                <c:pt idx="577">
                  <c:v>43956</c:v>
                </c:pt>
                <c:pt idx="578">
                  <c:v>43957</c:v>
                </c:pt>
                <c:pt idx="579">
                  <c:v>43958</c:v>
                </c:pt>
                <c:pt idx="580">
                  <c:v>43959</c:v>
                </c:pt>
                <c:pt idx="581">
                  <c:v>43962</c:v>
                </c:pt>
                <c:pt idx="582">
                  <c:v>43963</c:v>
                </c:pt>
                <c:pt idx="583">
                  <c:v>43964</c:v>
                </c:pt>
                <c:pt idx="584">
                  <c:v>43965</c:v>
                </c:pt>
                <c:pt idx="585">
                  <c:v>43966</c:v>
                </c:pt>
                <c:pt idx="586">
                  <c:v>43969</c:v>
                </c:pt>
                <c:pt idx="587">
                  <c:v>43970</c:v>
                </c:pt>
                <c:pt idx="588">
                  <c:v>43971</c:v>
                </c:pt>
                <c:pt idx="589">
                  <c:v>43972</c:v>
                </c:pt>
                <c:pt idx="590">
                  <c:v>43973</c:v>
                </c:pt>
                <c:pt idx="591">
                  <c:v>43974</c:v>
                </c:pt>
                <c:pt idx="592">
                  <c:v>43976</c:v>
                </c:pt>
                <c:pt idx="593">
                  <c:v>43977</c:v>
                </c:pt>
                <c:pt idx="594">
                  <c:v>43978</c:v>
                </c:pt>
                <c:pt idx="595">
                  <c:v>43983</c:v>
                </c:pt>
                <c:pt idx="596">
                  <c:v>43984</c:v>
                </c:pt>
                <c:pt idx="597">
                  <c:v>43985</c:v>
                </c:pt>
                <c:pt idx="598">
                  <c:v>43986</c:v>
                </c:pt>
                <c:pt idx="599">
                  <c:v>43987</c:v>
                </c:pt>
                <c:pt idx="600">
                  <c:v>43990</c:v>
                </c:pt>
                <c:pt idx="601">
                  <c:v>43991</c:v>
                </c:pt>
                <c:pt idx="602">
                  <c:v>43992</c:v>
                </c:pt>
                <c:pt idx="603">
                  <c:v>43993</c:v>
                </c:pt>
                <c:pt idx="604">
                  <c:v>43994</c:v>
                </c:pt>
                <c:pt idx="605">
                  <c:v>43997</c:v>
                </c:pt>
                <c:pt idx="606">
                  <c:v>43998</c:v>
                </c:pt>
                <c:pt idx="607">
                  <c:v>43999</c:v>
                </c:pt>
                <c:pt idx="608">
                  <c:v>44000</c:v>
                </c:pt>
                <c:pt idx="609">
                  <c:v>44001</c:v>
                </c:pt>
                <c:pt idx="610">
                  <c:v>44004</c:v>
                </c:pt>
                <c:pt idx="611">
                  <c:v>44005</c:v>
                </c:pt>
                <c:pt idx="612">
                  <c:v>44006</c:v>
                </c:pt>
                <c:pt idx="613">
                  <c:v>44007</c:v>
                </c:pt>
                <c:pt idx="614">
                  <c:v>44008</c:v>
                </c:pt>
                <c:pt idx="615">
                  <c:v>44011</c:v>
                </c:pt>
                <c:pt idx="616">
                  <c:v>44012</c:v>
                </c:pt>
                <c:pt idx="617">
                  <c:v>44013</c:v>
                </c:pt>
                <c:pt idx="618">
                  <c:v>44014</c:v>
                </c:pt>
                <c:pt idx="619">
                  <c:v>44015</c:v>
                </c:pt>
                <c:pt idx="620">
                  <c:v>44018</c:v>
                </c:pt>
                <c:pt idx="621">
                  <c:v>44019</c:v>
                </c:pt>
                <c:pt idx="622">
                  <c:v>44020</c:v>
                </c:pt>
                <c:pt idx="623">
                  <c:v>44021</c:v>
                </c:pt>
                <c:pt idx="624">
                  <c:v>44022</c:v>
                </c:pt>
                <c:pt idx="625">
                  <c:v>44025</c:v>
                </c:pt>
                <c:pt idx="626">
                  <c:v>44026</c:v>
                </c:pt>
                <c:pt idx="627">
                  <c:v>44027</c:v>
                </c:pt>
                <c:pt idx="628">
                  <c:v>44028</c:v>
                </c:pt>
                <c:pt idx="629">
                  <c:v>44029</c:v>
                </c:pt>
                <c:pt idx="630">
                  <c:v>44032</c:v>
                </c:pt>
                <c:pt idx="631">
                  <c:v>44033</c:v>
                </c:pt>
                <c:pt idx="632">
                  <c:v>44034</c:v>
                </c:pt>
                <c:pt idx="633">
                  <c:v>44035</c:v>
                </c:pt>
                <c:pt idx="634">
                  <c:v>44036</c:v>
                </c:pt>
                <c:pt idx="635">
                  <c:v>44039</c:v>
                </c:pt>
                <c:pt idx="636">
                  <c:v>44040</c:v>
                </c:pt>
                <c:pt idx="637">
                  <c:v>44041</c:v>
                </c:pt>
                <c:pt idx="638">
                  <c:v>44042</c:v>
                </c:pt>
                <c:pt idx="639">
                  <c:v>44043</c:v>
                </c:pt>
                <c:pt idx="640">
                  <c:v>44046</c:v>
                </c:pt>
                <c:pt idx="641">
                  <c:v>44047</c:v>
                </c:pt>
                <c:pt idx="642">
                  <c:v>44048</c:v>
                </c:pt>
                <c:pt idx="643">
                  <c:v>44049</c:v>
                </c:pt>
                <c:pt idx="644">
                  <c:v>44050</c:v>
                </c:pt>
                <c:pt idx="645">
                  <c:v>44053</c:v>
                </c:pt>
                <c:pt idx="646">
                  <c:v>44054</c:v>
                </c:pt>
                <c:pt idx="647">
                  <c:v>44055</c:v>
                </c:pt>
                <c:pt idx="648">
                  <c:v>44056</c:v>
                </c:pt>
                <c:pt idx="649">
                  <c:v>44057</c:v>
                </c:pt>
                <c:pt idx="650">
                  <c:v>44060</c:v>
                </c:pt>
                <c:pt idx="651">
                  <c:v>44061</c:v>
                </c:pt>
                <c:pt idx="652">
                  <c:v>44062</c:v>
                </c:pt>
                <c:pt idx="653">
                  <c:v>44063</c:v>
                </c:pt>
                <c:pt idx="654">
                  <c:v>44064</c:v>
                </c:pt>
                <c:pt idx="655">
                  <c:v>44067</c:v>
                </c:pt>
                <c:pt idx="656">
                  <c:v>44068</c:v>
                </c:pt>
                <c:pt idx="657">
                  <c:v>44069</c:v>
                </c:pt>
                <c:pt idx="658">
                  <c:v>44070</c:v>
                </c:pt>
                <c:pt idx="659">
                  <c:v>44071</c:v>
                </c:pt>
                <c:pt idx="660">
                  <c:v>44074</c:v>
                </c:pt>
                <c:pt idx="661">
                  <c:v>44075</c:v>
                </c:pt>
                <c:pt idx="662">
                  <c:v>44076</c:v>
                </c:pt>
                <c:pt idx="663">
                  <c:v>44077</c:v>
                </c:pt>
                <c:pt idx="664">
                  <c:v>44078</c:v>
                </c:pt>
                <c:pt idx="665">
                  <c:v>44081</c:v>
                </c:pt>
                <c:pt idx="666">
                  <c:v>44082</c:v>
                </c:pt>
                <c:pt idx="667">
                  <c:v>44083</c:v>
                </c:pt>
                <c:pt idx="668">
                  <c:v>44084</c:v>
                </c:pt>
                <c:pt idx="669">
                  <c:v>44085</c:v>
                </c:pt>
                <c:pt idx="670">
                  <c:v>44088</c:v>
                </c:pt>
                <c:pt idx="671">
                  <c:v>44089</c:v>
                </c:pt>
                <c:pt idx="672">
                  <c:v>44090</c:v>
                </c:pt>
                <c:pt idx="673">
                  <c:v>44091</c:v>
                </c:pt>
                <c:pt idx="674">
                  <c:v>44092</c:v>
                </c:pt>
                <c:pt idx="675">
                  <c:v>44096</c:v>
                </c:pt>
                <c:pt idx="676">
                  <c:v>44097</c:v>
                </c:pt>
                <c:pt idx="677">
                  <c:v>44098</c:v>
                </c:pt>
                <c:pt idx="678">
                  <c:v>44099</c:v>
                </c:pt>
                <c:pt idx="679">
                  <c:v>44102</c:v>
                </c:pt>
                <c:pt idx="680">
                  <c:v>44103</c:v>
                </c:pt>
                <c:pt idx="681">
                  <c:v>44104</c:v>
                </c:pt>
                <c:pt idx="682">
                  <c:v>44105</c:v>
                </c:pt>
                <c:pt idx="683">
                  <c:v>44106</c:v>
                </c:pt>
                <c:pt idx="684">
                  <c:v>44109</c:v>
                </c:pt>
                <c:pt idx="685">
                  <c:v>44110</c:v>
                </c:pt>
                <c:pt idx="686">
                  <c:v>44111</c:v>
                </c:pt>
                <c:pt idx="687">
                  <c:v>44112</c:v>
                </c:pt>
                <c:pt idx="688">
                  <c:v>44113</c:v>
                </c:pt>
                <c:pt idx="689">
                  <c:v>44116</c:v>
                </c:pt>
                <c:pt idx="690">
                  <c:v>44117</c:v>
                </c:pt>
                <c:pt idx="691">
                  <c:v>44118</c:v>
                </c:pt>
                <c:pt idx="692">
                  <c:v>44119</c:v>
                </c:pt>
                <c:pt idx="693">
                  <c:v>44120</c:v>
                </c:pt>
                <c:pt idx="694">
                  <c:v>44123</c:v>
                </c:pt>
                <c:pt idx="695">
                  <c:v>44124</c:v>
                </c:pt>
                <c:pt idx="696">
                  <c:v>44125</c:v>
                </c:pt>
                <c:pt idx="697">
                  <c:v>44126</c:v>
                </c:pt>
                <c:pt idx="698">
                  <c:v>44127</c:v>
                </c:pt>
                <c:pt idx="699">
                  <c:v>44130</c:v>
                </c:pt>
                <c:pt idx="700">
                  <c:v>44131</c:v>
                </c:pt>
                <c:pt idx="701">
                  <c:v>44132</c:v>
                </c:pt>
                <c:pt idx="702">
                  <c:v>44133</c:v>
                </c:pt>
                <c:pt idx="703">
                  <c:v>44134</c:v>
                </c:pt>
                <c:pt idx="704">
                  <c:v>44137</c:v>
                </c:pt>
                <c:pt idx="705">
                  <c:v>44138</c:v>
                </c:pt>
                <c:pt idx="706">
                  <c:v>44139</c:v>
                </c:pt>
                <c:pt idx="707">
                  <c:v>44140</c:v>
                </c:pt>
                <c:pt idx="708">
                  <c:v>44141</c:v>
                </c:pt>
                <c:pt idx="709">
                  <c:v>44144</c:v>
                </c:pt>
                <c:pt idx="710">
                  <c:v>44145</c:v>
                </c:pt>
                <c:pt idx="711">
                  <c:v>44146</c:v>
                </c:pt>
                <c:pt idx="712">
                  <c:v>44147</c:v>
                </c:pt>
                <c:pt idx="713">
                  <c:v>44148</c:v>
                </c:pt>
                <c:pt idx="714">
                  <c:v>44151</c:v>
                </c:pt>
                <c:pt idx="715">
                  <c:v>44152</c:v>
                </c:pt>
                <c:pt idx="716">
                  <c:v>44153</c:v>
                </c:pt>
                <c:pt idx="717">
                  <c:v>44154</c:v>
                </c:pt>
                <c:pt idx="718">
                  <c:v>44155</c:v>
                </c:pt>
                <c:pt idx="719">
                  <c:v>44158</c:v>
                </c:pt>
                <c:pt idx="720">
                  <c:v>44159</c:v>
                </c:pt>
                <c:pt idx="721">
                  <c:v>44160</c:v>
                </c:pt>
                <c:pt idx="722">
                  <c:v>44161</c:v>
                </c:pt>
                <c:pt idx="723">
                  <c:v>44162</c:v>
                </c:pt>
                <c:pt idx="724">
                  <c:v>44165</c:v>
                </c:pt>
                <c:pt idx="725">
                  <c:v>44166</c:v>
                </c:pt>
                <c:pt idx="726">
                  <c:v>44167</c:v>
                </c:pt>
                <c:pt idx="727">
                  <c:v>44168</c:v>
                </c:pt>
                <c:pt idx="728">
                  <c:v>44169</c:v>
                </c:pt>
                <c:pt idx="729">
                  <c:v>44172</c:v>
                </c:pt>
                <c:pt idx="730">
                  <c:v>44173</c:v>
                </c:pt>
                <c:pt idx="731">
                  <c:v>44174</c:v>
                </c:pt>
                <c:pt idx="732">
                  <c:v>44175</c:v>
                </c:pt>
                <c:pt idx="733">
                  <c:v>44176</c:v>
                </c:pt>
                <c:pt idx="734">
                  <c:v>44179</c:v>
                </c:pt>
                <c:pt idx="735">
                  <c:v>44180</c:v>
                </c:pt>
                <c:pt idx="736">
                  <c:v>44181</c:v>
                </c:pt>
                <c:pt idx="737">
                  <c:v>44182</c:v>
                </c:pt>
                <c:pt idx="738">
                  <c:v>44183</c:v>
                </c:pt>
                <c:pt idx="739">
                  <c:v>44186</c:v>
                </c:pt>
                <c:pt idx="740">
                  <c:v>44187</c:v>
                </c:pt>
                <c:pt idx="741">
                  <c:v>44188</c:v>
                </c:pt>
                <c:pt idx="742">
                  <c:v>44189</c:v>
                </c:pt>
                <c:pt idx="743">
                  <c:v>44190</c:v>
                </c:pt>
                <c:pt idx="744">
                  <c:v>44193</c:v>
                </c:pt>
                <c:pt idx="745">
                  <c:v>44194</c:v>
                </c:pt>
                <c:pt idx="746">
                  <c:v>44195</c:v>
                </c:pt>
                <c:pt idx="747">
                  <c:v>44204</c:v>
                </c:pt>
                <c:pt idx="748">
                  <c:v>44207</c:v>
                </c:pt>
                <c:pt idx="749">
                  <c:v>44208</c:v>
                </c:pt>
                <c:pt idx="750">
                  <c:v>44209</c:v>
                </c:pt>
                <c:pt idx="751">
                  <c:v>44210</c:v>
                </c:pt>
                <c:pt idx="752">
                  <c:v>44211</c:v>
                </c:pt>
                <c:pt idx="753">
                  <c:v>44214</c:v>
                </c:pt>
                <c:pt idx="754">
                  <c:v>44215</c:v>
                </c:pt>
                <c:pt idx="755">
                  <c:v>44216</c:v>
                </c:pt>
                <c:pt idx="756">
                  <c:v>44217</c:v>
                </c:pt>
                <c:pt idx="757">
                  <c:v>44218</c:v>
                </c:pt>
                <c:pt idx="758">
                  <c:v>44221</c:v>
                </c:pt>
                <c:pt idx="759">
                  <c:v>44222</c:v>
                </c:pt>
                <c:pt idx="760">
                  <c:v>44223</c:v>
                </c:pt>
                <c:pt idx="761">
                  <c:v>44225</c:v>
                </c:pt>
                <c:pt idx="762">
                  <c:v>44228</c:v>
                </c:pt>
                <c:pt idx="763">
                  <c:v>44229</c:v>
                </c:pt>
                <c:pt idx="764">
                  <c:v>44230</c:v>
                </c:pt>
                <c:pt idx="765">
                  <c:v>44231</c:v>
                </c:pt>
                <c:pt idx="766">
                  <c:v>44232</c:v>
                </c:pt>
                <c:pt idx="767">
                  <c:v>44235</c:v>
                </c:pt>
                <c:pt idx="768">
                  <c:v>44236</c:v>
                </c:pt>
                <c:pt idx="769">
                  <c:v>44237</c:v>
                </c:pt>
                <c:pt idx="770">
                  <c:v>44238</c:v>
                </c:pt>
                <c:pt idx="771">
                  <c:v>44239</c:v>
                </c:pt>
                <c:pt idx="772">
                  <c:v>44242</c:v>
                </c:pt>
                <c:pt idx="773">
                  <c:v>44243</c:v>
                </c:pt>
                <c:pt idx="774">
                  <c:v>44244</c:v>
                </c:pt>
                <c:pt idx="775">
                  <c:v>44245</c:v>
                </c:pt>
                <c:pt idx="776">
                  <c:v>44246</c:v>
                </c:pt>
                <c:pt idx="777">
                  <c:v>44249</c:v>
                </c:pt>
                <c:pt idx="778">
                  <c:v>44250</c:v>
                </c:pt>
                <c:pt idx="779">
                  <c:v>44251</c:v>
                </c:pt>
                <c:pt idx="780">
                  <c:v>44252</c:v>
                </c:pt>
                <c:pt idx="781">
                  <c:v>44253</c:v>
                </c:pt>
                <c:pt idx="782">
                  <c:v>44256</c:v>
                </c:pt>
                <c:pt idx="783">
                  <c:v>44257</c:v>
                </c:pt>
                <c:pt idx="784">
                  <c:v>44258</c:v>
                </c:pt>
                <c:pt idx="785">
                  <c:v>44259</c:v>
                </c:pt>
                <c:pt idx="786">
                  <c:v>44260</c:v>
                </c:pt>
                <c:pt idx="787">
                  <c:v>44264</c:v>
                </c:pt>
                <c:pt idx="788">
                  <c:v>44265</c:v>
                </c:pt>
                <c:pt idx="789">
                  <c:v>44266</c:v>
                </c:pt>
                <c:pt idx="790">
                  <c:v>44267</c:v>
                </c:pt>
                <c:pt idx="791">
                  <c:v>44270</c:v>
                </c:pt>
                <c:pt idx="792">
                  <c:v>44271</c:v>
                </c:pt>
                <c:pt idx="793">
                  <c:v>44272</c:v>
                </c:pt>
                <c:pt idx="794">
                  <c:v>44273</c:v>
                </c:pt>
                <c:pt idx="795">
                  <c:v>44274</c:v>
                </c:pt>
                <c:pt idx="796">
                  <c:v>44277</c:v>
                </c:pt>
                <c:pt idx="797">
                  <c:v>44278</c:v>
                </c:pt>
                <c:pt idx="798">
                  <c:v>44279</c:v>
                </c:pt>
                <c:pt idx="799">
                  <c:v>44280</c:v>
                </c:pt>
                <c:pt idx="800">
                  <c:v>44281</c:v>
                </c:pt>
                <c:pt idx="801">
                  <c:v>44284</c:v>
                </c:pt>
                <c:pt idx="802">
                  <c:v>44285</c:v>
                </c:pt>
                <c:pt idx="803">
                  <c:v>44286</c:v>
                </c:pt>
                <c:pt idx="804">
                  <c:v>44287</c:v>
                </c:pt>
                <c:pt idx="805">
                  <c:v>44288</c:v>
                </c:pt>
                <c:pt idx="806">
                  <c:v>44291</c:v>
                </c:pt>
                <c:pt idx="807">
                  <c:v>44292</c:v>
                </c:pt>
                <c:pt idx="808">
                  <c:v>44293</c:v>
                </c:pt>
                <c:pt idx="809">
                  <c:v>44294</c:v>
                </c:pt>
                <c:pt idx="810">
                  <c:v>44295</c:v>
                </c:pt>
                <c:pt idx="811">
                  <c:v>44298</c:v>
                </c:pt>
                <c:pt idx="812">
                  <c:v>44299</c:v>
                </c:pt>
                <c:pt idx="813">
                  <c:v>44300</c:v>
                </c:pt>
                <c:pt idx="814">
                  <c:v>44301</c:v>
                </c:pt>
                <c:pt idx="815">
                  <c:v>44302</c:v>
                </c:pt>
                <c:pt idx="816">
                  <c:v>44305</c:v>
                </c:pt>
                <c:pt idx="817">
                  <c:v>44306</c:v>
                </c:pt>
                <c:pt idx="818">
                  <c:v>44307</c:v>
                </c:pt>
                <c:pt idx="819">
                  <c:v>44308</c:v>
                </c:pt>
                <c:pt idx="820">
                  <c:v>44309</c:v>
                </c:pt>
                <c:pt idx="821">
                  <c:v>44312</c:v>
                </c:pt>
                <c:pt idx="822">
                  <c:v>44313</c:v>
                </c:pt>
                <c:pt idx="823">
                  <c:v>44314</c:v>
                </c:pt>
                <c:pt idx="824">
                  <c:v>44315</c:v>
                </c:pt>
                <c:pt idx="825">
                  <c:v>44316</c:v>
                </c:pt>
                <c:pt idx="826">
                  <c:v>44319</c:v>
                </c:pt>
                <c:pt idx="827">
                  <c:v>44320</c:v>
                </c:pt>
                <c:pt idx="828">
                  <c:v>44321</c:v>
                </c:pt>
                <c:pt idx="829">
                  <c:v>44322</c:v>
                </c:pt>
                <c:pt idx="830">
                  <c:v>44323</c:v>
                </c:pt>
                <c:pt idx="831">
                  <c:v>44326</c:v>
                </c:pt>
                <c:pt idx="832">
                  <c:v>44327</c:v>
                </c:pt>
                <c:pt idx="833">
                  <c:v>44328</c:v>
                </c:pt>
                <c:pt idx="834">
                  <c:v>44329</c:v>
                </c:pt>
                <c:pt idx="835">
                  <c:v>44330</c:v>
                </c:pt>
                <c:pt idx="836">
                  <c:v>44333</c:v>
                </c:pt>
                <c:pt idx="837">
                  <c:v>44334</c:v>
                </c:pt>
                <c:pt idx="838">
                  <c:v>44335</c:v>
                </c:pt>
                <c:pt idx="839">
                  <c:v>44336</c:v>
                </c:pt>
                <c:pt idx="840">
                  <c:v>44337</c:v>
                </c:pt>
                <c:pt idx="841">
                  <c:v>44340</c:v>
                </c:pt>
                <c:pt idx="842">
                  <c:v>44341</c:v>
                </c:pt>
                <c:pt idx="843">
                  <c:v>44342</c:v>
                </c:pt>
                <c:pt idx="844">
                  <c:v>44343</c:v>
                </c:pt>
                <c:pt idx="845">
                  <c:v>44347</c:v>
                </c:pt>
                <c:pt idx="846">
                  <c:v>44348</c:v>
                </c:pt>
                <c:pt idx="847">
                  <c:v>44349</c:v>
                </c:pt>
                <c:pt idx="848">
                  <c:v>44350</c:v>
                </c:pt>
                <c:pt idx="849">
                  <c:v>44351</c:v>
                </c:pt>
                <c:pt idx="850">
                  <c:v>44354</c:v>
                </c:pt>
                <c:pt idx="851">
                  <c:v>44355</c:v>
                </c:pt>
                <c:pt idx="852">
                  <c:v>44356</c:v>
                </c:pt>
                <c:pt idx="853">
                  <c:v>44357</c:v>
                </c:pt>
                <c:pt idx="854">
                  <c:v>44358</c:v>
                </c:pt>
                <c:pt idx="855">
                  <c:v>44361</c:v>
                </c:pt>
                <c:pt idx="856">
                  <c:v>44362</c:v>
                </c:pt>
                <c:pt idx="857">
                  <c:v>44363</c:v>
                </c:pt>
                <c:pt idx="858">
                  <c:v>44364</c:v>
                </c:pt>
                <c:pt idx="859">
                  <c:v>44365</c:v>
                </c:pt>
                <c:pt idx="860">
                  <c:v>44368</c:v>
                </c:pt>
                <c:pt idx="861">
                  <c:v>44369</c:v>
                </c:pt>
                <c:pt idx="862">
                  <c:v>44370</c:v>
                </c:pt>
                <c:pt idx="863">
                  <c:v>44371</c:v>
                </c:pt>
                <c:pt idx="864">
                  <c:v>44372</c:v>
                </c:pt>
                <c:pt idx="865">
                  <c:v>44375</c:v>
                </c:pt>
                <c:pt idx="866">
                  <c:v>44376</c:v>
                </c:pt>
                <c:pt idx="867">
                  <c:v>44377</c:v>
                </c:pt>
                <c:pt idx="868">
                  <c:v>44378</c:v>
                </c:pt>
                <c:pt idx="869">
                  <c:v>44379</c:v>
                </c:pt>
                <c:pt idx="870">
                  <c:v>44383</c:v>
                </c:pt>
                <c:pt idx="871">
                  <c:v>44384</c:v>
                </c:pt>
                <c:pt idx="872">
                  <c:v>44385</c:v>
                </c:pt>
                <c:pt idx="873">
                  <c:v>44386</c:v>
                </c:pt>
                <c:pt idx="874">
                  <c:v>44389</c:v>
                </c:pt>
              </c:numCache>
            </c:numRef>
          </c:cat>
          <c:val>
            <c:numRef>
              <c:f>Sheet1!$B$2:$B$876</c:f>
              <c:numCache>
                <c:formatCode>_(* #\,##0_);_(* \(#\,##0\);_(* "-"??_);_(@_)</c:formatCode>
                <c:ptCount val="875"/>
                <c:pt idx="0">
                  <c:v>100</c:v>
                </c:pt>
                <c:pt idx="1">
                  <c:v>99.995875693399057</c:v>
                </c:pt>
                <c:pt idx="2">
                  <c:v>99.962881240591429</c:v>
                </c:pt>
                <c:pt idx="3">
                  <c:v>99.872146495370473</c:v>
                </c:pt>
                <c:pt idx="4">
                  <c:v>99.70717423133236</c:v>
                </c:pt>
                <c:pt idx="5">
                  <c:v>99.645309632318074</c:v>
                </c:pt>
                <c:pt idx="6">
                  <c:v>99.604066566308546</c:v>
                </c:pt>
                <c:pt idx="7">
                  <c:v>99.599942259707589</c:v>
                </c:pt>
                <c:pt idx="8">
                  <c:v>99.538077660693304</c:v>
                </c:pt>
                <c:pt idx="9">
                  <c:v>99.38754046975852</c:v>
                </c:pt>
                <c:pt idx="10">
                  <c:v>99.321551564143277</c:v>
                </c:pt>
                <c:pt idx="11">
                  <c:v>99.224630359020892</c:v>
                </c:pt>
                <c:pt idx="12">
                  <c:v>99.142144227001836</c:v>
                </c:pt>
                <c:pt idx="13">
                  <c:v>99.117398387396122</c:v>
                </c:pt>
                <c:pt idx="14">
                  <c:v>99.107087620893751</c:v>
                </c:pt>
                <c:pt idx="15">
                  <c:v>99.117398387396122</c:v>
                </c:pt>
                <c:pt idx="16">
                  <c:v>99.113274080795179</c:v>
                </c:pt>
                <c:pt idx="17">
                  <c:v>99.150392840203764</c:v>
                </c:pt>
                <c:pt idx="18">
                  <c:v>99.185449446311864</c:v>
                </c:pt>
                <c:pt idx="19">
                  <c:v>99.197822366114721</c:v>
                </c:pt>
                <c:pt idx="20">
                  <c:v>99.309178644340435</c:v>
                </c:pt>
                <c:pt idx="21">
                  <c:v>99.391664776359491</c:v>
                </c:pt>
                <c:pt idx="22">
                  <c:v>99.467964448477119</c:v>
                </c:pt>
                <c:pt idx="23">
                  <c:v>99.366918936753777</c:v>
                </c:pt>
                <c:pt idx="24">
                  <c:v>99.624688099313317</c:v>
                </c:pt>
                <c:pt idx="25">
                  <c:v>99.51333182108759</c:v>
                </c:pt>
                <c:pt idx="26">
                  <c:v>99.474150908378533</c:v>
                </c:pt>
                <c:pt idx="27">
                  <c:v>99.315365104241863</c:v>
                </c:pt>
                <c:pt idx="28">
                  <c:v>99.251438351927092</c:v>
                </c:pt>
                <c:pt idx="29">
                  <c:v>99.177200833109936</c:v>
                </c:pt>
                <c:pt idx="30">
                  <c:v>99.15039284020375</c:v>
                </c:pt>
                <c:pt idx="31">
                  <c:v>99.102963314292779</c:v>
                </c:pt>
                <c:pt idx="32">
                  <c:v>99.078217474687051</c:v>
                </c:pt>
                <c:pt idx="33">
                  <c:v>99.100901160992308</c:v>
                </c:pt>
                <c:pt idx="34">
                  <c:v>99.113274080795151</c:v>
                </c:pt>
                <c:pt idx="35">
                  <c:v>99.15657930010515</c:v>
                </c:pt>
                <c:pt idx="36">
                  <c:v>99.187511599612293</c:v>
                </c:pt>
                <c:pt idx="37">
                  <c:v>99.150392840203722</c:v>
                </c:pt>
                <c:pt idx="38">
                  <c:v>99.177200833109907</c:v>
                </c:pt>
                <c:pt idx="39">
                  <c:v>99.14833068690325</c:v>
                </c:pt>
                <c:pt idx="40">
                  <c:v>99.146268533602779</c:v>
                </c:pt>
                <c:pt idx="41">
                  <c:v>99.115336234095622</c:v>
                </c:pt>
                <c:pt idx="42">
                  <c:v>99.133895613799908</c:v>
                </c:pt>
                <c:pt idx="43">
                  <c:v>99.131833460499436</c:v>
                </c:pt>
                <c:pt idx="44">
                  <c:v>99.088528241189422</c:v>
                </c:pt>
                <c:pt idx="45">
                  <c:v>99.055533788381808</c:v>
                </c:pt>
                <c:pt idx="46">
                  <c:v>99.06790670818468</c:v>
                </c:pt>
                <c:pt idx="47">
                  <c:v>99.053471635081337</c:v>
                </c:pt>
                <c:pt idx="48">
                  <c:v>99.063782401583708</c:v>
                </c:pt>
                <c:pt idx="49">
                  <c:v>99.041098715278466</c:v>
                </c:pt>
                <c:pt idx="50">
                  <c:v>98.999855649268937</c:v>
                </c:pt>
                <c:pt idx="51">
                  <c:v>99.036974408677509</c:v>
                </c:pt>
                <c:pt idx="52">
                  <c:v>98.99573134266798</c:v>
                </c:pt>
                <c:pt idx="53">
                  <c:v>99.018415028973223</c:v>
                </c:pt>
                <c:pt idx="54">
                  <c:v>99.072031014785608</c:v>
                </c:pt>
                <c:pt idx="55">
                  <c:v>99.03903656197798</c:v>
                </c:pt>
                <c:pt idx="56">
                  <c:v>99.028725795475609</c:v>
                </c:pt>
                <c:pt idx="57">
                  <c:v>99.028725795475609</c:v>
                </c:pt>
                <c:pt idx="58">
                  <c:v>98.99573134266798</c:v>
                </c:pt>
                <c:pt idx="59">
                  <c:v>99.03078794877608</c:v>
                </c:pt>
                <c:pt idx="60">
                  <c:v>99.041098715278451</c:v>
                </c:pt>
                <c:pt idx="61">
                  <c:v>99.026663642175123</c:v>
                </c:pt>
                <c:pt idx="62">
                  <c:v>99.078217474687023</c:v>
                </c:pt>
                <c:pt idx="63">
                  <c:v>99.135957767100365</c:v>
                </c:pt>
                <c:pt idx="64">
                  <c:v>99.164827913307036</c:v>
                </c:pt>
                <c:pt idx="65">
                  <c:v>99.346297403748963</c:v>
                </c:pt>
                <c:pt idx="66">
                  <c:v>99.626750252613746</c:v>
                </c:pt>
                <c:pt idx="67">
                  <c:v>99.750479450642331</c:v>
                </c:pt>
                <c:pt idx="68">
                  <c:v>99.585507186604218</c:v>
                </c:pt>
                <c:pt idx="69">
                  <c:v>99.470026601777548</c:v>
                </c:pt>
                <c:pt idx="70">
                  <c:v>99.352483863650392</c:v>
                </c:pt>
                <c:pt idx="71">
                  <c:v>99.187511599612279</c:v>
                </c:pt>
                <c:pt idx="72">
                  <c:v>99.022539335574166</c:v>
                </c:pt>
                <c:pt idx="73">
                  <c:v>99.020477182273694</c:v>
                </c:pt>
                <c:pt idx="74">
                  <c:v>99.010166415771309</c:v>
                </c:pt>
                <c:pt idx="75">
                  <c:v>99.078217474687037</c:v>
                </c:pt>
                <c:pt idx="76">
                  <c:v>99.387540469758491</c:v>
                </c:pt>
                <c:pt idx="77">
                  <c:v>99.667993318623274</c:v>
                </c:pt>
                <c:pt idx="78">
                  <c:v>99.66180685872186</c:v>
                </c:pt>
                <c:pt idx="79">
                  <c:v>99.954632627389486</c:v>
                </c:pt>
                <c:pt idx="80">
                  <c:v>99.962881240591386</c:v>
                </c:pt>
                <c:pt idx="81">
                  <c:v>100.09073474522091</c:v>
                </c:pt>
                <c:pt idx="82">
                  <c:v>100.25983131585997</c:v>
                </c:pt>
                <c:pt idx="83">
                  <c:v>100.36087682758331</c:v>
                </c:pt>
                <c:pt idx="84">
                  <c:v>100.3361309879776</c:v>
                </c:pt>
                <c:pt idx="85">
                  <c:v>100.23302332295378</c:v>
                </c:pt>
                <c:pt idx="86">
                  <c:v>100.07629967211759</c:v>
                </c:pt>
                <c:pt idx="87">
                  <c:v>99.923700327882329</c:v>
                </c:pt>
                <c:pt idx="88">
                  <c:v>99.773163136947559</c:v>
                </c:pt>
                <c:pt idx="89">
                  <c:v>99.676241931825174</c:v>
                </c:pt>
                <c:pt idx="90">
                  <c:v>99.655620398820403</c:v>
                </c:pt>
                <c:pt idx="91">
                  <c:v>99.608190872909447</c:v>
                </c:pt>
                <c:pt idx="92">
                  <c:v>99.533953354092304</c:v>
                </c:pt>
                <c:pt idx="93">
                  <c:v>99.494772441383247</c:v>
                </c:pt>
                <c:pt idx="94">
                  <c:v>99.529829047491333</c:v>
                </c:pt>
                <c:pt idx="95">
                  <c:v>99.55251273379659</c:v>
                </c:pt>
                <c:pt idx="96">
                  <c:v>99.597880106407075</c:v>
                </c:pt>
                <c:pt idx="97">
                  <c:v>99.566947806899918</c:v>
                </c:pt>
                <c:pt idx="98">
                  <c:v>99.500958901284676</c:v>
                </c:pt>
                <c:pt idx="99">
                  <c:v>99.573134266801361</c:v>
                </c:pt>
                <c:pt idx="100">
                  <c:v>99.581382880003247</c:v>
                </c:pt>
                <c:pt idx="101">
                  <c:v>99.606128719608975</c:v>
                </c:pt>
                <c:pt idx="102">
                  <c:v>99.663869012022332</c:v>
                </c:pt>
                <c:pt idx="103">
                  <c:v>99.703049924731388</c:v>
                </c:pt>
                <c:pt idx="104">
                  <c:v>99.647371785618532</c:v>
                </c:pt>
                <c:pt idx="105">
                  <c:v>99.630874559214703</c:v>
                </c:pt>
                <c:pt idx="106">
                  <c:v>99.571072113500904</c:v>
                </c:pt>
                <c:pt idx="107">
                  <c:v>99.536015507392804</c:v>
                </c:pt>
                <c:pt idx="108">
                  <c:v>99.546326273895176</c:v>
                </c:pt>
                <c:pt idx="109">
                  <c:v>99.53601550739279</c:v>
                </c:pt>
                <c:pt idx="110">
                  <c:v>99.51745612768849</c:v>
                </c:pt>
                <c:pt idx="111">
                  <c:v>99.449405068772776</c:v>
                </c:pt>
                <c:pt idx="112">
                  <c:v>99.399913389561334</c:v>
                </c:pt>
                <c:pt idx="113">
                  <c:v>99.437032148969905</c:v>
                </c:pt>
                <c:pt idx="114">
                  <c:v>99.434969995669434</c:v>
                </c:pt>
                <c:pt idx="115">
                  <c:v>99.465902295176576</c:v>
                </c:pt>
                <c:pt idx="116">
                  <c:v>99.443218608871348</c:v>
                </c:pt>
                <c:pt idx="117">
                  <c:v>99.412286309364191</c:v>
                </c:pt>
                <c:pt idx="118">
                  <c:v>99.41022415606372</c:v>
                </c:pt>
                <c:pt idx="119">
                  <c:v>99.445280762171834</c:v>
                </c:pt>
                <c:pt idx="120">
                  <c:v>99.496834594683747</c:v>
                </c:pt>
                <c:pt idx="121">
                  <c:v>99.540139813993747</c:v>
                </c:pt>
                <c:pt idx="122">
                  <c:v>99.591693646505661</c:v>
                </c:pt>
                <c:pt idx="123">
                  <c:v>99.637061019116146</c:v>
                </c:pt>
                <c:pt idx="124">
                  <c:v>99.521580434289476</c:v>
                </c:pt>
                <c:pt idx="125">
                  <c:v>99.445280762171848</c:v>
                </c:pt>
                <c:pt idx="126">
                  <c:v>99.443218608871362</c:v>
                </c:pt>
                <c:pt idx="127">
                  <c:v>99.290619264636121</c:v>
                </c:pt>
                <c:pt idx="128">
                  <c:v>99.224630359020878</c:v>
                </c:pt>
                <c:pt idx="129">
                  <c:v>99.14833068690325</c:v>
                </c:pt>
                <c:pt idx="130">
                  <c:v>99.059658094982765</c:v>
                </c:pt>
                <c:pt idx="131">
                  <c:v>99.045223021879437</c:v>
                </c:pt>
                <c:pt idx="132">
                  <c:v>99.107087620893722</c:v>
                </c:pt>
                <c:pt idx="133">
                  <c:v>99.111211927494665</c:v>
                </c:pt>
                <c:pt idx="134">
                  <c:v>99.189573752912779</c:v>
                </c:pt>
                <c:pt idx="135">
                  <c:v>99.150392840203722</c:v>
                </c:pt>
                <c:pt idx="136">
                  <c:v>99.164827913307064</c:v>
                </c:pt>
                <c:pt idx="137">
                  <c:v>99.19163590621325</c:v>
                </c:pt>
                <c:pt idx="138">
                  <c:v>99.166890066607536</c:v>
                </c:pt>
                <c:pt idx="139">
                  <c:v>99.152454993504207</c:v>
                </c:pt>
                <c:pt idx="140">
                  <c:v>99.179262986410407</c:v>
                </c:pt>
                <c:pt idx="141">
                  <c:v>99.179262986410407</c:v>
                </c:pt>
                <c:pt idx="142">
                  <c:v>99.222568205720421</c:v>
                </c:pt>
                <c:pt idx="143">
                  <c:v>99.247314045326135</c:v>
                </c:pt>
                <c:pt idx="144">
                  <c:v>99.292681417936635</c:v>
                </c:pt>
                <c:pt idx="145">
                  <c:v>99.331862330645677</c:v>
                </c:pt>
                <c:pt idx="146">
                  <c:v>99.350421710349963</c:v>
                </c:pt>
                <c:pt idx="147">
                  <c:v>99.356608170251405</c:v>
                </c:pt>
                <c:pt idx="148">
                  <c:v>99.428783535768076</c:v>
                </c:pt>
                <c:pt idx="149">
                  <c:v>99.525704740890461</c:v>
                </c:pt>
                <c:pt idx="150">
                  <c:v>99.608190872909503</c:v>
                </c:pt>
                <c:pt idx="151">
                  <c:v>99.606128719609018</c:v>
                </c:pt>
                <c:pt idx="152">
                  <c:v>99.630874559214746</c:v>
                </c:pt>
                <c:pt idx="153">
                  <c:v>99.630874559214746</c:v>
                </c:pt>
                <c:pt idx="154">
                  <c:v>99.622625946012846</c:v>
                </c:pt>
                <c:pt idx="155">
                  <c:v>99.552512733796647</c:v>
                </c:pt>
                <c:pt idx="156">
                  <c:v>99.581382880003318</c:v>
                </c:pt>
                <c:pt idx="157">
                  <c:v>99.575196420101904</c:v>
                </c:pt>
                <c:pt idx="158">
                  <c:v>99.583445033303818</c:v>
                </c:pt>
                <c:pt idx="159">
                  <c:v>99.562823500299046</c:v>
                </c:pt>
                <c:pt idx="160">
                  <c:v>99.546326273895232</c:v>
                </c:pt>
                <c:pt idx="161">
                  <c:v>99.519518280989047</c:v>
                </c:pt>
                <c:pt idx="162">
                  <c:v>99.552512733796661</c:v>
                </c:pt>
                <c:pt idx="163">
                  <c:v>99.616439486111432</c:v>
                </c:pt>
                <c:pt idx="164">
                  <c:v>99.680366238426203</c:v>
                </c:pt>
                <c:pt idx="165">
                  <c:v>99.752541603942888</c:v>
                </c:pt>
                <c:pt idx="166">
                  <c:v>99.828841276060515</c:v>
                </c:pt>
                <c:pt idx="167">
                  <c:v>99.915451714680529</c:v>
                </c:pt>
                <c:pt idx="168">
                  <c:v>99.950508320788629</c:v>
                </c:pt>
                <c:pt idx="169">
                  <c:v>100.00412430660101</c:v>
                </c:pt>
                <c:pt idx="170">
                  <c:v>100.09898335842293</c:v>
                </c:pt>
                <c:pt idx="171">
                  <c:v>100.09073474522103</c:v>
                </c:pt>
                <c:pt idx="172">
                  <c:v>100.06805105891578</c:v>
                </c:pt>
                <c:pt idx="173">
                  <c:v>100.03299445280769</c:v>
                </c:pt>
                <c:pt idx="174">
                  <c:v>100.04742952591103</c:v>
                </c:pt>
                <c:pt idx="175">
                  <c:v>99.884519415173386</c:v>
                </c:pt>
                <c:pt idx="176">
                  <c:v>99.729857917637659</c:v>
                </c:pt>
                <c:pt idx="177">
                  <c:v>99.486523828181447</c:v>
                </c:pt>
                <c:pt idx="178">
                  <c:v>99.451467222073347</c:v>
                </c:pt>
                <c:pt idx="179">
                  <c:v>99.325675870744291</c:v>
                </c:pt>
                <c:pt idx="180">
                  <c:v>99.325675870744291</c:v>
                </c:pt>
                <c:pt idx="181">
                  <c:v>99.44734291547239</c:v>
                </c:pt>
                <c:pt idx="182">
                  <c:v>99.542201967294289</c:v>
                </c:pt>
                <c:pt idx="183">
                  <c:v>99.659744705421446</c:v>
                </c:pt>
                <c:pt idx="184">
                  <c:v>99.696863464830017</c:v>
                </c:pt>
                <c:pt idx="185">
                  <c:v>99.861835728868115</c:v>
                </c:pt>
                <c:pt idx="186">
                  <c:v>100.02680799290623</c:v>
                </c:pt>
                <c:pt idx="187">
                  <c:v>100.11960489142767</c:v>
                </c:pt>
                <c:pt idx="188">
                  <c:v>100.21858824985054</c:v>
                </c:pt>
                <c:pt idx="189">
                  <c:v>100.21858824985054</c:v>
                </c:pt>
                <c:pt idx="190">
                  <c:v>100.14228857773291</c:v>
                </c:pt>
                <c:pt idx="191">
                  <c:v>100.07217536551671</c:v>
                </c:pt>
                <c:pt idx="192">
                  <c:v>99.925762481182886</c:v>
                </c:pt>
                <c:pt idx="193">
                  <c:v>99.787598210050959</c:v>
                </c:pt>
                <c:pt idx="194">
                  <c:v>99.70098777143096</c:v>
                </c:pt>
                <c:pt idx="195">
                  <c:v>99.766976677046202</c:v>
                </c:pt>
                <c:pt idx="196">
                  <c:v>99.835027735961916</c:v>
                </c:pt>
                <c:pt idx="197">
                  <c:v>99.880395108572415</c:v>
                </c:pt>
                <c:pt idx="198">
                  <c:v>99.946384014187643</c:v>
                </c:pt>
                <c:pt idx="199">
                  <c:v>100.047429525911</c:v>
                </c:pt>
                <c:pt idx="200">
                  <c:v>100.20827748334814</c:v>
                </c:pt>
                <c:pt idx="201">
                  <c:v>100.17940733714147</c:v>
                </c:pt>
                <c:pt idx="202">
                  <c:v>100.21446394324956</c:v>
                </c:pt>
                <c:pt idx="203">
                  <c:v>100.2185882498505</c:v>
                </c:pt>
                <c:pt idx="204">
                  <c:v>100.2701420823624</c:v>
                </c:pt>
                <c:pt idx="205">
                  <c:v>100.33406883467715</c:v>
                </c:pt>
                <c:pt idx="206">
                  <c:v>100.39593343369145</c:v>
                </c:pt>
                <c:pt idx="207">
                  <c:v>100.45986018600622</c:v>
                </c:pt>
                <c:pt idx="208">
                  <c:v>100.53409770482337</c:v>
                </c:pt>
                <c:pt idx="209">
                  <c:v>100.60833522364052</c:v>
                </c:pt>
                <c:pt idx="210">
                  <c:v>100.56296785103005</c:v>
                </c:pt>
                <c:pt idx="211">
                  <c:v>100.59596230383767</c:v>
                </c:pt>
                <c:pt idx="212">
                  <c:v>100.62277029674385</c:v>
                </c:pt>
                <c:pt idx="213">
                  <c:v>100.75062380137339</c:v>
                </c:pt>
                <c:pt idx="214">
                  <c:v>100.77330748767864</c:v>
                </c:pt>
                <c:pt idx="215">
                  <c:v>100.62483245004434</c:v>
                </c:pt>
                <c:pt idx="216">
                  <c:v>100.48254387231147</c:v>
                </c:pt>
                <c:pt idx="217">
                  <c:v>100.16291011073764</c:v>
                </c:pt>
                <c:pt idx="218">
                  <c:v>100.03299445280761</c:v>
                </c:pt>
                <c:pt idx="219">
                  <c:v>99.952570474089043</c:v>
                </c:pt>
                <c:pt idx="220">
                  <c:v>99.86802218876953</c:v>
                </c:pt>
                <c:pt idx="221">
                  <c:v>99.861835728868087</c:v>
                </c:pt>
                <c:pt idx="222">
                  <c:v>99.905140948178101</c:v>
                </c:pt>
                <c:pt idx="223">
                  <c:v>99.950508320788558</c:v>
                </c:pt>
                <c:pt idx="224">
                  <c:v>100.03093229950714</c:v>
                </c:pt>
                <c:pt idx="225">
                  <c:v>100.02474583960571</c:v>
                </c:pt>
                <c:pt idx="226">
                  <c:v>100.03299445280763</c:v>
                </c:pt>
                <c:pt idx="227">
                  <c:v>100.06186459901431</c:v>
                </c:pt>
                <c:pt idx="228">
                  <c:v>100.02680799290621</c:v>
                </c:pt>
                <c:pt idx="229">
                  <c:v>100.05567813911289</c:v>
                </c:pt>
                <c:pt idx="230">
                  <c:v>100.03918091270907</c:v>
                </c:pt>
                <c:pt idx="231">
                  <c:v>100.06805105891574</c:v>
                </c:pt>
                <c:pt idx="232">
                  <c:v>100.01237291980289</c:v>
                </c:pt>
                <c:pt idx="233">
                  <c:v>100.04124306600956</c:v>
                </c:pt>
                <c:pt idx="234">
                  <c:v>100.0721753655167</c:v>
                </c:pt>
                <c:pt idx="235">
                  <c:v>100.03918091270909</c:v>
                </c:pt>
                <c:pt idx="236">
                  <c:v>100.06186459901433</c:v>
                </c:pt>
                <c:pt idx="237">
                  <c:v>99.987627080197171</c:v>
                </c:pt>
                <c:pt idx="238">
                  <c:v>99.952570474089072</c:v>
                </c:pt>
                <c:pt idx="239">
                  <c:v>99.956694780690029</c:v>
                </c:pt>
                <c:pt idx="240">
                  <c:v>99.921638174581929</c:v>
                </c:pt>
                <c:pt idx="241">
                  <c:v>99.917513867980958</c:v>
                </c:pt>
                <c:pt idx="242">
                  <c:v>99.872146495370487</c:v>
                </c:pt>
                <c:pt idx="243">
                  <c:v>99.812344049656659</c:v>
                </c:pt>
                <c:pt idx="244">
                  <c:v>99.808219743055716</c:v>
                </c:pt>
                <c:pt idx="245">
                  <c:v>99.769038830346673</c:v>
                </c:pt>
                <c:pt idx="246">
                  <c:v>99.758728063844288</c:v>
                </c:pt>
                <c:pt idx="247">
                  <c:v>99.756665910543802</c:v>
                </c:pt>
                <c:pt idx="248">
                  <c:v>99.884519415173344</c:v>
                </c:pt>
                <c:pt idx="249">
                  <c:v>99.971129853793343</c:v>
                </c:pt>
                <c:pt idx="250">
                  <c:v>100.12166704472811</c:v>
                </c:pt>
                <c:pt idx="251">
                  <c:v>100.21652609655003</c:v>
                </c:pt>
                <c:pt idx="252">
                  <c:v>100.30519868847051</c:v>
                </c:pt>
                <c:pt idx="253">
                  <c:v>100.35056606108098</c:v>
                </c:pt>
                <c:pt idx="254">
                  <c:v>100.3402552945786</c:v>
                </c:pt>
                <c:pt idx="255">
                  <c:v>100.18146949044191</c:v>
                </c:pt>
                <c:pt idx="256">
                  <c:v>100.10104551172334</c:v>
                </c:pt>
                <c:pt idx="257">
                  <c:v>100.03711875940857</c:v>
                </c:pt>
                <c:pt idx="258">
                  <c:v>100.04949167921144</c:v>
                </c:pt>
                <c:pt idx="259">
                  <c:v>100.05155383251191</c:v>
                </c:pt>
                <c:pt idx="260">
                  <c:v>100.17528303054048</c:v>
                </c:pt>
                <c:pt idx="261">
                  <c:v>100.16909657063906</c:v>
                </c:pt>
                <c:pt idx="262">
                  <c:v>100.3320066813767</c:v>
                </c:pt>
                <c:pt idx="263">
                  <c:v>100.31344730167241</c:v>
                </c:pt>
                <c:pt idx="264">
                  <c:v>100.42274142659765</c:v>
                </c:pt>
                <c:pt idx="265">
                  <c:v>100.44130080630192</c:v>
                </c:pt>
                <c:pt idx="266">
                  <c:v>100.51760047841954</c:v>
                </c:pt>
                <c:pt idx="267">
                  <c:v>100.56090569772952</c:v>
                </c:pt>
                <c:pt idx="268">
                  <c:v>100.68669704905859</c:v>
                </c:pt>
                <c:pt idx="269">
                  <c:v>100.77536964097909</c:v>
                </c:pt>
                <c:pt idx="270">
                  <c:v>100.87847730600291</c:v>
                </c:pt>
                <c:pt idx="271">
                  <c:v>101.01457942383435</c:v>
                </c:pt>
                <c:pt idx="272">
                  <c:v>100.96714989792339</c:v>
                </c:pt>
                <c:pt idx="273">
                  <c:v>100.80836409378672</c:v>
                </c:pt>
                <c:pt idx="274">
                  <c:v>100.63101890994575</c:v>
                </c:pt>
                <c:pt idx="275">
                  <c:v>100.53203555152288</c:v>
                </c:pt>
                <c:pt idx="276">
                  <c:v>100.51553832511908</c:v>
                </c:pt>
                <c:pt idx="277">
                  <c:v>100.52997339822241</c:v>
                </c:pt>
                <c:pt idx="278">
                  <c:v>100.54853277792668</c:v>
                </c:pt>
                <c:pt idx="279">
                  <c:v>100.64751613634955</c:v>
                </c:pt>
                <c:pt idx="280">
                  <c:v>100.77949394758004</c:v>
                </c:pt>
                <c:pt idx="281">
                  <c:v>100.80423978718575</c:v>
                </c:pt>
                <c:pt idx="282">
                  <c:v>100.82486132019052</c:v>
                </c:pt>
                <c:pt idx="283">
                  <c:v>100.91765821871195</c:v>
                </c:pt>
                <c:pt idx="284">
                  <c:v>100.98777143092815</c:v>
                </c:pt>
                <c:pt idx="285">
                  <c:v>101.08263048275006</c:v>
                </c:pt>
                <c:pt idx="286">
                  <c:v>101.18573814777388</c:v>
                </c:pt>
                <c:pt idx="287">
                  <c:v>101.16924092137006</c:v>
                </c:pt>
                <c:pt idx="288">
                  <c:v>100.99602004413005</c:v>
                </c:pt>
                <c:pt idx="289">
                  <c:v>100.85579361969766</c:v>
                </c:pt>
                <c:pt idx="290">
                  <c:v>100.75062380137338</c:v>
                </c:pt>
                <c:pt idx="291">
                  <c:v>100.65164044295051</c:v>
                </c:pt>
                <c:pt idx="292">
                  <c:v>100.49904109871527</c:v>
                </c:pt>
                <c:pt idx="293">
                  <c:v>100.37531190068668</c:v>
                </c:pt>
                <c:pt idx="294">
                  <c:v>100.35056606108097</c:v>
                </c:pt>
                <c:pt idx="295">
                  <c:v>100.32788237477573</c:v>
                </c:pt>
                <c:pt idx="296">
                  <c:v>100.27632854226381</c:v>
                </c:pt>
                <c:pt idx="297">
                  <c:v>100.20209102344667</c:v>
                </c:pt>
                <c:pt idx="298">
                  <c:v>100.24127193615573</c:v>
                </c:pt>
                <c:pt idx="299">
                  <c:v>100.19178025694428</c:v>
                </c:pt>
                <c:pt idx="300">
                  <c:v>100.21652609655</c:v>
                </c:pt>
                <c:pt idx="301">
                  <c:v>100.25158270265808</c:v>
                </c:pt>
                <c:pt idx="302">
                  <c:v>100.28457715546571</c:v>
                </c:pt>
                <c:pt idx="303">
                  <c:v>100.28457715546571</c:v>
                </c:pt>
                <c:pt idx="304">
                  <c:v>100.3113851483719</c:v>
                </c:pt>
                <c:pt idx="305">
                  <c:v>100.30726084177094</c:v>
                </c:pt>
                <c:pt idx="306">
                  <c:v>100.31757160827331</c:v>
                </c:pt>
                <c:pt idx="307">
                  <c:v>100.39593343369141</c:v>
                </c:pt>
                <c:pt idx="308">
                  <c:v>100.48666817891237</c:v>
                </c:pt>
                <c:pt idx="309">
                  <c:v>100.51347617181855</c:v>
                </c:pt>
                <c:pt idx="310">
                  <c:v>100.4928546388138</c:v>
                </c:pt>
                <c:pt idx="311">
                  <c:v>100.33200668137664</c:v>
                </c:pt>
                <c:pt idx="312">
                  <c:v>100.18559379704281</c:v>
                </c:pt>
                <c:pt idx="313">
                  <c:v>100.01649722640376</c:v>
                </c:pt>
                <c:pt idx="314">
                  <c:v>100.01855937970423</c:v>
                </c:pt>
                <c:pt idx="315">
                  <c:v>99.962881240591372</c:v>
                </c:pt>
                <c:pt idx="316">
                  <c:v>99.876270801971359</c:v>
                </c:pt>
                <c:pt idx="317">
                  <c:v>99.68449054502706</c:v>
                </c:pt>
                <c:pt idx="318">
                  <c:v>99.571072113500861</c:v>
                </c:pt>
                <c:pt idx="319">
                  <c:v>99.459715835275134</c:v>
                </c:pt>
                <c:pt idx="320">
                  <c:v>99.39166477635942</c:v>
                </c:pt>
                <c:pt idx="321">
                  <c:v>99.305054337739406</c:v>
                </c:pt>
                <c:pt idx="322">
                  <c:v>99.307116491039878</c:v>
                </c:pt>
                <c:pt idx="323">
                  <c:v>99.25762481182845</c:v>
                </c:pt>
                <c:pt idx="324">
                  <c:v>99.243189738725121</c:v>
                </c:pt>
                <c:pt idx="325">
                  <c:v>99.08234178128798</c:v>
                </c:pt>
                <c:pt idx="326">
                  <c:v>99.078217474687023</c:v>
                </c:pt>
                <c:pt idx="327">
                  <c:v>99.138019920400836</c:v>
                </c:pt>
                <c:pt idx="328">
                  <c:v>99.249376198626578</c:v>
                </c:pt>
                <c:pt idx="329">
                  <c:v>99.321551564143249</c:v>
                </c:pt>
                <c:pt idx="330">
                  <c:v>99.387540469758505</c:v>
                </c:pt>
                <c:pt idx="331">
                  <c:v>99.430845689068519</c:v>
                </c:pt>
                <c:pt idx="332">
                  <c:v>99.257624811828506</c:v>
                </c:pt>
                <c:pt idx="333">
                  <c:v>99.15864145340565</c:v>
                </c:pt>
                <c:pt idx="334">
                  <c:v>99.090590394489922</c:v>
                </c:pt>
                <c:pt idx="335">
                  <c:v>99.012228569071823</c:v>
                </c:pt>
                <c:pt idx="336">
                  <c:v>98.925618130451824</c:v>
                </c:pt>
                <c:pt idx="337">
                  <c:v>98.989544882766594</c:v>
                </c:pt>
                <c:pt idx="338">
                  <c:v>98.900872290846124</c:v>
                </c:pt>
                <c:pt idx="339">
                  <c:v>98.909120904048024</c:v>
                </c:pt>
                <c:pt idx="340">
                  <c:v>98.979234116264223</c:v>
                </c:pt>
                <c:pt idx="341">
                  <c:v>98.989544882766594</c:v>
                </c:pt>
                <c:pt idx="342">
                  <c:v>99.020477182273751</c:v>
                </c:pt>
                <c:pt idx="343">
                  <c:v>99.051409481780894</c:v>
                </c:pt>
                <c:pt idx="344">
                  <c:v>99.039036561978037</c:v>
                </c:pt>
                <c:pt idx="345">
                  <c:v>99.003979955869951</c:v>
                </c:pt>
                <c:pt idx="346">
                  <c:v>99.024601488874708</c:v>
                </c:pt>
                <c:pt idx="347">
                  <c:v>98.987482729466137</c:v>
                </c:pt>
                <c:pt idx="348">
                  <c:v>98.940053203555181</c:v>
                </c:pt>
                <c:pt idx="349">
                  <c:v>98.894685830944695</c:v>
                </c:pt>
                <c:pt idx="350">
                  <c:v>98.902934444146609</c:v>
                </c:pt>
                <c:pt idx="351">
                  <c:v>98.884375064442324</c:v>
                </c:pt>
                <c:pt idx="352">
                  <c:v>98.85138061163471</c:v>
                </c:pt>
                <c:pt idx="353">
                  <c:v>98.78126739941851</c:v>
                </c:pt>
                <c:pt idx="354">
                  <c:v>98.682284040995654</c:v>
                </c:pt>
                <c:pt idx="355">
                  <c:v>98.653413894788983</c:v>
                </c:pt>
                <c:pt idx="356">
                  <c:v>98.535871156661827</c:v>
                </c:pt>
                <c:pt idx="357">
                  <c:v>98.525560390159441</c:v>
                </c:pt>
                <c:pt idx="358">
                  <c:v>98.579176375971841</c:v>
                </c:pt>
                <c:pt idx="359">
                  <c:v>98.474006557647527</c:v>
                </c:pt>
                <c:pt idx="360">
                  <c:v>98.474006557647527</c:v>
                </c:pt>
                <c:pt idx="361">
                  <c:v>98.53174685006087</c:v>
                </c:pt>
                <c:pt idx="362">
                  <c:v>98.379147505825614</c:v>
                </c:pt>
                <c:pt idx="363">
                  <c:v>98.432763491637985</c:v>
                </c:pt>
                <c:pt idx="364">
                  <c:v>98.430701338337514</c:v>
                </c:pt>
                <c:pt idx="365">
                  <c:v>98.387396119027514</c:v>
                </c:pt>
                <c:pt idx="366">
                  <c:v>98.360588126121314</c:v>
                </c:pt>
                <c:pt idx="367">
                  <c:v>98.385333965727028</c:v>
                </c:pt>
                <c:pt idx="368">
                  <c:v>98.368836739323214</c:v>
                </c:pt>
                <c:pt idx="369">
                  <c:v>98.366774586022743</c:v>
                </c:pt>
                <c:pt idx="370">
                  <c:v>98.3440908997175</c:v>
                </c:pt>
                <c:pt idx="371">
                  <c:v>98.364712432722257</c:v>
                </c:pt>
                <c:pt idx="372">
                  <c:v>98.280164147402715</c:v>
                </c:pt>
                <c:pt idx="373">
                  <c:v>98.352339512919386</c:v>
                </c:pt>
                <c:pt idx="374">
                  <c:v>98.298723527107001</c:v>
                </c:pt>
                <c:pt idx="375">
                  <c:v>98.298723527107001</c:v>
                </c:pt>
                <c:pt idx="376">
                  <c:v>98.311096446909858</c:v>
                </c:pt>
                <c:pt idx="377">
                  <c:v>98.251294001196044</c:v>
                </c:pt>
                <c:pt idx="378">
                  <c:v>98.243045387994144</c:v>
                </c:pt>
                <c:pt idx="379">
                  <c:v>98.257480461097487</c:v>
                </c:pt>
                <c:pt idx="380">
                  <c:v>98.195615862083201</c:v>
                </c:pt>
                <c:pt idx="381">
                  <c:v>98.185305095580816</c:v>
                </c:pt>
                <c:pt idx="382">
                  <c:v>98.154372796073673</c:v>
                </c:pt>
                <c:pt idx="383">
                  <c:v>98.146124182871773</c:v>
                </c:pt>
                <c:pt idx="384">
                  <c:v>98.152310642773216</c:v>
                </c:pt>
                <c:pt idx="385">
                  <c:v>98.183242942280359</c:v>
                </c:pt>
                <c:pt idx="386">
                  <c:v>98.121378343266059</c:v>
                </c:pt>
                <c:pt idx="387">
                  <c:v>98.119316189965588</c:v>
                </c:pt>
                <c:pt idx="388">
                  <c:v>98.139937722970359</c:v>
                </c:pt>
                <c:pt idx="389">
                  <c:v>98.137875569669873</c:v>
                </c:pt>
                <c:pt idx="390">
                  <c:v>98.189429402181787</c:v>
                </c:pt>
                <c:pt idx="391">
                  <c:v>98.197678015383687</c:v>
                </c:pt>
                <c:pt idx="392">
                  <c:v>98.255418307797029</c:v>
                </c:pt>
                <c:pt idx="393">
                  <c:v>98.201802321984644</c:v>
                </c:pt>
                <c:pt idx="394">
                  <c:v>98.185305095580844</c:v>
                </c:pt>
                <c:pt idx="395">
                  <c:v>98.137875569669887</c:v>
                </c:pt>
                <c:pt idx="396">
                  <c:v>98.146124182871787</c:v>
                </c:pt>
                <c:pt idx="397">
                  <c:v>98.104881116862259</c:v>
                </c:pt>
                <c:pt idx="398">
                  <c:v>98.131689109768445</c:v>
                </c:pt>
                <c:pt idx="399">
                  <c:v>98.14199987627083</c:v>
                </c:pt>
                <c:pt idx="400">
                  <c:v>98.139937722970359</c:v>
                </c:pt>
                <c:pt idx="401">
                  <c:v>98.137875569669873</c:v>
                </c:pt>
                <c:pt idx="402">
                  <c:v>98.146124182871773</c:v>
                </c:pt>
                <c:pt idx="403">
                  <c:v>98.139937722970359</c:v>
                </c:pt>
                <c:pt idx="404">
                  <c:v>98.156434949374159</c:v>
                </c:pt>
                <c:pt idx="405">
                  <c:v>98.201802321984644</c:v>
                </c:pt>
                <c:pt idx="406">
                  <c:v>98.144062029571316</c:v>
                </c:pt>
                <c:pt idx="407">
                  <c:v>98.129626956467973</c:v>
                </c:pt>
                <c:pt idx="408">
                  <c:v>98.150248489472744</c:v>
                </c:pt>
                <c:pt idx="409">
                  <c:v>98.17911863567943</c:v>
                </c:pt>
                <c:pt idx="410">
                  <c:v>98.193553708782773</c:v>
                </c:pt>
                <c:pt idx="411">
                  <c:v>98.226548161590401</c:v>
                </c:pt>
                <c:pt idx="412">
                  <c:v>98.2616047676985</c:v>
                </c:pt>
                <c:pt idx="413">
                  <c:v>98.228610314890872</c:v>
                </c:pt>
                <c:pt idx="414">
                  <c:v>98.271915534200886</c:v>
                </c:pt>
                <c:pt idx="415">
                  <c:v>98.292537067205629</c:v>
                </c:pt>
                <c:pt idx="416">
                  <c:v>98.230672468191344</c:v>
                </c:pt>
                <c:pt idx="417">
                  <c:v>98.228610314890858</c:v>
                </c:pt>
                <c:pt idx="418">
                  <c:v>98.203864475285158</c:v>
                </c:pt>
                <c:pt idx="419">
                  <c:v>98.195615862083244</c:v>
                </c:pt>
                <c:pt idx="420">
                  <c:v>98.191491555482301</c:v>
                </c:pt>
                <c:pt idx="421">
                  <c:v>98.179118635679444</c:v>
                </c:pt>
                <c:pt idx="422">
                  <c:v>98.203864475285144</c:v>
                </c:pt>
                <c:pt idx="423">
                  <c:v>98.212113088487044</c:v>
                </c:pt>
                <c:pt idx="424">
                  <c:v>98.185305095580858</c:v>
                </c:pt>
                <c:pt idx="425">
                  <c:v>98.212113088487058</c:v>
                </c:pt>
                <c:pt idx="426">
                  <c:v>98.179118635679444</c:v>
                </c:pt>
                <c:pt idx="427">
                  <c:v>98.172932175778016</c:v>
                </c:pt>
                <c:pt idx="428">
                  <c:v>98.16262140927563</c:v>
                </c:pt>
                <c:pt idx="429">
                  <c:v>98.158497102674673</c:v>
                </c:pt>
                <c:pt idx="430">
                  <c:v>98.152310642773259</c:v>
                </c:pt>
                <c:pt idx="431">
                  <c:v>98.160559255975144</c:v>
                </c:pt>
                <c:pt idx="432">
                  <c:v>98.191491555482301</c:v>
                </c:pt>
                <c:pt idx="433">
                  <c:v>98.207988781886115</c:v>
                </c:pt>
                <c:pt idx="434">
                  <c:v>98.226548161590401</c:v>
                </c:pt>
                <c:pt idx="435">
                  <c:v>98.265729074299443</c:v>
                </c:pt>
                <c:pt idx="436">
                  <c:v>98.282226300703272</c:v>
                </c:pt>
                <c:pt idx="437">
                  <c:v>98.298723527107086</c:v>
                </c:pt>
                <c:pt idx="438">
                  <c:v>98.302847833708043</c:v>
                </c:pt>
                <c:pt idx="439">
                  <c:v>98.309034293609471</c:v>
                </c:pt>
                <c:pt idx="440">
                  <c:v>98.249231847895658</c:v>
                </c:pt>
                <c:pt idx="441">
                  <c:v>98.276039840801857</c:v>
                </c:pt>
                <c:pt idx="442">
                  <c:v>98.315220753510914</c:v>
                </c:pt>
                <c:pt idx="443">
                  <c:v>98.2471696945952</c:v>
                </c:pt>
                <c:pt idx="444">
                  <c:v>98.228610314890915</c:v>
                </c:pt>
                <c:pt idx="445">
                  <c:v>98.224486008289972</c:v>
                </c:pt>
                <c:pt idx="446">
                  <c:v>98.150248489472816</c:v>
                </c:pt>
                <c:pt idx="447">
                  <c:v>98.156434949374244</c:v>
                </c:pt>
                <c:pt idx="448">
                  <c:v>98.129626956468059</c:v>
                </c:pt>
                <c:pt idx="449">
                  <c:v>98.13168910976853</c:v>
                </c:pt>
                <c:pt idx="450">
                  <c:v>98.164683562576144</c:v>
                </c:pt>
                <c:pt idx="451">
                  <c:v>98.189429402181858</c:v>
                </c:pt>
                <c:pt idx="452">
                  <c:v>98.199740168684258</c:v>
                </c:pt>
                <c:pt idx="453">
                  <c:v>98.179118635679501</c:v>
                </c:pt>
                <c:pt idx="454">
                  <c:v>98.253356154496643</c:v>
                </c:pt>
                <c:pt idx="455">
                  <c:v>98.280164147402829</c:v>
                </c:pt>
                <c:pt idx="456">
                  <c:v>98.276039840801886</c:v>
                </c:pt>
                <c:pt idx="457">
                  <c:v>98.331717979914743</c:v>
                </c:pt>
                <c:pt idx="458">
                  <c:v>98.434825644938556</c:v>
                </c:pt>
                <c:pt idx="459">
                  <c:v>98.39976903883047</c:v>
                </c:pt>
                <c:pt idx="460">
                  <c:v>98.41007980533287</c:v>
                </c:pt>
                <c:pt idx="461">
                  <c:v>98.447198564741427</c:v>
                </c:pt>
                <c:pt idx="462">
                  <c:v>98.459571484544284</c:v>
                </c:pt>
                <c:pt idx="463">
                  <c:v>98.469882251046656</c:v>
                </c:pt>
                <c:pt idx="464">
                  <c:v>98.482255170849527</c:v>
                </c:pt>
                <c:pt idx="465">
                  <c:v>98.428639185037142</c:v>
                </c:pt>
                <c:pt idx="466">
                  <c:v>98.360588126121428</c:v>
                </c:pt>
                <c:pt idx="467">
                  <c:v>98.360588126121428</c:v>
                </c:pt>
                <c:pt idx="468">
                  <c:v>98.300785680407614</c:v>
                </c:pt>
                <c:pt idx="469">
                  <c:v>98.354401666219999</c:v>
                </c:pt>
                <c:pt idx="470">
                  <c:v>98.282226300703329</c:v>
                </c:pt>
                <c:pt idx="471">
                  <c:v>98.3275936733138</c:v>
                </c:pt>
                <c:pt idx="472">
                  <c:v>98.372961045924285</c:v>
                </c:pt>
                <c:pt idx="473">
                  <c:v>98.41626626523427</c:v>
                </c:pt>
                <c:pt idx="474">
                  <c:v>98.546181923164283</c:v>
                </c:pt>
                <c:pt idx="475">
                  <c:v>98.581238529272383</c:v>
                </c:pt>
                <c:pt idx="476">
                  <c:v>98.575052069370955</c:v>
                </c:pt>
                <c:pt idx="477">
                  <c:v>98.535871156661898</c:v>
                </c:pt>
                <c:pt idx="478">
                  <c:v>98.558554842967126</c:v>
                </c:pt>
                <c:pt idx="479">
                  <c:v>98.577114222671398</c:v>
                </c:pt>
                <c:pt idx="480">
                  <c:v>98.564741302868555</c:v>
                </c:pt>
                <c:pt idx="481">
                  <c:v>98.575052069370926</c:v>
                </c:pt>
                <c:pt idx="482">
                  <c:v>98.575052069370926</c:v>
                </c:pt>
                <c:pt idx="483">
                  <c:v>98.511125317056155</c:v>
                </c:pt>
                <c:pt idx="484">
                  <c:v>98.469882251046641</c:v>
                </c:pt>
                <c:pt idx="485">
                  <c:v>98.453385024642827</c:v>
                </c:pt>
                <c:pt idx="486">
                  <c:v>98.455447177943313</c:v>
                </c:pt>
                <c:pt idx="487">
                  <c:v>98.476068710948084</c:v>
                </c:pt>
                <c:pt idx="488">
                  <c:v>98.548244076464741</c:v>
                </c:pt>
                <c:pt idx="489">
                  <c:v>98.643103128286668</c:v>
                </c:pt>
                <c:pt idx="490">
                  <c:v>98.63691666838524</c:v>
                </c:pt>
                <c:pt idx="491">
                  <c:v>98.808075392324781</c:v>
                </c:pt>
                <c:pt idx="492">
                  <c:v>98.849318458334309</c:v>
                </c:pt>
                <c:pt idx="493">
                  <c:v>98.832821231930495</c:v>
                </c:pt>
                <c:pt idx="494">
                  <c:v>98.880250757841452</c:v>
                </c:pt>
                <c:pt idx="495">
                  <c:v>98.92149382385098</c:v>
                </c:pt>
                <c:pt idx="496">
                  <c:v>98.933866743653837</c:v>
                </c:pt>
                <c:pt idx="497">
                  <c:v>98.90499659744718</c:v>
                </c:pt>
                <c:pt idx="498">
                  <c:v>98.830759078630024</c:v>
                </c:pt>
                <c:pt idx="499">
                  <c:v>98.851380611634795</c:v>
                </c:pt>
                <c:pt idx="500">
                  <c:v>98.857567071536209</c:v>
                </c:pt>
                <c:pt idx="501">
                  <c:v>98.907058750747652</c:v>
                </c:pt>
                <c:pt idx="502">
                  <c:v>98.933866743653837</c:v>
                </c:pt>
                <c:pt idx="503">
                  <c:v>98.902934444146695</c:v>
                </c:pt>
                <c:pt idx="504">
                  <c:v>98.847256305033824</c:v>
                </c:pt>
                <c:pt idx="505">
                  <c:v>98.845194151733352</c:v>
                </c:pt>
                <c:pt idx="506">
                  <c:v>98.756521559812867</c:v>
                </c:pt>
                <c:pt idx="507">
                  <c:v>98.721464953704782</c:v>
                </c:pt>
                <c:pt idx="508">
                  <c:v>98.750335099911439</c:v>
                </c:pt>
                <c:pt idx="509">
                  <c:v>98.690532654197625</c:v>
                </c:pt>
                <c:pt idx="510">
                  <c:v>98.713216340502868</c:v>
                </c:pt>
                <c:pt idx="511">
                  <c:v>98.694656960798582</c:v>
                </c:pt>
                <c:pt idx="512">
                  <c:v>98.727651413606196</c:v>
                </c:pt>
                <c:pt idx="513">
                  <c:v>98.746210793310482</c:v>
                </c:pt>
                <c:pt idx="514">
                  <c:v>98.735900026808096</c:v>
                </c:pt>
                <c:pt idx="515">
                  <c:v>98.719402800404282</c:v>
                </c:pt>
                <c:pt idx="516">
                  <c:v>98.746210793310468</c:v>
                </c:pt>
                <c:pt idx="517">
                  <c:v>98.667848967892368</c:v>
                </c:pt>
                <c:pt idx="518">
                  <c:v>98.773018786216667</c:v>
                </c:pt>
                <c:pt idx="519">
                  <c:v>98.78745385932001</c:v>
                </c:pt>
                <c:pt idx="520">
                  <c:v>98.836945538531438</c:v>
                </c:pt>
                <c:pt idx="521">
                  <c:v>98.799826779122867</c:v>
                </c:pt>
                <c:pt idx="522">
                  <c:v>98.78745385932001</c:v>
                </c:pt>
                <c:pt idx="523">
                  <c:v>98.78745385932001</c:v>
                </c:pt>
                <c:pt idx="524">
                  <c:v>98.766832326315239</c:v>
                </c:pt>
                <c:pt idx="525">
                  <c:v>98.700843420699996</c:v>
                </c:pt>
                <c:pt idx="526">
                  <c:v>98.647227434887611</c:v>
                </c:pt>
                <c:pt idx="527">
                  <c:v>98.643103128286668</c:v>
                </c:pt>
                <c:pt idx="528">
                  <c:v>98.657538201389997</c:v>
                </c:pt>
                <c:pt idx="529">
                  <c:v>98.638978821685697</c:v>
                </c:pt>
                <c:pt idx="530">
                  <c:v>98.65135174148854</c:v>
                </c:pt>
                <c:pt idx="531">
                  <c:v>98.671973274493297</c:v>
                </c:pt>
                <c:pt idx="532">
                  <c:v>98.69465696079854</c:v>
                </c:pt>
                <c:pt idx="533">
                  <c:v>98.735900026808054</c:v>
                </c:pt>
                <c:pt idx="534">
                  <c:v>98.750335099911396</c:v>
                </c:pt>
                <c:pt idx="535">
                  <c:v>98.801888932423296</c:v>
                </c:pt>
                <c:pt idx="536">
                  <c:v>98.900872290846181</c:v>
                </c:pt>
                <c:pt idx="537">
                  <c:v>98.946239663456666</c:v>
                </c:pt>
                <c:pt idx="538">
                  <c:v>99.082341781288108</c:v>
                </c:pt>
                <c:pt idx="539">
                  <c:v>99.41434846266479</c:v>
                </c:pt>
                <c:pt idx="540">
                  <c:v>99.60819087290956</c:v>
                </c:pt>
                <c:pt idx="541">
                  <c:v>99.876270801971486</c:v>
                </c:pt>
                <c:pt idx="542">
                  <c:v>100.60214876373918</c:v>
                </c:pt>
                <c:pt idx="543">
                  <c:v>101.00426865733208</c:v>
                </c:pt>
                <c:pt idx="544">
                  <c:v>101.2022353741778</c:v>
                </c:pt>
                <c:pt idx="545">
                  <c:v>101.15480584826685</c:v>
                </c:pt>
                <c:pt idx="546">
                  <c:v>101.50330975604736</c:v>
                </c:pt>
                <c:pt idx="547">
                  <c:v>101.78376260491214</c:v>
                </c:pt>
                <c:pt idx="548">
                  <c:v>102.07865052688025</c:v>
                </c:pt>
                <c:pt idx="549">
                  <c:v>102.16526096550027</c:v>
                </c:pt>
                <c:pt idx="550">
                  <c:v>102.26836863052408</c:v>
                </c:pt>
                <c:pt idx="551">
                  <c:v>102.53851071288648</c:v>
                </c:pt>
                <c:pt idx="552">
                  <c:v>102.78390695564316</c:v>
                </c:pt>
                <c:pt idx="553">
                  <c:v>103.27263728785604</c:v>
                </c:pt>
                <c:pt idx="554">
                  <c:v>104.02944754913086</c:v>
                </c:pt>
                <c:pt idx="555">
                  <c:v>104.13049306085419</c:v>
                </c:pt>
                <c:pt idx="556">
                  <c:v>104.03563400903229</c:v>
                </c:pt>
                <c:pt idx="557">
                  <c:v>103.72012455405942</c:v>
                </c:pt>
                <c:pt idx="558">
                  <c:v>103.42729878539178</c:v>
                </c:pt>
                <c:pt idx="559">
                  <c:v>102.97774936588795</c:v>
                </c:pt>
                <c:pt idx="560">
                  <c:v>102.40240859505504</c:v>
                </c:pt>
                <c:pt idx="561">
                  <c:v>101.68477924648927</c:v>
                </c:pt>
                <c:pt idx="562">
                  <c:v>101.2888458127978</c:v>
                </c:pt>
                <c:pt idx="563">
                  <c:v>100.3299445280763</c:v>
                </c:pt>
                <c:pt idx="564">
                  <c:v>100.12166704472818</c:v>
                </c:pt>
                <c:pt idx="565">
                  <c:v>100.24539624275677</c:v>
                </c:pt>
                <c:pt idx="566">
                  <c:v>99.925762481182929</c:v>
                </c:pt>
                <c:pt idx="567">
                  <c:v>99.799971129853873</c:v>
                </c:pt>
                <c:pt idx="568">
                  <c:v>99.503021054585275</c:v>
                </c:pt>
                <c:pt idx="569">
                  <c:v>99.162765760006678</c:v>
                </c:pt>
                <c:pt idx="570">
                  <c:v>98.94417751015618</c:v>
                </c:pt>
                <c:pt idx="571">
                  <c:v>98.915307363949509</c:v>
                </c:pt>
                <c:pt idx="572">
                  <c:v>98.896747984245209</c:v>
                </c:pt>
                <c:pt idx="573">
                  <c:v>98.907058750747595</c:v>
                </c:pt>
                <c:pt idx="574">
                  <c:v>98.884375064442352</c:v>
                </c:pt>
                <c:pt idx="575">
                  <c:v>98.83488338523091</c:v>
                </c:pt>
                <c:pt idx="576">
                  <c:v>98.983358422865209</c:v>
                </c:pt>
                <c:pt idx="577">
                  <c:v>99.121522693997122</c:v>
                </c:pt>
                <c:pt idx="578">
                  <c:v>99.389602623059048</c:v>
                </c:pt>
                <c:pt idx="579">
                  <c:v>99.63087455921476</c:v>
                </c:pt>
                <c:pt idx="580">
                  <c:v>99.830903429360973</c:v>
                </c:pt>
                <c:pt idx="581">
                  <c:v>100.22477470975196</c:v>
                </c:pt>
                <c:pt idx="582">
                  <c:v>100.45779803270578</c:v>
                </c:pt>
                <c:pt idx="583">
                  <c:v>100.56296785103008</c:v>
                </c:pt>
                <c:pt idx="584">
                  <c:v>100.81867486028914</c:v>
                </c:pt>
                <c:pt idx="585">
                  <c:v>100.61039737694102</c:v>
                </c:pt>
                <c:pt idx="586">
                  <c:v>100.19590456354528</c:v>
                </c:pt>
                <c:pt idx="587">
                  <c:v>99.942259707586686</c:v>
                </c:pt>
                <c:pt idx="588">
                  <c:v>99.731920070938102</c:v>
                </c:pt>
                <c:pt idx="589">
                  <c:v>99.32980017734522</c:v>
                </c:pt>
                <c:pt idx="590">
                  <c:v>99.393726929659977</c:v>
                </c:pt>
                <c:pt idx="591">
                  <c:v>99.44528076217189</c:v>
                </c:pt>
                <c:pt idx="592">
                  <c:v>99.602004413008103</c:v>
                </c:pt>
                <c:pt idx="593">
                  <c:v>99.771100983647173</c:v>
                </c:pt>
                <c:pt idx="594">
                  <c:v>99.789660363351459</c:v>
                </c:pt>
                <c:pt idx="595">
                  <c:v>99.60612871960906</c:v>
                </c:pt>
                <c:pt idx="596">
                  <c:v>99.496834594683818</c:v>
                </c:pt>
                <c:pt idx="597">
                  <c:v>99.474150908378576</c:v>
                </c:pt>
                <c:pt idx="598">
                  <c:v>99.418472769265719</c:v>
                </c:pt>
                <c:pt idx="599">
                  <c:v>99.342173097148091</c:v>
                </c:pt>
                <c:pt idx="600">
                  <c:v>99.276184191532849</c:v>
                </c:pt>
                <c:pt idx="601">
                  <c:v>99.237003278823806</c:v>
                </c:pt>
                <c:pt idx="602">
                  <c:v>99.195760212814278</c:v>
                </c:pt>
                <c:pt idx="603">
                  <c:v>99.31536510424192</c:v>
                </c:pt>
                <c:pt idx="604">
                  <c:v>99.352483863650505</c:v>
                </c:pt>
                <c:pt idx="605">
                  <c:v>99.274122038232406</c:v>
                </c:pt>
                <c:pt idx="606">
                  <c:v>99.245251892025721</c:v>
                </c:pt>
                <c:pt idx="607">
                  <c:v>99.051409481780937</c:v>
                </c:pt>
                <c:pt idx="608">
                  <c:v>98.968923349761894</c:v>
                </c:pt>
                <c:pt idx="609">
                  <c:v>98.915307363949509</c:v>
                </c:pt>
                <c:pt idx="610">
                  <c:v>98.77508093951711</c:v>
                </c:pt>
                <c:pt idx="611">
                  <c:v>98.865815684738067</c:v>
                </c:pt>
                <c:pt idx="612">
                  <c:v>98.999855649269037</c:v>
                </c:pt>
                <c:pt idx="613">
                  <c:v>99.251438351927163</c:v>
                </c:pt>
                <c:pt idx="614">
                  <c:v>99.383416163157634</c:v>
                </c:pt>
                <c:pt idx="615">
                  <c:v>99.486523828181447</c:v>
                </c:pt>
                <c:pt idx="616">
                  <c:v>99.470026601777633</c:v>
                </c:pt>
                <c:pt idx="617">
                  <c:v>99.503021054585261</c:v>
                </c:pt>
                <c:pt idx="618">
                  <c:v>99.676241931825288</c:v>
                </c:pt>
                <c:pt idx="619">
                  <c:v>99.775225290248159</c:v>
                </c:pt>
                <c:pt idx="620">
                  <c:v>99.880395108572472</c:v>
                </c:pt>
                <c:pt idx="621">
                  <c:v>100.03918091270914</c:v>
                </c:pt>
                <c:pt idx="622">
                  <c:v>100.16703441733868</c:v>
                </c:pt>
                <c:pt idx="623">
                  <c:v>100.34437960117965</c:v>
                </c:pt>
                <c:pt idx="624">
                  <c:v>100.37118759408585</c:v>
                </c:pt>
                <c:pt idx="625">
                  <c:v>100.3320066813768</c:v>
                </c:pt>
                <c:pt idx="626">
                  <c:v>100.14228857773297</c:v>
                </c:pt>
                <c:pt idx="627">
                  <c:v>99.911327408079615</c:v>
                </c:pt>
                <c:pt idx="628">
                  <c:v>99.733982224238645</c:v>
                </c:pt>
                <c:pt idx="629">
                  <c:v>99.523642587590061</c:v>
                </c:pt>
                <c:pt idx="630">
                  <c:v>99.562823500299118</c:v>
                </c:pt>
                <c:pt idx="631">
                  <c:v>99.746355144041502</c:v>
                </c:pt>
                <c:pt idx="632">
                  <c:v>99.841214195863415</c:v>
                </c:pt>
                <c:pt idx="633">
                  <c:v>100.05361598581247</c:v>
                </c:pt>
                <c:pt idx="634">
                  <c:v>100.07423751881724</c:v>
                </c:pt>
                <c:pt idx="635">
                  <c:v>100.008248613202</c:v>
                </c:pt>
                <c:pt idx="636">
                  <c:v>99.940197554286271</c:v>
                </c:pt>
                <c:pt idx="637">
                  <c:v>99.8948301816758</c:v>
                </c:pt>
                <c:pt idx="638">
                  <c:v>100.04742952591104</c:v>
                </c:pt>
                <c:pt idx="639">
                  <c:v>100.08248613201914</c:v>
                </c:pt>
                <c:pt idx="640">
                  <c:v>100.18559379704296</c:v>
                </c:pt>
                <c:pt idx="641">
                  <c:v>100.15053719093487</c:v>
                </c:pt>
                <c:pt idx="642">
                  <c:v>100.1216670447282</c:v>
                </c:pt>
                <c:pt idx="643">
                  <c:v>100.051553832512</c:v>
                </c:pt>
                <c:pt idx="644">
                  <c:v>100.01443507310343</c:v>
                </c:pt>
                <c:pt idx="645">
                  <c:v>100.0618645990144</c:v>
                </c:pt>
                <c:pt idx="646">
                  <c:v>100.08042397871867</c:v>
                </c:pt>
                <c:pt idx="647">
                  <c:v>100.01443507310343</c:v>
                </c:pt>
                <c:pt idx="648">
                  <c:v>100.04949167921154</c:v>
                </c:pt>
                <c:pt idx="649">
                  <c:v>99.979378466995342</c:v>
                </c:pt>
                <c:pt idx="650">
                  <c:v>99.942259707586771</c:v>
                </c:pt>
                <c:pt idx="651">
                  <c:v>99.851524962365815</c:v>
                </c:pt>
                <c:pt idx="652">
                  <c:v>99.870084342070115</c:v>
                </c:pt>
                <c:pt idx="653">
                  <c:v>99.956694780690128</c:v>
                </c:pt>
                <c:pt idx="654">
                  <c:v>100.02474583960586</c:v>
                </c:pt>
                <c:pt idx="655">
                  <c:v>100.06598890561537</c:v>
                </c:pt>
                <c:pt idx="656">
                  <c:v>100.16084795743728</c:v>
                </c:pt>
                <c:pt idx="657">
                  <c:v>100.46192233930684</c:v>
                </c:pt>
                <c:pt idx="658">
                  <c:v>100.43305219310015</c:v>
                </c:pt>
                <c:pt idx="659">
                  <c:v>100.47635741241017</c:v>
                </c:pt>
                <c:pt idx="660">
                  <c:v>100.46810879920825</c:v>
                </c:pt>
                <c:pt idx="661">
                  <c:v>100.39799558699205</c:v>
                </c:pt>
                <c:pt idx="662">
                  <c:v>100.48666817891255</c:v>
                </c:pt>
                <c:pt idx="663">
                  <c:v>100.52584909162161</c:v>
                </c:pt>
                <c:pt idx="664">
                  <c:v>100.63308106324638</c:v>
                </c:pt>
                <c:pt idx="665">
                  <c:v>100.65782690285211</c:v>
                </c:pt>
                <c:pt idx="666">
                  <c:v>100.75062380137355</c:v>
                </c:pt>
                <c:pt idx="667">
                  <c:v>100.80011548058499</c:v>
                </c:pt>
                <c:pt idx="668">
                  <c:v>100.70113212216212</c:v>
                </c:pt>
                <c:pt idx="669">
                  <c:v>100.56503000433069</c:v>
                </c:pt>
                <c:pt idx="670">
                  <c:v>100.29695007526877</c:v>
                </c:pt>
                <c:pt idx="671">
                  <c:v>100.07836182541827</c:v>
                </c:pt>
                <c:pt idx="672">
                  <c:v>100.00000000000017</c:v>
                </c:pt>
                <c:pt idx="673">
                  <c:v>99.890705875074914</c:v>
                </c:pt>
                <c:pt idx="674">
                  <c:v>100.0680510589159</c:v>
                </c:pt>
                <c:pt idx="675">
                  <c:v>100.07423751881733</c:v>
                </c:pt>
                <c:pt idx="676">
                  <c:v>100.10104551172351</c:v>
                </c:pt>
                <c:pt idx="677">
                  <c:v>100.08042397871874</c:v>
                </c:pt>
                <c:pt idx="678">
                  <c:v>100.07011321221636</c:v>
                </c:pt>
                <c:pt idx="679">
                  <c:v>100.15053719093494</c:v>
                </c:pt>
                <c:pt idx="680">
                  <c:v>100.55471923782831</c:v>
                </c:pt>
                <c:pt idx="681">
                  <c:v>100.71762934856595</c:v>
                </c:pt>
                <c:pt idx="682">
                  <c:v>100.75268595467404</c:v>
                </c:pt>
                <c:pt idx="683">
                  <c:v>100.75681026127499</c:v>
                </c:pt>
                <c:pt idx="684">
                  <c:v>100.75474810797451</c:v>
                </c:pt>
                <c:pt idx="685">
                  <c:v>101.07438186954835</c:v>
                </c:pt>
                <c:pt idx="686">
                  <c:v>101.08056832944979</c:v>
                </c:pt>
                <c:pt idx="687">
                  <c:v>101.28265935289647</c:v>
                </c:pt>
                <c:pt idx="688">
                  <c:v>101.24141628688695</c:v>
                </c:pt>
                <c:pt idx="689">
                  <c:v>100.97333635782502</c:v>
                </c:pt>
                <c:pt idx="690">
                  <c:v>101.24966490008886</c:v>
                </c:pt>
                <c:pt idx="691">
                  <c:v>101.32184026560553</c:v>
                </c:pt>
                <c:pt idx="692">
                  <c:v>101.39195347782174</c:v>
                </c:pt>
                <c:pt idx="693">
                  <c:v>101.48887468294413</c:v>
                </c:pt>
                <c:pt idx="694">
                  <c:v>101.54042851545604</c:v>
                </c:pt>
                <c:pt idx="695">
                  <c:v>101.73220877240036</c:v>
                </c:pt>
                <c:pt idx="696">
                  <c:v>101.94667271564991</c:v>
                </c:pt>
                <c:pt idx="697">
                  <c:v>101.93429979584705</c:v>
                </c:pt>
                <c:pt idx="698">
                  <c:v>101.87243519683275</c:v>
                </c:pt>
                <c:pt idx="699">
                  <c:v>101.71364939269607</c:v>
                </c:pt>
                <c:pt idx="700">
                  <c:v>101.70127647289321</c:v>
                </c:pt>
                <c:pt idx="701">
                  <c:v>101.60435526777081</c:v>
                </c:pt>
                <c:pt idx="702">
                  <c:v>101.69509001299176</c:v>
                </c:pt>
                <c:pt idx="703">
                  <c:v>101.7878869115132</c:v>
                </c:pt>
                <c:pt idx="704">
                  <c:v>101.82088136432081</c:v>
                </c:pt>
                <c:pt idx="705">
                  <c:v>101.80025983131605</c:v>
                </c:pt>
                <c:pt idx="706">
                  <c:v>101.76726537850843</c:v>
                </c:pt>
                <c:pt idx="707">
                  <c:v>101.84356505062605</c:v>
                </c:pt>
                <c:pt idx="708">
                  <c:v>101.81675705771985</c:v>
                </c:pt>
                <c:pt idx="709">
                  <c:v>101.81881921102034</c:v>
                </c:pt>
                <c:pt idx="710">
                  <c:v>101.89718103643845</c:v>
                </c:pt>
                <c:pt idx="711">
                  <c:v>102.02709669436847</c:v>
                </c:pt>
                <c:pt idx="712">
                  <c:v>102.19619326500752</c:v>
                </c:pt>
                <c:pt idx="713">
                  <c:v>102.27043078382466</c:v>
                </c:pt>
                <c:pt idx="714">
                  <c:v>102.51788917988183</c:v>
                </c:pt>
                <c:pt idx="715">
                  <c:v>102.56738085909328</c:v>
                </c:pt>
                <c:pt idx="716">
                  <c:v>102.86020662776093</c:v>
                </c:pt>
                <c:pt idx="717">
                  <c:v>103.27676159445716</c:v>
                </c:pt>
                <c:pt idx="718">
                  <c:v>103.77167838657149</c:v>
                </c:pt>
                <c:pt idx="719">
                  <c:v>104.20473057967153</c:v>
                </c:pt>
                <c:pt idx="720">
                  <c:v>105.64617573670449</c:v>
                </c:pt>
                <c:pt idx="721">
                  <c:v>105.51832223207496</c:v>
                </c:pt>
                <c:pt idx="722">
                  <c:v>104.7821335038049</c:v>
                </c:pt>
                <c:pt idx="723">
                  <c:v>104.8006928835092</c:v>
                </c:pt>
                <c:pt idx="724">
                  <c:v>104.42744313612299</c:v>
                </c:pt>
                <c:pt idx="725">
                  <c:v>104.54704802755063</c:v>
                </c:pt>
                <c:pt idx="726">
                  <c:v>104.99247314045353</c:v>
                </c:pt>
                <c:pt idx="727">
                  <c:v>105.1698183242945</c:v>
                </c:pt>
                <c:pt idx="728">
                  <c:v>105.42758748685404</c:v>
                </c:pt>
                <c:pt idx="729">
                  <c:v>105.69360526261546</c:v>
                </c:pt>
                <c:pt idx="730">
                  <c:v>106.02148763739122</c:v>
                </c:pt>
                <c:pt idx="731">
                  <c:v>106.29987833295554</c:v>
                </c:pt>
                <c:pt idx="732">
                  <c:v>106.97832676881227</c:v>
                </c:pt>
                <c:pt idx="733">
                  <c:v>107.35982512940041</c:v>
                </c:pt>
                <c:pt idx="734">
                  <c:v>107.73926133668806</c:v>
                </c:pt>
                <c:pt idx="735">
                  <c:v>108.28160765471334</c:v>
                </c:pt>
                <c:pt idx="736">
                  <c:v>108.24242674200428</c:v>
                </c:pt>
                <c:pt idx="737">
                  <c:v>107.93722805353377</c:v>
                </c:pt>
                <c:pt idx="738">
                  <c:v>107.69183181077709</c:v>
                </c:pt>
                <c:pt idx="739">
                  <c:v>107.57428907264993</c:v>
                </c:pt>
                <c:pt idx="740">
                  <c:v>107.6382158249647</c:v>
                </c:pt>
                <c:pt idx="741">
                  <c:v>107.68770750417613</c:v>
                </c:pt>
                <c:pt idx="742">
                  <c:v>107.743385643289</c:v>
                </c:pt>
                <c:pt idx="743">
                  <c:v>107.76194502299329</c:v>
                </c:pt>
                <c:pt idx="744">
                  <c:v>107.90217144742566</c:v>
                </c:pt>
                <c:pt idx="745">
                  <c:v>107.70626688388039</c:v>
                </c:pt>
                <c:pt idx="746">
                  <c:v>107.76606932959422</c:v>
                </c:pt>
                <c:pt idx="747">
                  <c:v>107.80731239560373</c:v>
                </c:pt>
                <c:pt idx="748">
                  <c:v>108.00734126574996</c:v>
                </c:pt>
                <c:pt idx="749">
                  <c:v>108.35378302023</c:v>
                </c:pt>
                <c:pt idx="750">
                  <c:v>108.65279524879907</c:v>
                </c:pt>
                <c:pt idx="751">
                  <c:v>108.35584517353048</c:v>
                </c:pt>
                <c:pt idx="752">
                  <c:v>107.75369640979137</c:v>
                </c:pt>
                <c:pt idx="753">
                  <c:v>107.68358319757519</c:v>
                </c:pt>
                <c:pt idx="754">
                  <c:v>107.08968304703798</c:v>
                </c:pt>
                <c:pt idx="755">
                  <c:v>107.06493720743229</c:v>
                </c:pt>
                <c:pt idx="756">
                  <c:v>107.00307260841798</c:v>
                </c:pt>
                <c:pt idx="757">
                  <c:v>106.91027570989655</c:v>
                </c:pt>
                <c:pt idx="758">
                  <c:v>106.89377848349274</c:v>
                </c:pt>
                <c:pt idx="759">
                  <c:v>106.87315695048798</c:v>
                </c:pt>
                <c:pt idx="760">
                  <c:v>106.85253541748321</c:v>
                </c:pt>
                <c:pt idx="761">
                  <c:v>106.87521910378847</c:v>
                </c:pt>
                <c:pt idx="762">
                  <c:v>107.00101045511752</c:v>
                </c:pt>
                <c:pt idx="763">
                  <c:v>107.06699936073278</c:v>
                </c:pt>
                <c:pt idx="764">
                  <c:v>107.26290392427802</c:v>
                </c:pt>
                <c:pt idx="765">
                  <c:v>107.35570082279946</c:v>
                </c:pt>
                <c:pt idx="766">
                  <c:v>107.46499494772472</c:v>
                </c:pt>
                <c:pt idx="767">
                  <c:v>107.60315921885662</c:v>
                </c:pt>
                <c:pt idx="768">
                  <c:v>107.76813148289474</c:v>
                </c:pt>
                <c:pt idx="769">
                  <c:v>107.87742560781999</c:v>
                </c:pt>
                <c:pt idx="770">
                  <c:v>108.07126801806477</c:v>
                </c:pt>
                <c:pt idx="771">
                  <c:v>108.11457323737476</c:v>
                </c:pt>
                <c:pt idx="772">
                  <c:v>108.18056214299</c:v>
                </c:pt>
                <c:pt idx="773">
                  <c:v>108.24655104860524</c:v>
                </c:pt>
                <c:pt idx="774">
                  <c:v>108.12488400387716</c:v>
                </c:pt>
                <c:pt idx="775">
                  <c:v>108.12694615717763</c:v>
                </c:pt>
                <c:pt idx="776">
                  <c:v>108.1558163033843</c:v>
                </c:pt>
                <c:pt idx="777">
                  <c:v>108.28366980801384</c:v>
                </c:pt>
                <c:pt idx="778">
                  <c:v>108.41977192584528</c:v>
                </c:pt>
                <c:pt idx="779">
                  <c:v>108.56206050357815</c:v>
                </c:pt>
                <c:pt idx="780">
                  <c:v>108.66929247520291</c:v>
                </c:pt>
                <c:pt idx="781">
                  <c:v>108.87344565195006</c:v>
                </c:pt>
                <c:pt idx="782">
                  <c:v>108.95799393726958</c:v>
                </c:pt>
                <c:pt idx="783">
                  <c:v>108.74971645392147</c:v>
                </c:pt>
                <c:pt idx="784">
                  <c:v>108.4672014517562</c:v>
                </c:pt>
                <c:pt idx="785">
                  <c:v>108.25892396840808</c:v>
                </c:pt>
                <c:pt idx="786">
                  <c:v>108.35790732683095</c:v>
                </c:pt>
                <c:pt idx="787">
                  <c:v>108.32285072072284</c:v>
                </c:pt>
                <c:pt idx="788">
                  <c:v>108.45482853195332</c:v>
                </c:pt>
                <c:pt idx="789">
                  <c:v>108.54762543047477</c:v>
                </c:pt>
                <c:pt idx="790">
                  <c:v>108.65073309549858</c:v>
                </c:pt>
                <c:pt idx="791">
                  <c:v>108.68578970160668</c:v>
                </c:pt>
                <c:pt idx="792">
                  <c:v>108.81776751283718</c:v>
                </c:pt>
                <c:pt idx="793">
                  <c:v>108.81776751283718</c:v>
                </c:pt>
                <c:pt idx="794">
                  <c:v>108.76208937372429</c:v>
                </c:pt>
                <c:pt idx="795">
                  <c:v>108.85488627224575</c:v>
                </c:pt>
                <c:pt idx="796">
                  <c:v>108.83220258594051</c:v>
                </c:pt>
                <c:pt idx="797">
                  <c:v>108.90644010475766</c:v>
                </c:pt>
                <c:pt idx="798">
                  <c:v>108.94768317076721</c:v>
                </c:pt>
                <c:pt idx="799">
                  <c:v>109.02192068958433</c:v>
                </c:pt>
                <c:pt idx="800">
                  <c:v>109.18895510692293</c:v>
                </c:pt>
                <c:pt idx="801">
                  <c:v>109.31062215165105</c:v>
                </c:pt>
                <c:pt idx="802">
                  <c:v>109.43847565628059</c:v>
                </c:pt>
                <c:pt idx="803">
                  <c:v>109.53539686140297</c:v>
                </c:pt>
                <c:pt idx="804">
                  <c:v>109.73542573154919</c:v>
                </c:pt>
                <c:pt idx="805">
                  <c:v>109.94782752149824</c:v>
                </c:pt>
                <c:pt idx="806">
                  <c:v>110.08599179263017</c:v>
                </c:pt>
                <c:pt idx="807">
                  <c:v>110.34788526179065</c:v>
                </c:pt>
                <c:pt idx="808">
                  <c:v>110.65102179696069</c:v>
                </c:pt>
                <c:pt idx="809">
                  <c:v>110.81186975439783</c:v>
                </c:pt>
                <c:pt idx="810">
                  <c:v>109.86740354277966</c:v>
                </c:pt>
                <c:pt idx="811">
                  <c:v>108.90231579815672</c:v>
                </c:pt>
                <c:pt idx="812">
                  <c:v>107.11442888664371</c:v>
                </c:pt>
                <c:pt idx="813">
                  <c:v>107.09586950693944</c:v>
                </c:pt>
                <c:pt idx="814">
                  <c:v>107.47943002082805</c:v>
                </c:pt>
                <c:pt idx="815">
                  <c:v>107.68564535087569</c:v>
                </c:pt>
                <c:pt idx="816">
                  <c:v>107.68770750417617</c:v>
                </c:pt>
                <c:pt idx="817">
                  <c:v>107.62171859856092</c:v>
                </c:pt>
                <c:pt idx="818">
                  <c:v>107.69183181077712</c:v>
                </c:pt>
                <c:pt idx="819">
                  <c:v>107.69389396407759</c:v>
                </c:pt>
                <c:pt idx="820">
                  <c:v>107.6217185985609</c:v>
                </c:pt>
                <c:pt idx="821">
                  <c:v>107.32683067659279</c:v>
                </c:pt>
                <c:pt idx="822">
                  <c:v>107.29177407048468</c:v>
                </c:pt>
                <c:pt idx="823">
                  <c:v>107.19279071206181</c:v>
                </c:pt>
                <c:pt idx="824">
                  <c:v>107.36188728270086</c:v>
                </c:pt>
                <c:pt idx="825">
                  <c:v>107.37426020250373</c:v>
                </c:pt>
                <c:pt idx="826">
                  <c:v>107.36188728270086</c:v>
                </c:pt>
                <c:pt idx="827">
                  <c:v>107.41344111521276</c:v>
                </c:pt>
                <c:pt idx="828">
                  <c:v>107.44643556802038</c:v>
                </c:pt>
                <c:pt idx="829">
                  <c:v>107.53098385333992</c:v>
                </c:pt>
                <c:pt idx="830">
                  <c:v>107.6629616645704</c:v>
                </c:pt>
                <c:pt idx="831">
                  <c:v>107.72070195698373</c:v>
                </c:pt>
                <c:pt idx="832">
                  <c:v>107.66502381787087</c:v>
                </c:pt>
                <c:pt idx="833">
                  <c:v>107.70008042397896</c:v>
                </c:pt>
                <c:pt idx="834">
                  <c:v>107.8712391479185</c:v>
                </c:pt>
                <c:pt idx="835">
                  <c:v>107.74338564328897</c:v>
                </c:pt>
                <c:pt idx="836">
                  <c:v>107.62584290516182</c:v>
                </c:pt>
                <c:pt idx="837">
                  <c:v>107.55160538634466</c:v>
                </c:pt>
                <c:pt idx="838">
                  <c:v>107.38044666240513</c:v>
                </c:pt>
                <c:pt idx="839" formatCode="0">
                  <c:v>107.38457096900608</c:v>
                </c:pt>
                <c:pt idx="840" formatCode="0">
                  <c:v>107.34332790299655</c:v>
                </c:pt>
                <c:pt idx="841" formatCode="0">
                  <c:v>107.35157651619848</c:v>
                </c:pt>
                <c:pt idx="842" formatCode="0">
                  <c:v>107.34951436289801</c:v>
                </c:pt>
                <c:pt idx="843" formatCode="0">
                  <c:v>107.37219804920322</c:v>
                </c:pt>
                <c:pt idx="844" formatCode="0">
                  <c:v>107.39281958220801</c:v>
                </c:pt>
                <c:pt idx="845" formatCode="0">
                  <c:v>107.35776297609992</c:v>
                </c:pt>
                <c:pt idx="846" formatCode="0">
                  <c:v>107.37013589590276</c:v>
                </c:pt>
                <c:pt idx="847" formatCode="0">
                  <c:v>107.37013589590276</c:v>
                </c:pt>
                <c:pt idx="848" formatCode="0">
                  <c:v>107.27733899738135</c:v>
                </c:pt>
                <c:pt idx="849" formatCode="0">
                  <c:v>107.24022023797276</c:v>
                </c:pt>
                <c:pt idx="850" formatCode="0">
                  <c:v>107.23815808467229</c:v>
                </c:pt>
                <c:pt idx="851" formatCode="0">
                  <c:v>107.19691501866278</c:v>
                </c:pt>
                <c:pt idx="852" formatCode="0">
                  <c:v>107.14329903285039</c:v>
                </c:pt>
                <c:pt idx="853" formatCode="0">
                  <c:v>107.08349658713657</c:v>
                </c:pt>
                <c:pt idx="854" formatCode="0">
                  <c:v>106.94533231600465</c:v>
                </c:pt>
                <c:pt idx="855" formatCode="0">
                  <c:v>106.61126348132748</c:v>
                </c:pt>
                <c:pt idx="856" formatCode="0">
                  <c:v>106.34112139896507</c:v>
                </c:pt>
                <c:pt idx="857" formatCode="0">
                  <c:v>106.1740869816265</c:v>
                </c:pt>
                <c:pt idx="858" formatCode="0">
                  <c:v>106.0173633307903</c:v>
                </c:pt>
                <c:pt idx="859" formatCode="0">
                  <c:v>105.9390015053722</c:v>
                </c:pt>
                <c:pt idx="860" formatCode="0">
                  <c:v>105.84826676015123</c:v>
                </c:pt>
                <c:pt idx="861" formatCode="0">
                  <c:v>105.80289938754078</c:v>
                </c:pt>
                <c:pt idx="862" formatCode="0">
                  <c:v>105.58431113769026</c:v>
                </c:pt>
                <c:pt idx="863" formatCode="0">
                  <c:v>104.73676613119449</c:v>
                </c:pt>
                <c:pt idx="864" formatCode="0">
                  <c:v>102.97981151918863</c:v>
                </c:pt>
                <c:pt idx="865" formatCode="0">
                  <c:v>102.45396242756715</c:v>
                </c:pt>
                <c:pt idx="866" formatCode="0">
                  <c:v>102.15288804569761</c:v>
                </c:pt>
                <c:pt idx="867" formatCode="0">
                  <c:v>102.25393355742096</c:v>
                </c:pt>
                <c:pt idx="868" formatCode="0">
                  <c:v>102.24980925082001</c:v>
                </c:pt>
                <c:pt idx="869" formatCode="0">
                  <c:v>102.17763388530334</c:v>
                </c:pt>
                <c:pt idx="870" formatCode="0">
                  <c:v>102.19825541830811</c:v>
                </c:pt>
                <c:pt idx="871" formatCode="0">
                  <c:v>102.11989359289001</c:v>
                </c:pt>
                <c:pt idx="872" formatCode="0">
                  <c:v>102.15495019899812</c:v>
                </c:pt>
                <c:pt idx="873" formatCode="0">
                  <c:v>102.23537417771669</c:v>
                </c:pt>
                <c:pt idx="874" formatCode="0">
                  <c:v>102.25805786402194</c:v>
                </c:pt>
              </c:numCache>
            </c:numRef>
          </c:val>
          <c:smooth val="0"/>
          <c:extLst>
            <c:ext xmlns:c16="http://schemas.microsoft.com/office/drawing/2014/chart" uri="{C3380CC4-5D6E-409C-BE32-E72D297353CC}">
              <c16:uniqueId val="{00000000-3372-4ABC-A980-B0ACB3E218F3}"/>
            </c:ext>
          </c:extLst>
        </c:ser>
        <c:ser>
          <c:idx val="1"/>
          <c:order val="1"/>
          <c:tx>
            <c:strRef>
              <c:f>Sheet1!$C$1</c:f>
              <c:strCache>
                <c:ptCount val="1"/>
                <c:pt idx="0">
                  <c:v>RUB/AMD</c:v>
                </c:pt>
              </c:strCache>
            </c:strRef>
          </c:tx>
          <c:spPr>
            <a:ln w="28575" cap="rnd">
              <a:solidFill>
                <a:srgbClr val="FFC000"/>
              </a:solidFill>
              <a:round/>
            </a:ln>
            <a:effectLst/>
          </c:spPr>
          <c:marker>
            <c:symbol val="none"/>
          </c:marker>
          <c:cat>
            <c:numRef>
              <c:f>Sheet1!$A$2:$A$876</c:f>
              <c:numCache>
                <c:formatCode>m\/d\/yyyy</c:formatCode>
                <c:ptCount val="875"/>
                <c:pt idx="0">
                  <c:v>43108</c:v>
                </c:pt>
                <c:pt idx="1">
                  <c:v>43109</c:v>
                </c:pt>
                <c:pt idx="2">
                  <c:v>43110</c:v>
                </c:pt>
                <c:pt idx="3">
                  <c:v>43111</c:v>
                </c:pt>
                <c:pt idx="4">
                  <c:v>43112</c:v>
                </c:pt>
                <c:pt idx="5">
                  <c:v>43115</c:v>
                </c:pt>
                <c:pt idx="6">
                  <c:v>43116</c:v>
                </c:pt>
                <c:pt idx="7">
                  <c:v>43117</c:v>
                </c:pt>
                <c:pt idx="8">
                  <c:v>43118</c:v>
                </c:pt>
                <c:pt idx="9">
                  <c:v>43119</c:v>
                </c:pt>
                <c:pt idx="10">
                  <c:v>43122</c:v>
                </c:pt>
                <c:pt idx="11">
                  <c:v>43123</c:v>
                </c:pt>
                <c:pt idx="12">
                  <c:v>43124</c:v>
                </c:pt>
                <c:pt idx="13">
                  <c:v>43125</c:v>
                </c:pt>
                <c:pt idx="14">
                  <c:v>43126</c:v>
                </c:pt>
                <c:pt idx="15">
                  <c:v>43129</c:v>
                </c:pt>
                <c:pt idx="16">
                  <c:v>43130</c:v>
                </c:pt>
                <c:pt idx="17">
                  <c:v>43131</c:v>
                </c:pt>
                <c:pt idx="18">
                  <c:v>43132</c:v>
                </c:pt>
                <c:pt idx="19">
                  <c:v>43133</c:v>
                </c:pt>
                <c:pt idx="20">
                  <c:v>43136</c:v>
                </c:pt>
                <c:pt idx="21">
                  <c:v>43137</c:v>
                </c:pt>
                <c:pt idx="22">
                  <c:v>43138</c:v>
                </c:pt>
                <c:pt idx="23">
                  <c:v>43139</c:v>
                </c:pt>
                <c:pt idx="24">
                  <c:v>43140</c:v>
                </c:pt>
                <c:pt idx="25">
                  <c:v>43143</c:v>
                </c:pt>
                <c:pt idx="26">
                  <c:v>43144</c:v>
                </c:pt>
                <c:pt idx="27">
                  <c:v>43145</c:v>
                </c:pt>
                <c:pt idx="28">
                  <c:v>43146</c:v>
                </c:pt>
                <c:pt idx="29">
                  <c:v>43147</c:v>
                </c:pt>
                <c:pt idx="30">
                  <c:v>43150</c:v>
                </c:pt>
                <c:pt idx="31">
                  <c:v>43151</c:v>
                </c:pt>
                <c:pt idx="32">
                  <c:v>43152</c:v>
                </c:pt>
                <c:pt idx="33">
                  <c:v>43153</c:v>
                </c:pt>
                <c:pt idx="34">
                  <c:v>43154</c:v>
                </c:pt>
                <c:pt idx="35">
                  <c:v>43157</c:v>
                </c:pt>
                <c:pt idx="36">
                  <c:v>43158</c:v>
                </c:pt>
                <c:pt idx="37">
                  <c:v>43159</c:v>
                </c:pt>
                <c:pt idx="38">
                  <c:v>43160</c:v>
                </c:pt>
                <c:pt idx="39">
                  <c:v>43161</c:v>
                </c:pt>
                <c:pt idx="40">
                  <c:v>43164</c:v>
                </c:pt>
                <c:pt idx="41">
                  <c:v>43165</c:v>
                </c:pt>
                <c:pt idx="42">
                  <c:v>43166</c:v>
                </c:pt>
                <c:pt idx="43">
                  <c:v>43171</c:v>
                </c:pt>
                <c:pt idx="44">
                  <c:v>43172</c:v>
                </c:pt>
                <c:pt idx="45">
                  <c:v>43173</c:v>
                </c:pt>
                <c:pt idx="46">
                  <c:v>43174</c:v>
                </c:pt>
                <c:pt idx="47">
                  <c:v>43175</c:v>
                </c:pt>
                <c:pt idx="48">
                  <c:v>43176</c:v>
                </c:pt>
                <c:pt idx="49">
                  <c:v>43178</c:v>
                </c:pt>
                <c:pt idx="50">
                  <c:v>43179</c:v>
                </c:pt>
                <c:pt idx="51">
                  <c:v>43180</c:v>
                </c:pt>
                <c:pt idx="52">
                  <c:v>43181</c:v>
                </c:pt>
                <c:pt idx="53">
                  <c:v>43182</c:v>
                </c:pt>
                <c:pt idx="54">
                  <c:v>43185</c:v>
                </c:pt>
                <c:pt idx="55">
                  <c:v>43186</c:v>
                </c:pt>
                <c:pt idx="56">
                  <c:v>43187</c:v>
                </c:pt>
                <c:pt idx="57">
                  <c:v>43188</c:v>
                </c:pt>
                <c:pt idx="58">
                  <c:v>43189</c:v>
                </c:pt>
                <c:pt idx="59">
                  <c:v>43193</c:v>
                </c:pt>
                <c:pt idx="60">
                  <c:v>43194</c:v>
                </c:pt>
                <c:pt idx="61">
                  <c:v>43195</c:v>
                </c:pt>
                <c:pt idx="62">
                  <c:v>43196</c:v>
                </c:pt>
                <c:pt idx="63">
                  <c:v>43197</c:v>
                </c:pt>
                <c:pt idx="64">
                  <c:v>43199</c:v>
                </c:pt>
                <c:pt idx="65">
                  <c:v>43200</c:v>
                </c:pt>
                <c:pt idx="66">
                  <c:v>43201</c:v>
                </c:pt>
                <c:pt idx="67">
                  <c:v>43202</c:v>
                </c:pt>
                <c:pt idx="68">
                  <c:v>43203</c:v>
                </c:pt>
                <c:pt idx="69">
                  <c:v>43206</c:v>
                </c:pt>
                <c:pt idx="70">
                  <c:v>43207</c:v>
                </c:pt>
                <c:pt idx="71">
                  <c:v>43208</c:v>
                </c:pt>
                <c:pt idx="72">
                  <c:v>43209</c:v>
                </c:pt>
                <c:pt idx="73">
                  <c:v>43210</c:v>
                </c:pt>
                <c:pt idx="74">
                  <c:v>43213</c:v>
                </c:pt>
                <c:pt idx="75">
                  <c:v>43215</c:v>
                </c:pt>
                <c:pt idx="76">
                  <c:v>43216</c:v>
                </c:pt>
                <c:pt idx="77">
                  <c:v>43217</c:v>
                </c:pt>
                <c:pt idx="78">
                  <c:v>43222</c:v>
                </c:pt>
                <c:pt idx="79">
                  <c:v>43223</c:v>
                </c:pt>
                <c:pt idx="80">
                  <c:v>43224</c:v>
                </c:pt>
                <c:pt idx="81">
                  <c:v>43225</c:v>
                </c:pt>
                <c:pt idx="82">
                  <c:v>43227</c:v>
                </c:pt>
                <c:pt idx="83">
                  <c:v>43228</c:v>
                </c:pt>
                <c:pt idx="84">
                  <c:v>43230</c:v>
                </c:pt>
                <c:pt idx="85">
                  <c:v>43231</c:v>
                </c:pt>
                <c:pt idx="86">
                  <c:v>43234</c:v>
                </c:pt>
                <c:pt idx="87">
                  <c:v>43235</c:v>
                </c:pt>
                <c:pt idx="88">
                  <c:v>43236</c:v>
                </c:pt>
                <c:pt idx="89">
                  <c:v>43237</c:v>
                </c:pt>
                <c:pt idx="90">
                  <c:v>43238</c:v>
                </c:pt>
                <c:pt idx="91">
                  <c:v>43241</c:v>
                </c:pt>
                <c:pt idx="92">
                  <c:v>43242</c:v>
                </c:pt>
                <c:pt idx="93">
                  <c:v>43243</c:v>
                </c:pt>
                <c:pt idx="94">
                  <c:v>43244</c:v>
                </c:pt>
                <c:pt idx="95">
                  <c:v>43245</c:v>
                </c:pt>
                <c:pt idx="96">
                  <c:v>43249</c:v>
                </c:pt>
                <c:pt idx="97">
                  <c:v>43250</c:v>
                </c:pt>
                <c:pt idx="98">
                  <c:v>43251</c:v>
                </c:pt>
                <c:pt idx="99">
                  <c:v>43252</c:v>
                </c:pt>
                <c:pt idx="100">
                  <c:v>43255</c:v>
                </c:pt>
                <c:pt idx="101">
                  <c:v>43256</c:v>
                </c:pt>
                <c:pt idx="102">
                  <c:v>43257</c:v>
                </c:pt>
                <c:pt idx="103">
                  <c:v>43258</c:v>
                </c:pt>
                <c:pt idx="104">
                  <c:v>43259</c:v>
                </c:pt>
                <c:pt idx="105">
                  <c:v>43262</c:v>
                </c:pt>
                <c:pt idx="106">
                  <c:v>43263</c:v>
                </c:pt>
                <c:pt idx="107">
                  <c:v>43264</c:v>
                </c:pt>
                <c:pt idx="108">
                  <c:v>43265</c:v>
                </c:pt>
                <c:pt idx="109">
                  <c:v>43266</c:v>
                </c:pt>
                <c:pt idx="110">
                  <c:v>43269</c:v>
                </c:pt>
                <c:pt idx="111">
                  <c:v>43270</c:v>
                </c:pt>
                <c:pt idx="112">
                  <c:v>43271</c:v>
                </c:pt>
                <c:pt idx="113">
                  <c:v>43272</c:v>
                </c:pt>
                <c:pt idx="114">
                  <c:v>43273</c:v>
                </c:pt>
                <c:pt idx="115">
                  <c:v>43276</c:v>
                </c:pt>
                <c:pt idx="116">
                  <c:v>43277</c:v>
                </c:pt>
                <c:pt idx="117">
                  <c:v>43278</c:v>
                </c:pt>
                <c:pt idx="118">
                  <c:v>43279</c:v>
                </c:pt>
                <c:pt idx="119">
                  <c:v>43280</c:v>
                </c:pt>
                <c:pt idx="120">
                  <c:v>43283</c:v>
                </c:pt>
                <c:pt idx="121">
                  <c:v>43284</c:v>
                </c:pt>
                <c:pt idx="122">
                  <c:v>43285</c:v>
                </c:pt>
                <c:pt idx="123">
                  <c:v>43287</c:v>
                </c:pt>
                <c:pt idx="124">
                  <c:v>43290</c:v>
                </c:pt>
                <c:pt idx="125">
                  <c:v>43291</c:v>
                </c:pt>
                <c:pt idx="126">
                  <c:v>43292</c:v>
                </c:pt>
                <c:pt idx="127">
                  <c:v>43293</c:v>
                </c:pt>
                <c:pt idx="128">
                  <c:v>43294</c:v>
                </c:pt>
                <c:pt idx="129">
                  <c:v>43297</c:v>
                </c:pt>
                <c:pt idx="130">
                  <c:v>43298</c:v>
                </c:pt>
                <c:pt idx="131">
                  <c:v>43299</c:v>
                </c:pt>
                <c:pt idx="132">
                  <c:v>43300</c:v>
                </c:pt>
                <c:pt idx="133">
                  <c:v>43301</c:v>
                </c:pt>
                <c:pt idx="134">
                  <c:v>43304</c:v>
                </c:pt>
                <c:pt idx="135">
                  <c:v>43305</c:v>
                </c:pt>
                <c:pt idx="136">
                  <c:v>43306</c:v>
                </c:pt>
                <c:pt idx="137">
                  <c:v>43307</c:v>
                </c:pt>
                <c:pt idx="138">
                  <c:v>43308</c:v>
                </c:pt>
                <c:pt idx="139">
                  <c:v>43311</c:v>
                </c:pt>
                <c:pt idx="140">
                  <c:v>43312</c:v>
                </c:pt>
                <c:pt idx="141">
                  <c:v>43313</c:v>
                </c:pt>
                <c:pt idx="142">
                  <c:v>43314</c:v>
                </c:pt>
                <c:pt idx="143">
                  <c:v>43315</c:v>
                </c:pt>
                <c:pt idx="144">
                  <c:v>43318</c:v>
                </c:pt>
                <c:pt idx="145">
                  <c:v>43319</c:v>
                </c:pt>
                <c:pt idx="146">
                  <c:v>43320</c:v>
                </c:pt>
                <c:pt idx="147">
                  <c:v>43321</c:v>
                </c:pt>
                <c:pt idx="148">
                  <c:v>43322</c:v>
                </c:pt>
                <c:pt idx="149">
                  <c:v>43325</c:v>
                </c:pt>
                <c:pt idx="150">
                  <c:v>43326</c:v>
                </c:pt>
                <c:pt idx="151">
                  <c:v>43327</c:v>
                </c:pt>
                <c:pt idx="152">
                  <c:v>43328</c:v>
                </c:pt>
                <c:pt idx="153">
                  <c:v>43329</c:v>
                </c:pt>
                <c:pt idx="154">
                  <c:v>43332</c:v>
                </c:pt>
                <c:pt idx="155">
                  <c:v>43333</c:v>
                </c:pt>
                <c:pt idx="156">
                  <c:v>43334</c:v>
                </c:pt>
                <c:pt idx="157">
                  <c:v>43335</c:v>
                </c:pt>
                <c:pt idx="158">
                  <c:v>43336</c:v>
                </c:pt>
                <c:pt idx="159">
                  <c:v>43339</c:v>
                </c:pt>
                <c:pt idx="160">
                  <c:v>43340</c:v>
                </c:pt>
                <c:pt idx="161">
                  <c:v>43341</c:v>
                </c:pt>
                <c:pt idx="162">
                  <c:v>43342</c:v>
                </c:pt>
                <c:pt idx="163">
                  <c:v>43343</c:v>
                </c:pt>
                <c:pt idx="164">
                  <c:v>43346</c:v>
                </c:pt>
                <c:pt idx="165">
                  <c:v>43347</c:v>
                </c:pt>
                <c:pt idx="166">
                  <c:v>43348</c:v>
                </c:pt>
                <c:pt idx="167">
                  <c:v>43349</c:v>
                </c:pt>
                <c:pt idx="168">
                  <c:v>43350</c:v>
                </c:pt>
                <c:pt idx="169">
                  <c:v>43353</c:v>
                </c:pt>
                <c:pt idx="170">
                  <c:v>43354</c:v>
                </c:pt>
                <c:pt idx="171">
                  <c:v>43355</c:v>
                </c:pt>
                <c:pt idx="172">
                  <c:v>43356</c:v>
                </c:pt>
                <c:pt idx="173">
                  <c:v>43357</c:v>
                </c:pt>
                <c:pt idx="174">
                  <c:v>43360</c:v>
                </c:pt>
                <c:pt idx="175">
                  <c:v>43361</c:v>
                </c:pt>
                <c:pt idx="176">
                  <c:v>43362</c:v>
                </c:pt>
                <c:pt idx="177">
                  <c:v>43363</c:v>
                </c:pt>
                <c:pt idx="178">
                  <c:v>43367</c:v>
                </c:pt>
                <c:pt idx="179">
                  <c:v>43368</c:v>
                </c:pt>
                <c:pt idx="180">
                  <c:v>43369</c:v>
                </c:pt>
                <c:pt idx="181">
                  <c:v>43370</c:v>
                </c:pt>
                <c:pt idx="182">
                  <c:v>43371</c:v>
                </c:pt>
                <c:pt idx="183">
                  <c:v>43374</c:v>
                </c:pt>
                <c:pt idx="184">
                  <c:v>43375</c:v>
                </c:pt>
                <c:pt idx="185">
                  <c:v>43376</c:v>
                </c:pt>
                <c:pt idx="186">
                  <c:v>43377</c:v>
                </c:pt>
                <c:pt idx="187">
                  <c:v>43378</c:v>
                </c:pt>
                <c:pt idx="188">
                  <c:v>43381</c:v>
                </c:pt>
                <c:pt idx="189">
                  <c:v>43382</c:v>
                </c:pt>
                <c:pt idx="190">
                  <c:v>43383</c:v>
                </c:pt>
                <c:pt idx="191">
                  <c:v>43388</c:v>
                </c:pt>
                <c:pt idx="192">
                  <c:v>43389</c:v>
                </c:pt>
                <c:pt idx="193">
                  <c:v>43390</c:v>
                </c:pt>
                <c:pt idx="194">
                  <c:v>43391</c:v>
                </c:pt>
                <c:pt idx="195">
                  <c:v>43392</c:v>
                </c:pt>
                <c:pt idx="196">
                  <c:v>43395</c:v>
                </c:pt>
                <c:pt idx="197">
                  <c:v>43396</c:v>
                </c:pt>
                <c:pt idx="198">
                  <c:v>43397</c:v>
                </c:pt>
                <c:pt idx="199">
                  <c:v>43398</c:v>
                </c:pt>
                <c:pt idx="200">
                  <c:v>43399</c:v>
                </c:pt>
                <c:pt idx="201">
                  <c:v>43400</c:v>
                </c:pt>
                <c:pt idx="202">
                  <c:v>43402</c:v>
                </c:pt>
                <c:pt idx="203">
                  <c:v>43403</c:v>
                </c:pt>
                <c:pt idx="204">
                  <c:v>43404</c:v>
                </c:pt>
                <c:pt idx="205">
                  <c:v>43405</c:v>
                </c:pt>
                <c:pt idx="206">
                  <c:v>43406</c:v>
                </c:pt>
                <c:pt idx="207">
                  <c:v>43407</c:v>
                </c:pt>
                <c:pt idx="208">
                  <c:v>43409</c:v>
                </c:pt>
                <c:pt idx="209">
                  <c:v>43410</c:v>
                </c:pt>
                <c:pt idx="210">
                  <c:v>43411</c:v>
                </c:pt>
                <c:pt idx="211">
                  <c:v>43412</c:v>
                </c:pt>
                <c:pt idx="212">
                  <c:v>43413</c:v>
                </c:pt>
                <c:pt idx="213">
                  <c:v>43416</c:v>
                </c:pt>
                <c:pt idx="214">
                  <c:v>43417</c:v>
                </c:pt>
                <c:pt idx="215">
                  <c:v>43418</c:v>
                </c:pt>
                <c:pt idx="216">
                  <c:v>43419</c:v>
                </c:pt>
                <c:pt idx="217">
                  <c:v>43420</c:v>
                </c:pt>
                <c:pt idx="218">
                  <c:v>43423</c:v>
                </c:pt>
                <c:pt idx="219">
                  <c:v>43424</c:v>
                </c:pt>
                <c:pt idx="220">
                  <c:v>43425</c:v>
                </c:pt>
                <c:pt idx="221">
                  <c:v>43426</c:v>
                </c:pt>
                <c:pt idx="222">
                  <c:v>43427</c:v>
                </c:pt>
                <c:pt idx="223">
                  <c:v>43430</c:v>
                </c:pt>
                <c:pt idx="224">
                  <c:v>43431</c:v>
                </c:pt>
                <c:pt idx="225">
                  <c:v>43432</c:v>
                </c:pt>
                <c:pt idx="226">
                  <c:v>43433</c:v>
                </c:pt>
                <c:pt idx="227">
                  <c:v>43434</c:v>
                </c:pt>
                <c:pt idx="228">
                  <c:v>43437</c:v>
                </c:pt>
                <c:pt idx="229">
                  <c:v>43438</c:v>
                </c:pt>
                <c:pt idx="230">
                  <c:v>43439</c:v>
                </c:pt>
                <c:pt idx="231">
                  <c:v>43440</c:v>
                </c:pt>
                <c:pt idx="232">
                  <c:v>43441</c:v>
                </c:pt>
                <c:pt idx="233">
                  <c:v>43444</c:v>
                </c:pt>
                <c:pt idx="234">
                  <c:v>43445</c:v>
                </c:pt>
                <c:pt idx="235">
                  <c:v>43446</c:v>
                </c:pt>
                <c:pt idx="236">
                  <c:v>43447</c:v>
                </c:pt>
                <c:pt idx="237">
                  <c:v>43448</c:v>
                </c:pt>
                <c:pt idx="238">
                  <c:v>43451</c:v>
                </c:pt>
                <c:pt idx="239">
                  <c:v>43452</c:v>
                </c:pt>
                <c:pt idx="240">
                  <c:v>43453</c:v>
                </c:pt>
                <c:pt idx="241">
                  <c:v>43454</c:v>
                </c:pt>
                <c:pt idx="242">
                  <c:v>43455</c:v>
                </c:pt>
                <c:pt idx="243">
                  <c:v>43458</c:v>
                </c:pt>
                <c:pt idx="244">
                  <c:v>43459</c:v>
                </c:pt>
                <c:pt idx="245">
                  <c:v>43460</c:v>
                </c:pt>
                <c:pt idx="246">
                  <c:v>43461</c:v>
                </c:pt>
                <c:pt idx="247">
                  <c:v>43462</c:v>
                </c:pt>
                <c:pt idx="248">
                  <c:v>43473</c:v>
                </c:pt>
                <c:pt idx="249">
                  <c:v>43474</c:v>
                </c:pt>
                <c:pt idx="250">
                  <c:v>43475</c:v>
                </c:pt>
                <c:pt idx="251">
                  <c:v>43476</c:v>
                </c:pt>
                <c:pt idx="252">
                  <c:v>43479</c:v>
                </c:pt>
                <c:pt idx="253">
                  <c:v>43480</c:v>
                </c:pt>
                <c:pt idx="254">
                  <c:v>43481</c:v>
                </c:pt>
                <c:pt idx="255">
                  <c:v>43482</c:v>
                </c:pt>
                <c:pt idx="256">
                  <c:v>43483</c:v>
                </c:pt>
                <c:pt idx="257">
                  <c:v>43486</c:v>
                </c:pt>
                <c:pt idx="258">
                  <c:v>43487</c:v>
                </c:pt>
                <c:pt idx="259">
                  <c:v>43488</c:v>
                </c:pt>
                <c:pt idx="260">
                  <c:v>43489</c:v>
                </c:pt>
                <c:pt idx="261">
                  <c:v>43490</c:v>
                </c:pt>
                <c:pt idx="262">
                  <c:v>43494</c:v>
                </c:pt>
                <c:pt idx="263">
                  <c:v>43495</c:v>
                </c:pt>
                <c:pt idx="264">
                  <c:v>43496</c:v>
                </c:pt>
                <c:pt idx="265">
                  <c:v>43497</c:v>
                </c:pt>
                <c:pt idx="266">
                  <c:v>43500</c:v>
                </c:pt>
                <c:pt idx="267">
                  <c:v>43501</c:v>
                </c:pt>
                <c:pt idx="268">
                  <c:v>43502</c:v>
                </c:pt>
                <c:pt idx="269">
                  <c:v>43503</c:v>
                </c:pt>
                <c:pt idx="270">
                  <c:v>43504</c:v>
                </c:pt>
                <c:pt idx="271">
                  <c:v>43507</c:v>
                </c:pt>
                <c:pt idx="272">
                  <c:v>43508</c:v>
                </c:pt>
                <c:pt idx="273">
                  <c:v>43509</c:v>
                </c:pt>
                <c:pt idx="274">
                  <c:v>43510</c:v>
                </c:pt>
                <c:pt idx="275">
                  <c:v>43511</c:v>
                </c:pt>
                <c:pt idx="276">
                  <c:v>43514</c:v>
                </c:pt>
                <c:pt idx="277">
                  <c:v>43515</c:v>
                </c:pt>
                <c:pt idx="278">
                  <c:v>43516</c:v>
                </c:pt>
                <c:pt idx="279">
                  <c:v>43517</c:v>
                </c:pt>
                <c:pt idx="280">
                  <c:v>43518</c:v>
                </c:pt>
                <c:pt idx="281">
                  <c:v>43521</c:v>
                </c:pt>
                <c:pt idx="282">
                  <c:v>43522</c:v>
                </c:pt>
                <c:pt idx="283">
                  <c:v>43523</c:v>
                </c:pt>
                <c:pt idx="284">
                  <c:v>43524</c:v>
                </c:pt>
                <c:pt idx="285">
                  <c:v>43525</c:v>
                </c:pt>
                <c:pt idx="286">
                  <c:v>43528</c:v>
                </c:pt>
                <c:pt idx="287">
                  <c:v>43529</c:v>
                </c:pt>
                <c:pt idx="288">
                  <c:v>43530</c:v>
                </c:pt>
                <c:pt idx="289">
                  <c:v>43531</c:v>
                </c:pt>
                <c:pt idx="290">
                  <c:v>43535</c:v>
                </c:pt>
                <c:pt idx="291">
                  <c:v>43536</c:v>
                </c:pt>
                <c:pt idx="292">
                  <c:v>43537</c:v>
                </c:pt>
                <c:pt idx="293">
                  <c:v>43538</c:v>
                </c:pt>
                <c:pt idx="294">
                  <c:v>43539</c:v>
                </c:pt>
                <c:pt idx="295">
                  <c:v>43542</c:v>
                </c:pt>
                <c:pt idx="296">
                  <c:v>43543</c:v>
                </c:pt>
                <c:pt idx="297">
                  <c:v>43544</c:v>
                </c:pt>
                <c:pt idx="298">
                  <c:v>43545</c:v>
                </c:pt>
                <c:pt idx="299">
                  <c:v>43546</c:v>
                </c:pt>
                <c:pt idx="300">
                  <c:v>43549</c:v>
                </c:pt>
                <c:pt idx="301">
                  <c:v>43550</c:v>
                </c:pt>
                <c:pt idx="302">
                  <c:v>43551</c:v>
                </c:pt>
                <c:pt idx="303">
                  <c:v>43552</c:v>
                </c:pt>
                <c:pt idx="304">
                  <c:v>43553</c:v>
                </c:pt>
                <c:pt idx="305">
                  <c:v>43556</c:v>
                </c:pt>
                <c:pt idx="306">
                  <c:v>43557</c:v>
                </c:pt>
                <c:pt idx="307">
                  <c:v>43558</c:v>
                </c:pt>
                <c:pt idx="308">
                  <c:v>43559</c:v>
                </c:pt>
                <c:pt idx="309">
                  <c:v>43560</c:v>
                </c:pt>
                <c:pt idx="310">
                  <c:v>43563</c:v>
                </c:pt>
                <c:pt idx="311">
                  <c:v>43564</c:v>
                </c:pt>
                <c:pt idx="312">
                  <c:v>43565</c:v>
                </c:pt>
                <c:pt idx="313">
                  <c:v>43566</c:v>
                </c:pt>
                <c:pt idx="314">
                  <c:v>43567</c:v>
                </c:pt>
                <c:pt idx="315">
                  <c:v>43570</c:v>
                </c:pt>
                <c:pt idx="316">
                  <c:v>43571</c:v>
                </c:pt>
                <c:pt idx="317">
                  <c:v>43572</c:v>
                </c:pt>
                <c:pt idx="318">
                  <c:v>43573</c:v>
                </c:pt>
                <c:pt idx="319">
                  <c:v>43574</c:v>
                </c:pt>
                <c:pt idx="320">
                  <c:v>43577</c:v>
                </c:pt>
                <c:pt idx="321">
                  <c:v>43578</c:v>
                </c:pt>
                <c:pt idx="322">
                  <c:v>43580</c:v>
                </c:pt>
                <c:pt idx="323">
                  <c:v>43581</c:v>
                </c:pt>
                <c:pt idx="324">
                  <c:v>43584</c:v>
                </c:pt>
                <c:pt idx="325">
                  <c:v>43585</c:v>
                </c:pt>
                <c:pt idx="326">
                  <c:v>43587</c:v>
                </c:pt>
                <c:pt idx="327">
                  <c:v>43588</c:v>
                </c:pt>
                <c:pt idx="328">
                  <c:v>43591</c:v>
                </c:pt>
                <c:pt idx="329">
                  <c:v>43592</c:v>
                </c:pt>
                <c:pt idx="330">
                  <c:v>43593</c:v>
                </c:pt>
                <c:pt idx="331">
                  <c:v>43595</c:v>
                </c:pt>
                <c:pt idx="332">
                  <c:v>43598</c:v>
                </c:pt>
                <c:pt idx="333">
                  <c:v>43599</c:v>
                </c:pt>
                <c:pt idx="334">
                  <c:v>43600</c:v>
                </c:pt>
                <c:pt idx="335">
                  <c:v>43601</c:v>
                </c:pt>
                <c:pt idx="336">
                  <c:v>43602</c:v>
                </c:pt>
                <c:pt idx="337">
                  <c:v>43605</c:v>
                </c:pt>
                <c:pt idx="338">
                  <c:v>43606</c:v>
                </c:pt>
                <c:pt idx="339">
                  <c:v>43607</c:v>
                </c:pt>
                <c:pt idx="340">
                  <c:v>43608</c:v>
                </c:pt>
                <c:pt idx="341">
                  <c:v>43609</c:v>
                </c:pt>
                <c:pt idx="342">
                  <c:v>43612</c:v>
                </c:pt>
                <c:pt idx="343">
                  <c:v>43614</c:v>
                </c:pt>
                <c:pt idx="344">
                  <c:v>43615</c:v>
                </c:pt>
                <c:pt idx="345">
                  <c:v>43616</c:v>
                </c:pt>
                <c:pt idx="346">
                  <c:v>43619</c:v>
                </c:pt>
                <c:pt idx="347">
                  <c:v>43620</c:v>
                </c:pt>
                <c:pt idx="348">
                  <c:v>43621</c:v>
                </c:pt>
                <c:pt idx="349">
                  <c:v>43622</c:v>
                </c:pt>
                <c:pt idx="350">
                  <c:v>43623</c:v>
                </c:pt>
                <c:pt idx="351">
                  <c:v>43626</c:v>
                </c:pt>
                <c:pt idx="352">
                  <c:v>43627</c:v>
                </c:pt>
                <c:pt idx="353">
                  <c:v>43628</c:v>
                </c:pt>
                <c:pt idx="354">
                  <c:v>43629</c:v>
                </c:pt>
                <c:pt idx="355">
                  <c:v>43630</c:v>
                </c:pt>
                <c:pt idx="356">
                  <c:v>43633</c:v>
                </c:pt>
                <c:pt idx="357">
                  <c:v>43634</c:v>
                </c:pt>
                <c:pt idx="358">
                  <c:v>43635</c:v>
                </c:pt>
                <c:pt idx="359">
                  <c:v>43636</c:v>
                </c:pt>
                <c:pt idx="360">
                  <c:v>43637</c:v>
                </c:pt>
                <c:pt idx="361">
                  <c:v>43640</c:v>
                </c:pt>
                <c:pt idx="362">
                  <c:v>43641</c:v>
                </c:pt>
                <c:pt idx="363">
                  <c:v>43642</c:v>
                </c:pt>
                <c:pt idx="364">
                  <c:v>43643</c:v>
                </c:pt>
                <c:pt idx="365">
                  <c:v>43644</c:v>
                </c:pt>
                <c:pt idx="366">
                  <c:v>43647</c:v>
                </c:pt>
                <c:pt idx="367">
                  <c:v>43648</c:v>
                </c:pt>
                <c:pt idx="368">
                  <c:v>43649</c:v>
                </c:pt>
                <c:pt idx="369">
                  <c:v>43650</c:v>
                </c:pt>
                <c:pt idx="370">
                  <c:v>43654</c:v>
                </c:pt>
                <c:pt idx="371">
                  <c:v>43655</c:v>
                </c:pt>
                <c:pt idx="372">
                  <c:v>43656</c:v>
                </c:pt>
                <c:pt idx="373">
                  <c:v>43657</c:v>
                </c:pt>
                <c:pt idx="374">
                  <c:v>43658</c:v>
                </c:pt>
                <c:pt idx="375">
                  <c:v>43661</c:v>
                </c:pt>
                <c:pt idx="376">
                  <c:v>43662</c:v>
                </c:pt>
                <c:pt idx="377">
                  <c:v>43663</c:v>
                </c:pt>
                <c:pt idx="378">
                  <c:v>43664</c:v>
                </c:pt>
                <c:pt idx="379">
                  <c:v>43665</c:v>
                </c:pt>
                <c:pt idx="380">
                  <c:v>43668</c:v>
                </c:pt>
                <c:pt idx="381">
                  <c:v>43669</c:v>
                </c:pt>
                <c:pt idx="382">
                  <c:v>43670</c:v>
                </c:pt>
                <c:pt idx="383">
                  <c:v>43671</c:v>
                </c:pt>
                <c:pt idx="384">
                  <c:v>43672</c:v>
                </c:pt>
                <c:pt idx="385">
                  <c:v>43675</c:v>
                </c:pt>
                <c:pt idx="386">
                  <c:v>43676</c:v>
                </c:pt>
                <c:pt idx="387">
                  <c:v>43677</c:v>
                </c:pt>
                <c:pt idx="388">
                  <c:v>43678</c:v>
                </c:pt>
                <c:pt idx="389">
                  <c:v>43679</c:v>
                </c:pt>
                <c:pt idx="390">
                  <c:v>43682</c:v>
                </c:pt>
                <c:pt idx="391">
                  <c:v>43683</c:v>
                </c:pt>
                <c:pt idx="392">
                  <c:v>43684</c:v>
                </c:pt>
                <c:pt idx="393">
                  <c:v>43685</c:v>
                </c:pt>
                <c:pt idx="394">
                  <c:v>43686</c:v>
                </c:pt>
                <c:pt idx="395">
                  <c:v>43689</c:v>
                </c:pt>
                <c:pt idx="396">
                  <c:v>43690</c:v>
                </c:pt>
                <c:pt idx="397">
                  <c:v>43691</c:v>
                </c:pt>
                <c:pt idx="398">
                  <c:v>43692</c:v>
                </c:pt>
                <c:pt idx="399">
                  <c:v>43693</c:v>
                </c:pt>
                <c:pt idx="400">
                  <c:v>43696</c:v>
                </c:pt>
                <c:pt idx="401">
                  <c:v>43697</c:v>
                </c:pt>
                <c:pt idx="402">
                  <c:v>43698</c:v>
                </c:pt>
                <c:pt idx="403">
                  <c:v>43699</c:v>
                </c:pt>
                <c:pt idx="404">
                  <c:v>43700</c:v>
                </c:pt>
                <c:pt idx="405">
                  <c:v>43703</c:v>
                </c:pt>
                <c:pt idx="406">
                  <c:v>43704</c:v>
                </c:pt>
                <c:pt idx="407">
                  <c:v>43705</c:v>
                </c:pt>
                <c:pt idx="408">
                  <c:v>43706</c:v>
                </c:pt>
                <c:pt idx="409">
                  <c:v>43707</c:v>
                </c:pt>
                <c:pt idx="410">
                  <c:v>43710</c:v>
                </c:pt>
                <c:pt idx="411">
                  <c:v>43711</c:v>
                </c:pt>
                <c:pt idx="412">
                  <c:v>43712</c:v>
                </c:pt>
                <c:pt idx="413">
                  <c:v>43713</c:v>
                </c:pt>
                <c:pt idx="414">
                  <c:v>43714</c:v>
                </c:pt>
                <c:pt idx="415">
                  <c:v>43717</c:v>
                </c:pt>
                <c:pt idx="416">
                  <c:v>43718</c:v>
                </c:pt>
                <c:pt idx="417">
                  <c:v>43719</c:v>
                </c:pt>
                <c:pt idx="418">
                  <c:v>43720</c:v>
                </c:pt>
                <c:pt idx="419">
                  <c:v>43721</c:v>
                </c:pt>
                <c:pt idx="420">
                  <c:v>43724</c:v>
                </c:pt>
                <c:pt idx="421">
                  <c:v>43725</c:v>
                </c:pt>
                <c:pt idx="422">
                  <c:v>43726</c:v>
                </c:pt>
                <c:pt idx="423">
                  <c:v>43727</c:v>
                </c:pt>
                <c:pt idx="424">
                  <c:v>43728</c:v>
                </c:pt>
                <c:pt idx="425">
                  <c:v>43731</c:v>
                </c:pt>
                <c:pt idx="426">
                  <c:v>43732</c:v>
                </c:pt>
                <c:pt idx="427">
                  <c:v>43733</c:v>
                </c:pt>
                <c:pt idx="428">
                  <c:v>43734</c:v>
                </c:pt>
                <c:pt idx="429">
                  <c:v>43735</c:v>
                </c:pt>
                <c:pt idx="430">
                  <c:v>43738</c:v>
                </c:pt>
                <c:pt idx="431">
                  <c:v>43739</c:v>
                </c:pt>
                <c:pt idx="432">
                  <c:v>43740</c:v>
                </c:pt>
                <c:pt idx="433">
                  <c:v>43741</c:v>
                </c:pt>
                <c:pt idx="434">
                  <c:v>43742</c:v>
                </c:pt>
                <c:pt idx="435">
                  <c:v>43745</c:v>
                </c:pt>
                <c:pt idx="436">
                  <c:v>43746</c:v>
                </c:pt>
                <c:pt idx="437">
                  <c:v>43747</c:v>
                </c:pt>
                <c:pt idx="438">
                  <c:v>43748</c:v>
                </c:pt>
                <c:pt idx="439">
                  <c:v>43749</c:v>
                </c:pt>
                <c:pt idx="440">
                  <c:v>43752</c:v>
                </c:pt>
                <c:pt idx="441">
                  <c:v>43753</c:v>
                </c:pt>
                <c:pt idx="442">
                  <c:v>43754</c:v>
                </c:pt>
                <c:pt idx="443">
                  <c:v>43755</c:v>
                </c:pt>
                <c:pt idx="444">
                  <c:v>43756</c:v>
                </c:pt>
                <c:pt idx="445">
                  <c:v>43759</c:v>
                </c:pt>
                <c:pt idx="446">
                  <c:v>43760</c:v>
                </c:pt>
                <c:pt idx="447">
                  <c:v>43761</c:v>
                </c:pt>
                <c:pt idx="448">
                  <c:v>43762</c:v>
                </c:pt>
                <c:pt idx="449">
                  <c:v>43763</c:v>
                </c:pt>
                <c:pt idx="450">
                  <c:v>43766</c:v>
                </c:pt>
                <c:pt idx="451">
                  <c:v>43767</c:v>
                </c:pt>
                <c:pt idx="452">
                  <c:v>43768</c:v>
                </c:pt>
                <c:pt idx="453">
                  <c:v>43769</c:v>
                </c:pt>
                <c:pt idx="454">
                  <c:v>43770</c:v>
                </c:pt>
                <c:pt idx="455">
                  <c:v>43773</c:v>
                </c:pt>
                <c:pt idx="456">
                  <c:v>43774</c:v>
                </c:pt>
                <c:pt idx="457">
                  <c:v>43775</c:v>
                </c:pt>
                <c:pt idx="458">
                  <c:v>43776</c:v>
                </c:pt>
                <c:pt idx="459">
                  <c:v>43777</c:v>
                </c:pt>
                <c:pt idx="460">
                  <c:v>43780</c:v>
                </c:pt>
                <c:pt idx="461">
                  <c:v>43781</c:v>
                </c:pt>
                <c:pt idx="462">
                  <c:v>43782</c:v>
                </c:pt>
                <c:pt idx="463">
                  <c:v>43783</c:v>
                </c:pt>
                <c:pt idx="464">
                  <c:v>43784</c:v>
                </c:pt>
                <c:pt idx="465">
                  <c:v>43787</c:v>
                </c:pt>
                <c:pt idx="466">
                  <c:v>43788</c:v>
                </c:pt>
                <c:pt idx="467">
                  <c:v>43789</c:v>
                </c:pt>
                <c:pt idx="468">
                  <c:v>43790</c:v>
                </c:pt>
                <c:pt idx="469">
                  <c:v>43791</c:v>
                </c:pt>
                <c:pt idx="470">
                  <c:v>43794</c:v>
                </c:pt>
                <c:pt idx="471">
                  <c:v>43795</c:v>
                </c:pt>
                <c:pt idx="472">
                  <c:v>43796</c:v>
                </c:pt>
                <c:pt idx="473">
                  <c:v>43797</c:v>
                </c:pt>
                <c:pt idx="474">
                  <c:v>43798</c:v>
                </c:pt>
                <c:pt idx="475">
                  <c:v>43801</c:v>
                </c:pt>
                <c:pt idx="476">
                  <c:v>43802</c:v>
                </c:pt>
                <c:pt idx="477">
                  <c:v>43803</c:v>
                </c:pt>
                <c:pt idx="478">
                  <c:v>43804</c:v>
                </c:pt>
                <c:pt idx="479">
                  <c:v>43805</c:v>
                </c:pt>
                <c:pt idx="480">
                  <c:v>43808</c:v>
                </c:pt>
                <c:pt idx="481">
                  <c:v>43809</c:v>
                </c:pt>
                <c:pt idx="482">
                  <c:v>43810</c:v>
                </c:pt>
                <c:pt idx="483">
                  <c:v>43811</c:v>
                </c:pt>
                <c:pt idx="484">
                  <c:v>43812</c:v>
                </c:pt>
                <c:pt idx="485">
                  <c:v>43815</c:v>
                </c:pt>
                <c:pt idx="486">
                  <c:v>43816</c:v>
                </c:pt>
                <c:pt idx="487">
                  <c:v>43817</c:v>
                </c:pt>
                <c:pt idx="488">
                  <c:v>43818</c:v>
                </c:pt>
                <c:pt idx="489">
                  <c:v>43819</c:v>
                </c:pt>
                <c:pt idx="490">
                  <c:v>43822</c:v>
                </c:pt>
                <c:pt idx="491">
                  <c:v>43823</c:v>
                </c:pt>
                <c:pt idx="492">
                  <c:v>43824</c:v>
                </c:pt>
                <c:pt idx="493">
                  <c:v>43825</c:v>
                </c:pt>
                <c:pt idx="494">
                  <c:v>43826</c:v>
                </c:pt>
                <c:pt idx="495">
                  <c:v>43829</c:v>
                </c:pt>
                <c:pt idx="496">
                  <c:v>43838</c:v>
                </c:pt>
                <c:pt idx="497">
                  <c:v>43839</c:v>
                </c:pt>
                <c:pt idx="498">
                  <c:v>43840</c:v>
                </c:pt>
                <c:pt idx="499">
                  <c:v>43843</c:v>
                </c:pt>
                <c:pt idx="500">
                  <c:v>43844</c:v>
                </c:pt>
                <c:pt idx="501">
                  <c:v>43845</c:v>
                </c:pt>
                <c:pt idx="502">
                  <c:v>43846</c:v>
                </c:pt>
                <c:pt idx="503">
                  <c:v>43847</c:v>
                </c:pt>
                <c:pt idx="504">
                  <c:v>43850</c:v>
                </c:pt>
                <c:pt idx="505">
                  <c:v>43851</c:v>
                </c:pt>
                <c:pt idx="506">
                  <c:v>43852</c:v>
                </c:pt>
                <c:pt idx="507">
                  <c:v>43853</c:v>
                </c:pt>
                <c:pt idx="508">
                  <c:v>43854</c:v>
                </c:pt>
                <c:pt idx="509">
                  <c:v>43859</c:v>
                </c:pt>
                <c:pt idx="510">
                  <c:v>43860</c:v>
                </c:pt>
                <c:pt idx="511">
                  <c:v>43861</c:v>
                </c:pt>
                <c:pt idx="512">
                  <c:v>43862</c:v>
                </c:pt>
                <c:pt idx="513">
                  <c:v>43864</c:v>
                </c:pt>
                <c:pt idx="514">
                  <c:v>43865</c:v>
                </c:pt>
                <c:pt idx="515">
                  <c:v>43866</c:v>
                </c:pt>
                <c:pt idx="516">
                  <c:v>43867</c:v>
                </c:pt>
                <c:pt idx="517">
                  <c:v>43868</c:v>
                </c:pt>
                <c:pt idx="518">
                  <c:v>43871</c:v>
                </c:pt>
                <c:pt idx="519">
                  <c:v>43872</c:v>
                </c:pt>
                <c:pt idx="520">
                  <c:v>43873</c:v>
                </c:pt>
                <c:pt idx="521">
                  <c:v>43874</c:v>
                </c:pt>
                <c:pt idx="522">
                  <c:v>43875</c:v>
                </c:pt>
                <c:pt idx="523">
                  <c:v>43878</c:v>
                </c:pt>
                <c:pt idx="524">
                  <c:v>43879</c:v>
                </c:pt>
                <c:pt idx="525">
                  <c:v>43880</c:v>
                </c:pt>
                <c:pt idx="526">
                  <c:v>43881</c:v>
                </c:pt>
                <c:pt idx="527">
                  <c:v>43882</c:v>
                </c:pt>
                <c:pt idx="528">
                  <c:v>43885</c:v>
                </c:pt>
                <c:pt idx="529">
                  <c:v>43886</c:v>
                </c:pt>
                <c:pt idx="530">
                  <c:v>43887</c:v>
                </c:pt>
                <c:pt idx="531">
                  <c:v>43888</c:v>
                </c:pt>
                <c:pt idx="532">
                  <c:v>43889</c:v>
                </c:pt>
                <c:pt idx="533">
                  <c:v>43892</c:v>
                </c:pt>
                <c:pt idx="534">
                  <c:v>43893</c:v>
                </c:pt>
                <c:pt idx="535">
                  <c:v>43894</c:v>
                </c:pt>
                <c:pt idx="536">
                  <c:v>43895</c:v>
                </c:pt>
                <c:pt idx="537">
                  <c:v>43896</c:v>
                </c:pt>
                <c:pt idx="538">
                  <c:v>43899</c:v>
                </c:pt>
                <c:pt idx="539">
                  <c:v>43900</c:v>
                </c:pt>
                <c:pt idx="540">
                  <c:v>43901</c:v>
                </c:pt>
                <c:pt idx="541">
                  <c:v>43902</c:v>
                </c:pt>
                <c:pt idx="542">
                  <c:v>43903</c:v>
                </c:pt>
                <c:pt idx="543">
                  <c:v>43906</c:v>
                </c:pt>
                <c:pt idx="544">
                  <c:v>43907</c:v>
                </c:pt>
                <c:pt idx="545">
                  <c:v>43908</c:v>
                </c:pt>
                <c:pt idx="546">
                  <c:v>43909</c:v>
                </c:pt>
                <c:pt idx="547">
                  <c:v>43910</c:v>
                </c:pt>
                <c:pt idx="548">
                  <c:v>43913</c:v>
                </c:pt>
                <c:pt idx="549">
                  <c:v>43914</c:v>
                </c:pt>
                <c:pt idx="550">
                  <c:v>43915</c:v>
                </c:pt>
                <c:pt idx="551">
                  <c:v>43916</c:v>
                </c:pt>
                <c:pt idx="552">
                  <c:v>43917</c:v>
                </c:pt>
                <c:pt idx="553">
                  <c:v>43920</c:v>
                </c:pt>
                <c:pt idx="554">
                  <c:v>43921</c:v>
                </c:pt>
                <c:pt idx="555">
                  <c:v>43922</c:v>
                </c:pt>
                <c:pt idx="556">
                  <c:v>43923</c:v>
                </c:pt>
                <c:pt idx="557">
                  <c:v>43924</c:v>
                </c:pt>
                <c:pt idx="558">
                  <c:v>43927</c:v>
                </c:pt>
                <c:pt idx="559">
                  <c:v>43928</c:v>
                </c:pt>
                <c:pt idx="560">
                  <c:v>43929</c:v>
                </c:pt>
                <c:pt idx="561">
                  <c:v>43930</c:v>
                </c:pt>
                <c:pt idx="562">
                  <c:v>43931</c:v>
                </c:pt>
                <c:pt idx="563">
                  <c:v>43934</c:v>
                </c:pt>
                <c:pt idx="564">
                  <c:v>43935</c:v>
                </c:pt>
                <c:pt idx="565">
                  <c:v>43936</c:v>
                </c:pt>
                <c:pt idx="566">
                  <c:v>43937</c:v>
                </c:pt>
                <c:pt idx="567">
                  <c:v>43938</c:v>
                </c:pt>
                <c:pt idx="568">
                  <c:v>43941</c:v>
                </c:pt>
                <c:pt idx="569">
                  <c:v>43942</c:v>
                </c:pt>
                <c:pt idx="570">
                  <c:v>43943</c:v>
                </c:pt>
                <c:pt idx="571">
                  <c:v>43944</c:v>
                </c:pt>
                <c:pt idx="572">
                  <c:v>43948</c:v>
                </c:pt>
                <c:pt idx="573">
                  <c:v>43949</c:v>
                </c:pt>
                <c:pt idx="574">
                  <c:v>43950</c:v>
                </c:pt>
                <c:pt idx="575">
                  <c:v>43951</c:v>
                </c:pt>
                <c:pt idx="576">
                  <c:v>43955</c:v>
                </c:pt>
                <c:pt idx="577">
                  <c:v>43956</c:v>
                </c:pt>
                <c:pt idx="578">
                  <c:v>43957</c:v>
                </c:pt>
                <c:pt idx="579">
                  <c:v>43958</c:v>
                </c:pt>
                <c:pt idx="580">
                  <c:v>43959</c:v>
                </c:pt>
                <c:pt idx="581">
                  <c:v>43962</c:v>
                </c:pt>
                <c:pt idx="582">
                  <c:v>43963</c:v>
                </c:pt>
                <c:pt idx="583">
                  <c:v>43964</c:v>
                </c:pt>
                <c:pt idx="584">
                  <c:v>43965</c:v>
                </c:pt>
                <c:pt idx="585">
                  <c:v>43966</c:v>
                </c:pt>
                <c:pt idx="586">
                  <c:v>43969</c:v>
                </c:pt>
                <c:pt idx="587">
                  <c:v>43970</c:v>
                </c:pt>
                <c:pt idx="588">
                  <c:v>43971</c:v>
                </c:pt>
                <c:pt idx="589">
                  <c:v>43972</c:v>
                </c:pt>
                <c:pt idx="590">
                  <c:v>43973</c:v>
                </c:pt>
                <c:pt idx="591">
                  <c:v>43974</c:v>
                </c:pt>
                <c:pt idx="592">
                  <c:v>43976</c:v>
                </c:pt>
                <c:pt idx="593">
                  <c:v>43977</c:v>
                </c:pt>
                <c:pt idx="594">
                  <c:v>43978</c:v>
                </c:pt>
                <c:pt idx="595">
                  <c:v>43983</c:v>
                </c:pt>
                <c:pt idx="596">
                  <c:v>43984</c:v>
                </c:pt>
                <c:pt idx="597">
                  <c:v>43985</c:v>
                </c:pt>
                <c:pt idx="598">
                  <c:v>43986</c:v>
                </c:pt>
                <c:pt idx="599">
                  <c:v>43987</c:v>
                </c:pt>
                <c:pt idx="600">
                  <c:v>43990</c:v>
                </c:pt>
                <c:pt idx="601">
                  <c:v>43991</c:v>
                </c:pt>
                <c:pt idx="602">
                  <c:v>43992</c:v>
                </c:pt>
                <c:pt idx="603">
                  <c:v>43993</c:v>
                </c:pt>
                <c:pt idx="604">
                  <c:v>43994</c:v>
                </c:pt>
                <c:pt idx="605">
                  <c:v>43997</c:v>
                </c:pt>
                <c:pt idx="606">
                  <c:v>43998</c:v>
                </c:pt>
                <c:pt idx="607">
                  <c:v>43999</c:v>
                </c:pt>
                <c:pt idx="608">
                  <c:v>44000</c:v>
                </c:pt>
                <c:pt idx="609">
                  <c:v>44001</c:v>
                </c:pt>
                <c:pt idx="610">
                  <c:v>44004</c:v>
                </c:pt>
                <c:pt idx="611">
                  <c:v>44005</c:v>
                </c:pt>
                <c:pt idx="612">
                  <c:v>44006</c:v>
                </c:pt>
                <c:pt idx="613">
                  <c:v>44007</c:v>
                </c:pt>
                <c:pt idx="614">
                  <c:v>44008</c:v>
                </c:pt>
                <c:pt idx="615">
                  <c:v>44011</c:v>
                </c:pt>
                <c:pt idx="616">
                  <c:v>44012</c:v>
                </c:pt>
                <c:pt idx="617">
                  <c:v>44013</c:v>
                </c:pt>
                <c:pt idx="618">
                  <c:v>44014</c:v>
                </c:pt>
                <c:pt idx="619">
                  <c:v>44015</c:v>
                </c:pt>
                <c:pt idx="620">
                  <c:v>44018</c:v>
                </c:pt>
                <c:pt idx="621">
                  <c:v>44019</c:v>
                </c:pt>
                <c:pt idx="622">
                  <c:v>44020</c:v>
                </c:pt>
                <c:pt idx="623">
                  <c:v>44021</c:v>
                </c:pt>
                <c:pt idx="624">
                  <c:v>44022</c:v>
                </c:pt>
                <c:pt idx="625">
                  <c:v>44025</c:v>
                </c:pt>
                <c:pt idx="626">
                  <c:v>44026</c:v>
                </c:pt>
                <c:pt idx="627">
                  <c:v>44027</c:v>
                </c:pt>
                <c:pt idx="628">
                  <c:v>44028</c:v>
                </c:pt>
                <c:pt idx="629">
                  <c:v>44029</c:v>
                </c:pt>
                <c:pt idx="630">
                  <c:v>44032</c:v>
                </c:pt>
                <c:pt idx="631">
                  <c:v>44033</c:v>
                </c:pt>
                <c:pt idx="632">
                  <c:v>44034</c:v>
                </c:pt>
                <c:pt idx="633">
                  <c:v>44035</c:v>
                </c:pt>
                <c:pt idx="634">
                  <c:v>44036</c:v>
                </c:pt>
                <c:pt idx="635">
                  <c:v>44039</c:v>
                </c:pt>
                <c:pt idx="636">
                  <c:v>44040</c:v>
                </c:pt>
                <c:pt idx="637">
                  <c:v>44041</c:v>
                </c:pt>
                <c:pt idx="638">
                  <c:v>44042</c:v>
                </c:pt>
                <c:pt idx="639">
                  <c:v>44043</c:v>
                </c:pt>
                <c:pt idx="640">
                  <c:v>44046</c:v>
                </c:pt>
                <c:pt idx="641">
                  <c:v>44047</c:v>
                </c:pt>
                <c:pt idx="642">
                  <c:v>44048</c:v>
                </c:pt>
                <c:pt idx="643">
                  <c:v>44049</c:v>
                </c:pt>
                <c:pt idx="644">
                  <c:v>44050</c:v>
                </c:pt>
                <c:pt idx="645">
                  <c:v>44053</c:v>
                </c:pt>
                <c:pt idx="646">
                  <c:v>44054</c:v>
                </c:pt>
                <c:pt idx="647">
                  <c:v>44055</c:v>
                </c:pt>
                <c:pt idx="648">
                  <c:v>44056</c:v>
                </c:pt>
                <c:pt idx="649">
                  <c:v>44057</c:v>
                </c:pt>
                <c:pt idx="650">
                  <c:v>44060</c:v>
                </c:pt>
                <c:pt idx="651">
                  <c:v>44061</c:v>
                </c:pt>
                <c:pt idx="652">
                  <c:v>44062</c:v>
                </c:pt>
                <c:pt idx="653">
                  <c:v>44063</c:v>
                </c:pt>
                <c:pt idx="654">
                  <c:v>44064</c:v>
                </c:pt>
                <c:pt idx="655">
                  <c:v>44067</c:v>
                </c:pt>
                <c:pt idx="656">
                  <c:v>44068</c:v>
                </c:pt>
                <c:pt idx="657">
                  <c:v>44069</c:v>
                </c:pt>
                <c:pt idx="658">
                  <c:v>44070</c:v>
                </c:pt>
                <c:pt idx="659">
                  <c:v>44071</c:v>
                </c:pt>
                <c:pt idx="660">
                  <c:v>44074</c:v>
                </c:pt>
                <c:pt idx="661">
                  <c:v>44075</c:v>
                </c:pt>
                <c:pt idx="662">
                  <c:v>44076</c:v>
                </c:pt>
                <c:pt idx="663">
                  <c:v>44077</c:v>
                </c:pt>
                <c:pt idx="664">
                  <c:v>44078</c:v>
                </c:pt>
                <c:pt idx="665">
                  <c:v>44081</c:v>
                </c:pt>
                <c:pt idx="666">
                  <c:v>44082</c:v>
                </c:pt>
                <c:pt idx="667">
                  <c:v>44083</c:v>
                </c:pt>
                <c:pt idx="668">
                  <c:v>44084</c:v>
                </c:pt>
                <c:pt idx="669">
                  <c:v>44085</c:v>
                </c:pt>
                <c:pt idx="670">
                  <c:v>44088</c:v>
                </c:pt>
                <c:pt idx="671">
                  <c:v>44089</c:v>
                </c:pt>
                <c:pt idx="672">
                  <c:v>44090</c:v>
                </c:pt>
                <c:pt idx="673">
                  <c:v>44091</c:v>
                </c:pt>
                <c:pt idx="674">
                  <c:v>44092</c:v>
                </c:pt>
                <c:pt idx="675">
                  <c:v>44096</c:v>
                </c:pt>
                <c:pt idx="676">
                  <c:v>44097</c:v>
                </c:pt>
                <c:pt idx="677">
                  <c:v>44098</c:v>
                </c:pt>
                <c:pt idx="678">
                  <c:v>44099</c:v>
                </c:pt>
                <c:pt idx="679">
                  <c:v>44102</c:v>
                </c:pt>
                <c:pt idx="680">
                  <c:v>44103</c:v>
                </c:pt>
                <c:pt idx="681">
                  <c:v>44104</c:v>
                </c:pt>
                <c:pt idx="682">
                  <c:v>44105</c:v>
                </c:pt>
                <c:pt idx="683">
                  <c:v>44106</c:v>
                </c:pt>
                <c:pt idx="684">
                  <c:v>44109</c:v>
                </c:pt>
                <c:pt idx="685">
                  <c:v>44110</c:v>
                </c:pt>
                <c:pt idx="686">
                  <c:v>44111</c:v>
                </c:pt>
                <c:pt idx="687">
                  <c:v>44112</c:v>
                </c:pt>
                <c:pt idx="688">
                  <c:v>44113</c:v>
                </c:pt>
                <c:pt idx="689">
                  <c:v>44116</c:v>
                </c:pt>
                <c:pt idx="690">
                  <c:v>44117</c:v>
                </c:pt>
                <c:pt idx="691">
                  <c:v>44118</c:v>
                </c:pt>
                <c:pt idx="692">
                  <c:v>44119</c:v>
                </c:pt>
                <c:pt idx="693">
                  <c:v>44120</c:v>
                </c:pt>
                <c:pt idx="694">
                  <c:v>44123</c:v>
                </c:pt>
                <c:pt idx="695">
                  <c:v>44124</c:v>
                </c:pt>
                <c:pt idx="696">
                  <c:v>44125</c:v>
                </c:pt>
                <c:pt idx="697">
                  <c:v>44126</c:v>
                </c:pt>
                <c:pt idx="698">
                  <c:v>44127</c:v>
                </c:pt>
                <c:pt idx="699">
                  <c:v>44130</c:v>
                </c:pt>
                <c:pt idx="700">
                  <c:v>44131</c:v>
                </c:pt>
                <c:pt idx="701">
                  <c:v>44132</c:v>
                </c:pt>
                <c:pt idx="702">
                  <c:v>44133</c:v>
                </c:pt>
                <c:pt idx="703">
                  <c:v>44134</c:v>
                </c:pt>
                <c:pt idx="704">
                  <c:v>44137</c:v>
                </c:pt>
                <c:pt idx="705">
                  <c:v>44138</c:v>
                </c:pt>
                <c:pt idx="706">
                  <c:v>44139</c:v>
                </c:pt>
                <c:pt idx="707">
                  <c:v>44140</c:v>
                </c:pt>
                <c:pt idx="708">
                  <c:v>44141</c:v>
                </c:pt>
                <c:pt idx="709">
                  <c:v>44144</c:v>
                </c:pt>
                <c:pt idx="710">
                  <c:v>44145</c:v>
                </c:pt>
                <c:pt idx="711">
                  <c:v>44146</c:v>
                </c:pt>
                <c:pt idx="712">
                  <c:v>44147</c:v>
                </c:pt>
                <c:pt idx="713">
                  <c:v>44148</c:v>
                </c:pt>
                <c:pt idx="714">
                  <c:v>44151</c:v>
                </c:pt>
                <c:pt idx="715">
                  <c:v>44152</c:v>
                </c:pt>
                <c:pt idx="716">
                  <c:v>44153</c:v>
                </c:pt>
                <c:pt idx="717">
                  <c:v>44154</c:v>
                </c:pt>
                <c:pt idx="718">
                  <c:v>44155</c:v>
                </c:pt>
                <c:pt idx="719">
                  <c:v>44158</c:v>
                </c:pt>
                <c:pt idx="720">
                  <c:v>44159</c:v>
                </c:pt>
                <c:pt idx="721">
                  <c:v>44160</c:v>
                </c:pt>
                <c:pt idx="722">
                  <c:v>44161</c:v>
                </c:pt>
                <c:pt idx="723">
                  <c:v>44162</c:v>
                </c:pt>
                <c:pt idx="724">
                  <c:v>44165</c:v>
                </c:pt>
                <c:pt idx="725">
                  <c:v>44166</c:v>
                </c:pt>
                <c:pt idx="726">
                  <c:v>44167</c:v>
                </c:pt>
                <c:pt idx="727">
                  <c:v>44168</c:v>
                </c:pt>
                <c:pt idx="728">
                  <c:v>44169</c:v>
                </c:pt>
                <c:pt idx="729">
                  <c:v>44172</c:v>
                </c:pt>
                <c:pt idx="730">
                  <c:v>44173</c:v>
                </c:pt>
                <c:pt idx="731">
                  <c:v>44174</c:v>
                </c:pt>
                <c:pt idx="732">
                  <c:v>44175</c:v>
                </c:pt>
                <c:pt idx="733">
                  <c:v>44176</c:v>
                </c:pt>
                <c:pt idx="734">
                  <c:v>44179</c:v>
                </c:pt>
                <c:pt idx="735">
                  <c:v>44180</c:v>
                </c:pt>
                <c:pt idx="736">
                  <c:v>44181</c:v>
                </c:pt>
                <c:pt idx="737">
                  <c:v>44182</c:v>
                </c:pt>
                <c:pt idx="738">
                  <c:v>44183</c:v>
                </c:pt>
                <c:pt idx="739">
                  <c:v>44186</c:v>
                </c:pt>
                <c:pt idx="740">
                  <c:v>44187</c:v>
                </c:pt>
                <c:pt idx="741">
                  <c:v>44188</c:v>
                </c:pt>
                <c:pt idx="742">
                  <c:v>44189</c:v>
                </c:pt>
                <c:pt idx="743">
                  <c:v>44190</c:v>
                </c:pt>
                <c:pt idx="744">
                  <c:v>44193</c:v>
                </c:pt>
                <c:pt idx="745">
                  <c:v>44194</c:v>
                </c:pt>
                <c:pt idx="746">
                  <c:v>44195</c:v>
                </c:pt>
                <c:pt idx="747">
                  <c:v>44204</c:v>
                </c:pt>
                <c:pt idx="748">
                  <c:v>44207</c:v>
                </c:pt>
                <c:pt idx="749">
                  <c:v>44208</c:v>
                </c:pt>
                <c:pt idx="750">
                  <c:v>44209</c:v>
                </c:pt>
                <c:pt idx="751">
                  <c:v>44210</c:v>
                </c:pt>
                <c:pt idx="752">
                  <c:v>44211</c:v>
                </c:pt>
                <c:pt idx="753">
                  <c:v>44214</c:v>
                </c:pt>
                <c:pt idx="754">
                  <c:v>44215</c:v>
                </c:pt>
                <c:pt idx="755">
                  <c:v>44216</c:v>
                </c:pt>
                <c:pt idx="756">
                  <c:v>44217</c:v>
                </c:pt>
                <c:pt idx="757">
                  <c:v>44218</c:v>
                </c:pt>
                <c:pt idx="758">
                  <c:v>44221</c:v>
                </c:pt>
                <c:pt idx="759">
                  <c:v>44222</c:v>
                </c:pt>
                <c:pt idx="760">
                  <c:v>44223</c:v>
                </c:pt>
                <c:pt idx="761">
                  <c:v>44225</c:v>
                </c:pt>
                <c:pt idx="762">
                  <c:v>44228</c:v>
                </c:pt>
                <c:pt idx="763">
                  <c:v>44229</c:v>
                </c:pt>
                <c:pt idx="764">
                  <c:v>44230</c:v>
                </c:pt>
                <c:pt idx="765">
                  <c:v>44231</c:v>
                </c:pt>
                <c:pt idx="766">
                  <c:v>44232</c:v>
                </c:pt>
                <c:pt idx="767">
                  <c:v>44235</c:v>
                </c:pt>
                <c:pt idx="768">
                  <c:v>44236</c:v>
                </c:pt>
                <c:pt idx="769">
                  <c:v>44237</c:v>
                </c:pt>
                <c:pt idx="770">
                  <c:v>44238</c:v>
                </c:pt>
                <c:pt idx="771">
                  <c:v>44239</c:v>
                </c:pt>
                <c:pt idx="772">
                  <c:v>44242</c:v>
                </c:pt>
                <c:pt idx="773">
                  <c:v>44243</c:v>
                </c:pt>
                <c:pt idx="774">
                  <c:v>44244</c:v>
                </c:pt>
                <c:pt idx="775">
                  <c:v>44245</c:v>
                </c:pt>
                <c:pt idx="776">
                  <c:v>44246</c:v>
                </c:pt>
                <c:pt idx="777">
                  <c:v>44249</c:v>
                </c:pt>
                <c:pt idx="778">
                  <c:v>44250</c:v>
                </c:pt>
                <c:pt idx="779">
                  <c:v>44251</c:v>
                </c:pt>
                <c:pt idx="780">
                  <c:v>44252</c:v>
                </c:pt>
                <c:pt idx="781">
                  <c:v>44253</c:v>
                </c:pt>
                <c:pt idx="782">
                  <c:v>44256</c:v>
                </c:pt>
                <c:pt idx="783">
                  <c:v>44257</c:v>
                </c:pt>
                <c:pt idx="784">
                  <c:v>44258</c:v>
                </c:pt>
                <c:pt idx="785">
                  <c:v>44259</c:v>
                </c:pt>
                <c:pt idx="786">
                  <c:v>44260</c:v>
                </c:pt>
                <c:pt idx="787">
                  <c:v>44264</c:v>
                </c:pt>
                <c:pt idx="788">
                  <c:v>44265</c:v>
                </c:pt>
                <c:pt idx="789">
                  <c:v>44266</c:v>
                </c:pt>
                <c:pt idx="790">
                  <c:v>44267</c:v>
                </c:pt>
                <c:pt idx="791">
                  <c:v>44270</c:v>
                </c:pt>
                <c:pt idx="792">
                  <c:v>44271</c:v>
                </c:pt>
                <c:pt idx="793">
                  <c:v>44272</c:v>
                </c:pt>
                <c:pt idx="794">
                  <c:v>44273</c:v>
                </c:pt>
                <c:pt idx="795">
                  <c:v>44274</c:v>
                </c:pt>
                <c:pt idx="796">
                  <c:v>44277</c:v>
                </c:pt>
                <c:pt idx="797">
                  <c:v>44278</c:v>
                </c:pt>
                <c:pt idx="798">
                  <c:v>44279</c:v>
                </c:pt>
                <c:pt idx="799">
                  <c:v>44280</c:v>
                </c:pt>
                <c:pt idx="800">
                  <c:v>44281</c:v>
                </c:pt>
                <c:pt idx="801">
                  <c:v>44284</c:v>
                </c:pt>
                <c:pt idx="802">
                  <c:v>44285</c:v>
                </c:pt>
                <c:pt idx="803">
                  <c:v>44286</c:v>
                </c:pt>
                <c:pt idx="804">
                  <c:v>44287</c:v>
                </c:pt>
                <c:pt idx="805">
                  <c:v>44288</c:v>
                </c:pt>
                <c:pt idx="806">
                  <c:v>44291</c:v>
                </c:pt>
                <c:pt idx="807">
                  <c:v>44292</c:v>
                </c:pt>
                <c:pt idx="808">
                  <c:v>44293</c:v>
                </c:pt>
                <c:pt idx="809">
                  <c:v>44294</c:v>
                </c:pt>
                <c:pt idx="810">
                  <c:v>44295</c:v>
                </c:pt>
                <c:pt idx="811">
                  <c:v>44298</c:v>
                </c:pt>
                <c:pt idx="812">
                  <c:v>44299</c:v>
                </c:pt>
                <c:pt idx="813">
                  <c:v>44300</c:v>
                </c:pt>
                <c:pt idx="814">
                  <c:v>44301</c:v>
                </c:pt>
                <c:pt idx="815">
                  <c:v>44302</c:v>
                </c:pt>
                <c:pt idx="816">
                  <c:v>44305</c:v>
                </c:pt>
                <c:pt idx="817">
                  <c:v>44306</c:v>
                </c:pt>
                <c:pt idx="818">
                  <c:v>44307</c:v>
                </c:pt>
                <c:pt idx="819">
                  <c:v>44308</c:v>
                </c:pt>
                <c:pt idx="820">
                  <c:v>44309</c:v>
                </c:pt>
                <c:pt idx="821">
                  <c:v>44312</c:v>
                </c:pt>
                <c:pt idx="822">
                  <c:v>44313</c:v>
                </c:pt>
                <c:pt idx="823">
                  <c:v>44314</c:v>
                </c:pt>
                <c:pt idx="824">
                  <c:v>44315</c:v>
                </c:pt>
                <c:pt idx="825">
                  <c:v>44316</c:v>
                </c:pt>
                <c:pt idx="826">
                  <c:v>44319</c:v>
                </c:pt>
                <c:pt idx="827">
                  <c:v>44320</c:v>
                </c:pt>
                <c:pt idx="828">
                  <c:v>44321</c:v>
                </c:pt>
                <c:pt idx="829">
                  <c:v>44322</c:v>
                </c:pt>
                <c:pt idx="830">
                  <c:v>44323</c:v>
                </c:pt>
                <c:pt idx="831">
                  <c:v>44326</c:v>
                </c:pt>
                <c:pt idx="832">
                  <c:v>44327</c:v>
                </c:pt>
                <c:pt idx="833">
                  <c:v>44328</c:v>
                </c:pt>
                <c:pt idx="834">
                  <c:v>44329</c:v>
                </c:pt>
                <c:pt idx="835">
                  <c:v>44330</c:v>
                </c:pt>
                <c:pt idx="836">
                  <c:v>44333</c:v>
                </c:pt>
                <c:pt idx="837">
                  <c:v>44334</c:v>
                </c:pt>
                <c:pt idx="838">
                  <c:v>44335</c:v>
                </c:pt>
                <c:pt idx="839">
                  <c:v>44336</c:v>
                </c:pt>
                <c:pt idx="840">
                  <c:v>44337</c:v>
                </c:pt>
                <c:pt idx="841">
                  <c:v>44340</c:v>
                </c:pt>
                <c:pt idx="842">
                  <c:v>44341</c:v>
                </c:pt>
                <c:pt idx="843">
                  <c:v>44342</c:v>
                </c:pt>
                <c:pt idx="844">
                  <c:v>44343</c:v>
                </c:pt>
                <c:pt idx="845">
                  <c:v>44347</c:v>
                </c:pt>
                <c:pt idx="846">
                  <c:v>44348</c:v>
                </c:pt>
                <c:pt idx="847">
                  <c:v>44349</c:v>
                </c:pt>
                <c:pt idx="848">
                  <c:v>44350</c:v>
                </c:pt>
                <c:pt idx="849">
                  <c:v>44351</c:v>
                </c:pt>
                <c:pt idx="850">
                  <c:v>44354</c:v>
                </c:pt>
                <c:pt idx="851">
                  <c:v>44355</c:v>
                </c:pt>
                <c:pt idx="852">
                  <c:v>44356</c:v>
                </c:pt>
                <c:pt idx="853">
                  <c:v>44357</c:v>
                </c:pt>
                <c:pt idx="854">
                  <c:v>44358</c:v>
                </c:pt>
                <c:pt idx="855">
                  <c:v>44361</c:v>
                </c:pt>
                <c:pt idx="856">
                  <c:v>44362</c:v>
                </c:pt>
                <c:pt idx="857">
                  <c:v>44363</c:v>
                </c:pt>
                <c:pt idx="858">
                  <c:v>44364</c:v>
                </c:pt>
                <c:pt idx="859">
                  <c:v>44365</c:v>
                </c:pt>
                <c:pt idx="860">
                  <c:v>44368</c:v>
                </c:pt>
                <c:pt idx="861">
                  <c:v>44369</c:v>
                </c:pt>
                <c:pt idx="862">
                  <c:v>44370</c:v>
                </c:pt>
                <c:pt idx="863">
                  <c:v>44371</c:v>
                </c:pt>
                <c:pt idx="864">
                  <c:v>44372</c:v>
                </c:pt>
                <c:pt idx="865">
                  <c:v>44375</c:v>
                </c:pt>
                <c:pt idx="866">
                  <c:v>44376</c:v>
                </c:pt>
                <c:pt idx="867">
                  <c:v>44377</c:v>
                </c:pt>
                <c:pt idx="868">
                  <c:v>44378</c:v>
                </c:pt>
                <c:pt idx="869">
                  <c:v>44379</c:v>
                </c:pt>
                <c:pt idx="870">
                  <c:v>44383</c:v>
                </c:pt>
                <c:pt idx="871">
                  <c:v>44384</c:v>
                </c:pt>
                <c:pt idx="872">
                  <c:v>44385</c:v>
                </c:pt>
                <c:pt idx="873">
                  <c:v>44386</c:v>
                </c:pt>
                <c:pt idx="874">
                  <c:v>44389</c:v>
                </c:pt>
              </c:numCache>
            </c:numRef>
          </c:cat>
          <c:val>
            <c:numRef>
              <c:f>Sheet1!$C$2:$C$876</c:f>
              <c:numCache>
                <c:formatCode>_(* #\,##0_);_(* \(#\,##0\);_(* "-"??_);_(@_)</c:formatCode>
                <c:ptCount val="875"/>
                <c:pt idx="0">
                  <c:v>100</c:v>
                </c:pt>
                <c:pt idx="1">
                  <c:v>99.882352941176478</c:v>
                </c:pt>
                <c:pt idx="2">
                  <c:v>100.11764705882354</c:v>
                </c:pt>
                <c:pt idx="3">
                  <c:v>100.00000000000001</c:v>
                </c:pt>
                <c:pt idx="4">
                  <c:v>100.58823529411767</c:v>
                </c:pt>
                <c:pt idx="5">
                  <c:v>100.82352941176472</c:v>
                </c:pt>
                <c:pt idx="6">
                  <c:v>100.70588235294119</c:v>
                </c:pt>
                <c:pt idx="7">
                  <c:v>100.35294117647059</c:v>
                </c:pt>
                <c:pt idx="8">
                  <c:v>100.11764705882355</c:v>
                </c:pt>
                <c:pt idx="9">
                  <c:v>100.23529411764709</c:v>
                </c:pt>
                <c:pt idx="10">
                  <c:v>100.23529411764709</c:v>
                </c:pt>
                <c:pt idx="11">
                  <c:v>100.23529411764709</c:v>
                </c:pt>
                <c:pt idx="12">
                  <c:v>100.35294117647061</c:v>
                </c:pt>
                <c:pt idx="13">
                  <c:v>101.29411764705885</c:v>
                </c:pt>
                <c:pt idx="14">
                  <c:v>101.29411764705885</c:v>
                </c:pt>
                <c:pt idx="15">
                  <c:v>100.47058823529414</c:v>
                </c:pt>
                <c:pt idx="16">
                  <c:v>100.94117647058826</c:v>
                </c:pt>
                <c:pt idx="17">
                  <c:v>100.7058823529412</c:v>
                </c:pt>
                <c:pt idx="18">
                  <c:v>100.7058823529412</c:v>
                </c:pt>
                <c:pt idx="19">
                  <c:v>100.58823529411768</c:v>
                </c:pt>
                <c:pt idx="20">
                  <c:v>100.23529411764709</c:v>
                </c:pt>
                <c:pt idx="21">
                  <c:v>99.294117647058854</c:v>
                </c:pt>
                <c:pt idx="22">
                  <c:v>99.294117647058854</c:v>
                </c:pt>
                <c:pt idx="23">
                  <c:v>97.882352941176507</c:v>
                </c:pt>
                <c:pt idx="24">
                  <c:v>97.882352941176507</c:v>
                </c:pt>
                <c:pt idx="25">
                  <c:v>97.882352941176507</c:v>
                </c:pt>
                <c:pt idx="26">
                  <c:v>98.11764705882355</c:v>
                </c:pt>
                <c:pt idx="27">
                  <c:v>98.47058823529413</c:v>
                </c:pt>
                <c:pt idx="28">
                  <c:v>100.00000000000003</c:v>
                </c:pt>
                <c:pt idx="29">
                  <c:v>100.35294117647061</c:v>
                </c:pt>
                <c:pt idx="30">
                  <c:v>100.23529411764707</c:v>
                </c:pt>
                <c:pt idx="31">
                  <c:v>99.647058823529434</c:v>
                </c:pt>
                <c:pt idx="32">
                  <c:v>99.882352941176492</c:v>
                </c:pt>
                <c:pt idx="33">
                  <c:v>99.647058823529449</c:v>
                </c:pt>
                <c:pt idx="34">
                  <c:v>100.23529411764707</c:v>
                </c:pt>
                <c:pt idx="35">
                  <c:v>101.1764705882353</c:v>
                </c:pt>
                <c:pt idx="36">
                  <c:v>101.41176470588236</c:v>
                </c:pt>
                <c:pt idx="37">
                  <c:v>100.58823529411767</c:v>
                </c:pt>
                <c:pt idx="38">
                  <c:v>99.764705882352956</c:v>
                </c:pt>
                <c:pt idx="39">
                  <c:v>99.764705882352956</c:v>
                </c:pt>
                <c:pt idx="40">
                  <c:v>99.17647058823529</c:v>
                </c:pt>
                <c:pt idx="41">
                  <c:v>100</c:v>
                </c:pt>
                <c:pt idx="42">
                  <c:v>99.17647058823529</c:v>
                </c:pt>
                <c:pt idx="43">
                  <c:v>99.529411764705884</c:v>
                </c:pt>
                <c:pt idx="44">
                  <c:v>99.294117647058812</c:v>
                </c:pt>
                <c:pt idx="45">
                  <c:v>99.294117647058812</c:v>
                </c:pt>
                <c:pt idx="46">
                  <c:v>99.17647058823529</c:v>
                </c:pt>
                <c:pt idx="47">
                  <c:v>98.235294117647058</c:v>
                </c:pt>
                <c:pt idx="48">
                  <c:v>98.235294117647058</c:v>
                </c:pt>
                <c:pt idx="49">
                  <c:v>98</c:v>
                </c:pt>
                <c:pt idx="50">
                  <c:v>97.64705882352942</c:v>
                </c:pt>
                <c:pt idx="51">
                  <c:v>98.117647058823536</c:v>
                </c:pt>
                <c:pt idx="52">
                  <c:v>99.294117647058826</c:v>
                </c:pt>
                <c:pt idx="53">
                  <c:v>98.82352941176471</c:v>
                </c:pt>
                <c:pt idx="54">
                  <c:v>99.294117647058826</c:v>
                </c:pt>
                <c:pt idx="55">
                  <c:v>98.941176470588246</c:v>
                </c:pt>
                <c:pt idx="56">
                  <c:v>98.117647058823536</c:v>
                </c:pt>
                <c:pt idx="57">
                  <c:v>98.000000000000014</c:v>
                </c:pt>
                <c:pt idx="58">
                  <c:v>98.352941176470594</c:v>
                </c:pt>
                <c:pt idx="59">
                  <c:v>98.117647058823536</c:v>
                </c:pt>
                <c:pt idx="60">
                  <c:v>97.647058823529434</c:v>
                </c:pt>
                <c:pt idx="61">
                  <c:v>98.235294117647072</c:v>
                </c:pt>
                <c:pt idx="62">
                  <c:v>97.647058823529449</c:v>
                </c:pt>
                <c:pt idx="63">
                  <c:v>97.647058823529449</c:v>
                </c:pt>
                <c:pt idx="64">
                  <c:v>95.176470588235318</c:v>
                </c:pt>
                <c:pt idx="65">
                  <c:v>90.705882352941202</c:v>
                </c:pt>
                <c:pt idx="66">
                  <c:v>88.470588235294144</c:v>
                </c:pt>
                <c:pt idx="67">
                  <c:v>91.882352941176492</c:v>
                </c:pt>
                <c:pt idx="68">
                  <c:v>92.352941176470623</c:v>
                </c:pt>
                <c:pt idx="69">
                  <c:v>91.76470588235297</c:v>
                </c:pt>
                <c:pt idx="70">
                  <c:v>92.117647058823565</c:v>
                </c:pt>
                <c:pt idx="71">
                  <c:v>91.647058823529449</c:v>
                </c:pt>
                <c:pt idx="72">
                  <c:v>92.470588235294159</c:v>
                </c:pt>
                <c:pt idx="73">
                  <c:v>92.000000000000043</c:v>
                </c:pt>
                <c:pt idx="74">
                  <c:v>91.058823529411811</c:v>
                </c:pt>
                <c:pt idx="75">
                  <c:v>91.529411764705927</c:v>
                </c:pt>
                <c:pt idx="76">
                  <c:v>90.352941176470637</c:v>
                </c:pt>
                <c:pt idx="77">
                  <c:v>90.705882352941231</c:v>
                </c:pt>
                <c:pt idx="78">
                  <c:v>89.294117647058869</c:v>
                </c:pt>
                <c:pt idx="79">
                  <c:v>90.000000000000057</c:v>
                </c:pt>
                <c:pt idx="80">
                  <c:v>90.000000000000057</c:v>
                </c:pt>
                <c:pt idx="81">
                  <c:v>90.117647058823593</c:v>
                </c:pt>
                <c:pt idx="82">
                  <c:v>90.941176470588303</c:v>
                </c:pt>
                <c:pt idx="83">
                  <c:v>90.470588235294187</c:v>
                </c:pt>
                <c:pt idx="84">
                  <c:v>91.882352941176535</c:v>
                </c:pt>
                <c:pt idx="85">
                  <c:v>92.705882352941245</c:v>
                </c:pt>
                <c:pt idx="86">
                  <c:v>92.470588235294187</c:v>
                </c:pt>
                <c:pt idx="87">
                  <c:v>92.117647058823593</c:v>
                </c:pt>
                <c:pt idx="88">
                  <c:v>91.058823529411825</c:v>
                </c:pt>
                <c:pt idx="89">
                  <c:v>91.882352941176521</c:v>
                </c:pt>
                <c:pt idx="90">
                  <c:v>91.294117647058869</c:v>
                </c:pt>
                <c:pt idx="91">
                  <c:v>91.058823529411811</c:v>
                </c:pt>
                <c:pt idx="92">
                  <c:v>92.705882352941217</c:v>
                </c:pt>
                <c:pt idx="93">
                  <c:v>92.117647058823579</c:v>
                </c:pt>
                <c:pt idx="94">
                  <c:v>92.470588235294173</c:v>
                </c:pt>
                <c:pt idx="95">
                  <c:v>91.882352941176507</c:v>
                </c:pt>
                <c:pt idx="96">
                  <c:v>90.58823529411768</c:v>
                </c:pt>
                <c:pt idx="97">
                  <c:v>91.058823529411796</c:v>
                </c:pt>
                <c:pt idx="98">
                  <c:v>91.411764705882391</c:v>
                </c:pt>
                <c:pt idx="99">
                  <c:v>91.411764705882391</c:v>
                </c:pt>
                <c:pt idx="100">
                  <c:v>91.764705882352985</c:v>
                </c:pt>
                <c:pt idx="101">
                  <c:v>91.529411764705927</c:v>
                </c:pt>
                <c:pt idx="102">
                  <c:v>91.764705882352985</c:v>
                </c:pt>
                <c:pt idx="103">
                  <c:v>92.000000000000043</c:v>
                </c:pt>
                <c:pt idx="104">
                  <c:v>90.58823529411768</c:v>
                </c:pt>
                <c:pt idx="105">
                  <c:v>90.705882352941217</c:v>
                </c:pt>
                <c:pt idx="106">
                  <c:v>90.705882352941217</c:v>
                </c:pt>
                <c:pt idx="107">
                  <c:v>90.235294117647101</c:v>
                </c:pt>
                <c:pt idx="108">
                  <c:v>91.294117647058869</c:v>
                </c:pt>
                <c:pt idx="109">
                  <c:v>90.470588235294159</c:v>
                </c:pt>
                <c:pt idx="110">
                  <c:v>89.647058823529449</c:v>
                </c:pt>
                <c:pt idx="111">
                  <c:v>88.470588235294144</c:v>
                </c:pt>
                <c:pt idx="112">
                  <c:v>89.294117647058854</c:v>
                </c:pt>
                <c:pt idx="113">
                  <c:v>88.823529411764738</c:v>
                </c:pt>
                <c:pt idx="114">
                  <c:v>89.882352941176507</c:v>
                </c:pt>
                <c:pt idx="115">
                  <c:v>90.235294117647101</c:v>
                </c:pt>
                <c:pt idx="116">
                  <c:v>90.117647058823579</c:v>
                </c:pt>
                <c:pt idx="117">
                  <c:v>89.647058823529463</c:v>
                </c:pt>
                <c:pt idx="118">
                  <c:v>89.764705882352985</c:v>
                </c:pt>
                <c:pt idx="119">
                  <c:v>90.470588235294173</c:v>
                </c:pt>
                <c:pt idx="120">
                  <c:v>89.882352941176521</c:v>
                </c:pt>
                <c:pt idx="121">
                  <c:v>89.764705882352999</c:v>
                </c:pt>
                <c:pt idx="122">
                  <c:v>89.764705882352999</c:v>
                </c:pt>
                <c:pt idx="123">
                  <c:v>90.000000000000057</c:v>
                </c:pt>
                <c:pt idx="124">
                  <c:v>90.470588235294173</c:v>
                </c:pt>
                <c:pt idx="125">
                  <c:v>90.823529411764738</c:v>
                </c:pt>
                <c:pt idx="126">
                  <c:v>91.176470588235333</c:v>
                </c:pt>
                <c:pt idx="127">
                  <c:v>91.176470588235333</c:v>
                </c:pt>
                <c:pt idx="128">
                  <c:v>90.941176470588275</c:v>
                </c:pt>
                <c:pt idx="129">
                  <c:v>90.941176470588275</c:v>
                </c:pt>
                <c:pt idx="130">
                  <c:v>90.470588235294159</c:v>
                </c:pt>
                <c:pt idx="131">
                  <c:v>89.647058823529449</c:v>
                </c:pt>
                <c:pt idx="132">
                  <c:v>89.058823529411811</c:v>
                </c:pt>
                <c:pt idx="133">
                  <c:v>89.176470588235333</c:v>
                </c:pt>
                <c:pt idx="134">
                  <c:v>89.647058823529463</c:v>
                </c:pt>
                <c:pt idx="135">
                  <c:v>90.117647058823579</c:v>
                </c:pt>
                <c:pt idx="136">
                  <c:v>89.882352941176521</c:v>
                </c:pt>
                <c:pt idx="137">
                  <c:v>89.882352941176521</c:v>
                </c:pt>
                <c:pt idx="138">
                  <c:v>89.764705882352999</c:v>
                </c:pt>
                <c:pt idx="139">
                  <c:v>90.352941176470637</c:v>
                </c:pt>
                <c:pt idx="140">
                  <c:v>90.705882352941231</c:v>
                </c:pt>
                <c:pt idx="141">
                  <c:v>90.352941176470637</c:v>
                </c:pt>
                <c:pt idx="142">
                  <c:v>89.411764705882405</c:v>
                </c:pt>
                <c:pt idx="143">
                  <c:v>89.176470588235361</c:v>
                </c:pt>
                <c:pt idx="144">
                  <c:v>89.176470588235361</c:v>
                </c:pt>
                <c:pt idx="145">
                  <c:v>89.294117647058883</c:v>
                </c:pt>
                <c:pt idx="146">
                  <c:v>88.352941176470651</c:v>
                </c:pt>
                <c:pt idx="147">
                  <c:v>86.117647058823593</c:v>
                </c:pt>
                <c:pt idx="148">
                  <c:v>84.823529411764767</c:v>
                </c:pt>
                <c:pt idx="149">
                  <c:v>83.529411764705941</c:v>
                </c:pt>
                <c:pt idx="150">
                  <c:v>85.058823529411839</c:v>
                </c:pt>
                <c:pt idx="151">
                  <c:v>85.058823529411839</c:v>
                </c:pt>
                <c:pt idx="152">
                  <c:v>85.058823529411839</c:v>
                </c:pt>
                <c:pt idx="153">
                  <c:v>84.235294117647129</c:v>
                </c:pt>
                <c:pt idx="154">
                  <c:v>84.705882352941245</c:v>
                </c:pt>
                <c:pt idx="155">
                  <c:v>84.352941176470651</c:v>
                </c:pt>
                <c:pt idx="156">
                  <c:v>84.000000000000057</c:v>
                </c:pt>
                <c:pt idx="157">
                  <c:v>82.352941176470651</c:v>
                </c:pt>
                <c:pt idx="158">
                  <c:v>83.764705882352999</c:v>
                </c:pt>
                <c:pt idx="159">
                  <c:v>84.470588235294173</c:v>
                </c:pt>
                <c:pt idx="160">
                  <c:v>84.352941176470651</c:v>
                </c:pt>
                <c:pt idx="161">
                  <c:v>83.529411764705941</c:v>
                </c:pt>
                <c:pt idx="162">
                  <c:v>83.411764705882405</c:v>
                </c:pt>
                <c:pt idx="163">
                  <c:v>83.529411764705941</c:v>
                </c:pt>
                <c:pt idx="164">
                  <c:v>83.764705882352999</c:v>
                </c:pt>
                <c:pt idx="165">
                  <c:v>83.411764705882405</c:v>
                </c:pt>
                <c:pt idx="166">
                  <c:v>83.176470588235361</c:v>
                </c:pt>
                <c:pt idx="167">
                  <c:v>83.411764705882405</c:v>
                </c:pt>
                <c:pt idx="168">
                  <c:v>82.705882352941231</c:v>
                </c:pt>
                <c:pt idx="169">
                  <c:v>81.411764705882405</c:v>
                </c:pt>
                <c:pt idx="170">
                  <c:v>81.411764705882405</c:v>
                </c:pt>
                <c:pt idx="171">
                  <c:v>82.235294117647129</c:v>
                </c:pt>
                <c:pt idx="172">
                  <c:v>83.294117647058897</c:v>
                </c:pt>
                <c:pt idx="173">
                  <c:v>83.294117647058897</c:v>
                </c:pt>
                <c:pt idx="174">
                  <c:v>83.647058823529491</c:v>
                </c:pt>
                <c:pt idx="175">
                  <c:v>84.117647058823607</c:v>
                </c:pt>
                <c:pt idx="176">
                  <c:v>84.941176470588303</c:v>
                </c:pt>
                <c:pt idx="177">
                  <c:v>85.647058823529491</c:v>
                </c:pt>
                <c:pt idx="178">
                  <c:v>86.000000000000085</c:v>
                </c:pt>
                <c:pt idx="179">
                  <c:v>86.117647058823621</c:v>
                </c:pt>
                <c:pt idx="180">
                  <c:v>86.117647058823621</c:v>
                </c:pt>
                <c:pt idx="181">
                  <c:v>86.235294117647157</c:v>
                </c:pt>
                <c:pt idx="182">
                  <c:v>86.235294117647157</c:v>
                </c:pt>
                <c:pt idx="183">
                  <c:v>86.705882352941273</c:v>
                </c:pt>
                <c:pt idx="184">
                  <c:v>86.823529411764795</c:v>
                </c:pt>
                <c:pt idx="185">
                  <c:v>86.941176470588317</c:v>
                </c:pt>
                <c:pt idx="186">
                  <c:v>86.117647058823607</c:v>
                </c:pt>
                <c:pt idx="187">
                  <c:v>85.529411764705955</c:v>
                </c:pt>
                <c:pt idx="188">
                  <c:v>85.411764705882433</c:v>
                </c:pt>
                <c:pt idx="189">
                  <c:v>85.764705882353027</c:v>
                </c:pt>
                <c:pt idx="190">
                  <c:v>86.352941176470679</c:v>
                </c:pt>
                <c:pt idx="191">
                  <c:v>87.058823529411853</c:v>
                </c:pt>
                <c:pt idx="192">
                  <c:v>87.058823529411853</c:v>
                </c:pt>
                <c:pt idx="193">
                  <c:v>86.823529411764781</c:v>
                </c:pt>
                <c:pt idx="194">
                  <c:v>86.823529411764781</c:v>
                </c:pt>
                <c:pt idx="195">
                  <c:v>86.705882352941259</c:v>
                </c:pt>
                <c:pt idx="196">
                  <c:v>87.176470588235375</c:v>
                </c:pt>
                <c:pt idx="197">
                  <c:v>87.294117647058897</c:v>
                </c:pt>
                <c:pt idx="198">
                  <c:v>86.941176470588303</c:v>
                </c:pt>
                <c:pt idx="199">
                  <c:v>86.941176470588303</c:v>
                </c:pt>
                <c:pt idx="200">
                  <c:v>86.941176470588303</c:v>
                </c:pt>
                <c:pt idx="201">
                  <c:v>86.823529411764781</c:v>
                </c:pt>
                <c:pt idx="202">
                  <c:v>87.058823529411853</c:v>
                </c:pt>
                <c:pt idx="203">
                  <c:v>87.058823529411853</c:v>
                </c:pt>
                <c:pt idx="204">
                  <c:v>87.058823529411853</c:v>
                </c:pt>
                <c:pt idx="205">
                  <c:v>87.294117647058911</c:v>
                </c:pt>
                <c:pt idx="206">
                  <c:v>87.176470588235389</c:v>
                </c:pt>
                <c:pt idx="207">
                  <c:v>87.294117647058911</c:v>
                </c:pt>
                <c:pt idx="208">
                  <c:v>86.470588235294201</c:v>
                </c:pt>
                <c:pt idx="209">
                  <c:v>87.058823529411853</c:v>
                </c:pt>
                <c:pt idx="210">
                  <c:v>86.941176470588317</c:v>
                </c:pt>
                <c:pt idx="211">
                  <c:v>86.470588235294201</c:v>
                </c:pt>
                <c:pt idx="212">
                  <c:v>85.764705882353027</c:v>
                </c:pt>
                <c:pt idx="213">
                  <c:v>84.941176470588317</c:v>
                </c:pt>
                <c:pt idx="214">
                  <c:v>84.823529411764795</c:v>
                </c:pt>
                <c:pt idx="215">
                  <c:v>84.823529411764795</c:v>
                </c:pt>
                <c:pt idx="216">
                  <c:v>86.000000000000085</c:v>
                </c:pt>
                <c:pt idx="217">
                  <c:v>86.470588235294201</c:v>
                </c:pt>
                <c:pt idx="218">
                  <c:v>86.705882352941259</c:v>
                </c:pt>
                <c:pt idx="219">
                  <c:v>86.823529411764781</c:v>
                </c:pt>
                <c:pt idx="220">
                  <c:v>86.470588235294187</c:v>
                </c:pt>
                <c:pt idx="221">
                  <c:v>86.823529411764781</c:v>
                </c:pt>
                <c:pt idx="222">
                  <c:v>86.823529411764781</c:v>
                </c:pt>
                <c:pt idx="223">
                  <c:v>85.764705882353013</c:v>
                </c:pt>
                <c:pt idx="224">
                  <c:v>85.529411764705955</c:v>
                </c:pt>
                <c:pt idx="225">
                  <c:v>84.705882352941259</c:v>
                </c:pt>
                <c:pt idx="226">
                  <c:v>85.647058823529491</c:v>
                </c:pt>
                <c:pt idx="227">
                  <c:v>85.411764705882419</c:v>
                </c:pt>
                <c:pt idx="228">
                  <c:v>85.882352941176535</c:v>
                </c:pt>
                <c:pt idx="229">
                  <c:v>86.117647058823607</c:v>
                </c:pt>
                <c:pt idx="230">
                  <c:v>85.529411764705955</c:v>
                </c:pt>
                <c:pt idx="231">
                  <c:v>85.176470588235375</c:v>
                </c:pt>
                <c:pt idx="232">
                  <c:v>85.294117647058911</c:v>
                </c:pt>
                <c:pt idx="233">
                  <c:v>86.117647058823621</c:v>
                </c:pt>
                <c:pt idx="234">
                  <c:v>85.882352941176549</c:v>
                </c:pt>
                <c:pt idx="235">
                  <c:v>86.000000000000085</c:v>
                </c:pt>
                <c:pt idx="236">
                  <c:v>86.117647058823621</c:v>
                </c:pt>
                <c:pt idx="237">
                  <c:v>85.882352941176549</c:v>
                </c:pt>
                <c:pt idx="238">
                  <c:v>85.764705882353027</c:v>
                </c:pt>
                <c:pt idx="239">
                  <c:v>85.529411764705969</c:v>
                </c:pt>
                <c:pt idx="240">
                  <c:v>84.823529411764795</c:v>
                </c:pt>
                <c:pt idx="241">
                  <c:v>84.705882352941259</c:v>
                </c:pt>
                <c:pt idx="242">
                  <c:v>83.529411764705955</c:v>
                </c:pt>
                <c:pt idx="243">
                  <c:v>83.294117647058911</c:v>
                </c:pt>
                <c:pt idx="244">
                  <c:v>82.705882352941259</c:v>
                </c:pt>
                <c:pt idx="245">
                  <c:v>82.117647058823607</c:v>
                </c:pt>
                <c:pt idx="246">
                  <c:v>82.117647058823607</c:v>
                </c:pt>
                <c:pt idx="247">
                  <c:v>82.000000000000071</c:v>
                </c:pt>
                <c:pt idx="248">
                  <c:v>84.941176470588317</c:v>
                </c:pt>
                <c:pt idx="249">
                  <c:v>85.176470588235375</c:v>
                </c:pt>
                <c:pt idx="250">
                  <c:v>85.176470588235375</c:v>
                </c:pt>
                <c:pt idx="251">
                  <c:v>85.411764705882433</c:v>
                </c:pt>
                <c:pt idx="252">
                  <c:v>85.058823529411853</c:v>
                </c:pt>
                <c:pt idx="253">
                  <c:v>85.294117647058911</c:v>
                </c:pt>
                <c:pt idx="254">
                  <c:v>85.764705882353027</c:v>
                </c:pt>
                <c:pt idx="255">
                  <c:v>85.882352941176549</c:v>
                </c:pt>
                <c:pt idx="256">
                  <c:v>86.000000000000085</c:v>
                </c:pt>
                <c:pt idx="257">
                  <c:v>86.000000000000085</c:v>
                </c:pt>
                <c:pt idx="258">
                  <c:v>85.764705882353027</c:v>
                </c:pt>
                <c:pt idx="259">
                  <c:v>86.235294117647143</c:v>
                </c:pt>
                <c:pt idx="260">
                  <c:v>86.588235294117737</c:v>
                </c:pt>
                <c:pt idx="261">
                  <c:v>86.352941176470679</c:v>
                </c:pt>
                <c:pt idx="262">
                  <c:v>86.352941176470679</c:v>
                </c:pt>
                <c:pt idx="263">
                  <c:v>86.705882352941273</c:v>
                </c:pt>
                <c:pt idx="264">
                  <c:v>87.882352941176563</c:v>
                </c:pt>
                <c:pt idx="265">
                  <c:v>87.411764705882447</c:v>
                </c:pt>
                <c:pt idx="266">
                  <c:v>87.411764705882447</c:v>
                </c:pt>
                <c:pt idx="267">
                  <c:v>87.647058823529505</c:v>
                </c:pt>
                <c:pt idx="268">
                  <c:v>87.411764705882447</c:v>
                </c:pt>
                <c:pt idx="269">
                  <c:v>87.058823529411868</c:v>
                </c:pt>
                <c:pt idx="270">
                  <c:v>87.176470588235389</c:v>
                </c:pt>
                <c:pt idx="271">
                  <c:v>87.647058823529505</c:v>
                </c:pt>
                <c:pt idx="272">
                  <c:v>87.764705882353027</c:v>
                </c:pt>
                <c:pt idx="273">
                  <c:v>87.529411764705984</c:v>
                </c:pt>
                <c:pt idx="274">
                  <c:v>86.000000000000085</c:v>
                </c:pt>
                <c:pt idx="275">
                  <c:v>86.117647058823621</c:v>
                </c:pt>
                <c:pt idx="276">
                  <c:v>86.588235294117737</c:v>
                </c:pt>
                <c:pt idx="277">
                  <c:v>86.588235294117737</c:v>
                </c:pt>
                <c:pt idx="278">
                  <c:v>87.176470588235389</c:v>
                </c:pt>
                <c:pt idx="279">
                  <c:v>87.647058823529505</c:v>
                </c:pt>
                <c:pt idx="280">
                  <c:v>87.764705882353027</c:v>
                </c:pt>
                <c:pt idx="281">
                  <c:v>88.117647058823621</c:v>
                </c:pt>
                <c:pt idx="282">
                  <c:v>87.647058823529505</c:v>
                </c:pt>
                <c:pt idx="283">
                  <c:v>87.529411764705984</c:v>
                </c:pt>
                <c:pt idx="284">
                  <c:v>87.529411764705984</c:v>
                </c:pt>
                <c:pt idx="285">
                  <c:v>87.529411764705984</c:v>
                </c:pt>
                <c:pt idx="286">
                  <c:v>87.764705882353041</c:v>
                </c:pt>
                <c:pt idx="287">
                  <c:v>87.764705882353041</c:v>
                </c:pt>
                <c:pt idx="288">
                  <c:v>87.411764705882447</c:v>
                </c:pt>
                <c:pt idx="289">
                  <c:v>87.294117647058911</c:v>
                </c:pt>
                <c:pt idx="290">
                  <c:v>87.058823529411853</c:v>
                </c:pt>
                <c:pt idx="291">
                  <c:v>87.294117647058911</c:v>
                </c:pt>
                <c:pt idx="292">
                  <c:v>87.529411764705984</c:v>
                </c:pt>
                <c:pt idx="293">
                  <c:v>87.529411764705984</c:v>
                </c:pt>
                <c:pt idx="294">
                  <c:v>87.647058823529505</c:v>
                </c:pt>
                <c:pt idx="295">
                  <c:v>88.588235294117737</c:v>
                </c:pt>
                <c:pt idx="296">
                  <c:v>89.058823529411853</c:v>
                </c:pt>
                <c:pt idx="297">
                  <c:v>88.823529411764781</c:v>
                </c:pt>
                <c:pt idx="298">
                  <c:v>89.882352941176549</c:v>
                </c:pt>
                <c:pt idx="299">
                  <c:v>89.176470588235375</c:v>
                </c:pt>
                <c:pt idx="300">
                  <c:v>88.941176470588317</c:v>
                </c:pt>
                <c:pt idx="301">
                  <c:v>88.941176470588317</c:v>
                </c:pt>
                <c:pt idx="302">
                  <c:v>88.352941176470665</c:v>
                </c:pt>
                <c:pt idx="303">
                  <c:v>88.235294117647143</c:v>
                </c:pt>
                <c:pt idx="304">
                  <c:v>88.470588235294201</c:v>
                </c:pt>
                <c:pt idx="305">
                  <c:v>87.529411764705984</c:v>
                </c:pt>
                <c:pt idx="306">
                  <c:v>87.411764705882447</c:v>
                </c:pt>
                <c:pt idx="307">
                  <c:v>87.882352941176578</c:v>
                </c:pt>
                <c:pt idx="308">
                  <c:v>87.64705882352952</c:v>
                </c:pt>
                <c:pt idx="309">
                  <c:v>87.64705882352952</c:v>
                </c:pt>
                <c:pt idx="310">
                  <c:v>87.64705882352952</c:v>
                </c:pt>
                <c:pt idx="311">
                  <c:v>88.470588235294215</c:v>
                </c:pt>
                <c:pt idx="312">
                  <c:v>88.352941176470694</c:v>
                </c:pt>
                <c:pt idx="313">
                  <c:v>88.705882352941288</c:v>
                </c:pt>
                <c:pt idx="314">
                  <c:v>88.705882352941288</c:v>
                </c:pt>
                <c:pt idx="315">
                  <c:v>88.823529411764824</c:v>
                </c:pt>
                <c:pt idx="316">
                  <c:v>88.705882352941302</c:v>
                </c:pt>
                <c:pt idx="317">
                  <c:v>88.94117647058836</c:v>
                </c:pt>
                <c:pt idx="318">
                  <c:v>88.705882352941302</c:v>
                </c:pt>
                <c:pt idx="319">
                  <c:v>88.705882352941302</c:v>
                </c:pt>
                <c:pt idx="320">
                  <c:v>88.94117647058836</c:v>
                </c:pt>
                <c:pt idx="321">
                  <c:v>88.94117647058836</c:v>
                </c:pt>
                <c:pt idx="322">
                  <c:v>87.294117647058954</c:v>
                </c:pt>
                <c:pt idx="323">
                  <c:v>87.41176470588249</c:v>
                </c:pt>
                <c:pt idx="324">
                  <c:v>87.529411764706026</c:v>
                </c:pt>
                <c:pt idx="325">
                  <c:v>87.764705882353084</c:v>
                </c:pt>
                <c:pt idx="326">
                  <c:v>86.588235294117794</c:v>
                </c:pt>
                <c:pt idx="327">
                  <c:v>86.470588235294258</c:v>
                </c:pt>
                <c:pt idx="328">
                  <c:v>86.941176470588374</c:v>
                </c:pt>
                <c:pt idx="329">
                  <c:v>86.823529411764852</c:v>
                </c:pt>
                <c:pt idx="330">
                  <c:v>86.941176470588374</c:v>
                </c:pt>
                <c:pt idx="331">
                  <c:v>87.05882352941191</c:v>
                </c:pt>
                <c:pt idx="332">
                  <c:v>86.705882352941316</c:v>
                </c:pt>
                <c:pt idx="333">
                  <c:v>86.58823529411778</c:v>
                </c:pt>
                <c:pt idx="334">
                  <c:v>87.176470588235432</c:v>
                </c:pt>
                <c:pt idx="335">
                  <c:v>87.529411764706012</c:v>
                </c:pt>
                <c:pt idx="336">
                  <c:v>87.411764705882476</c:v>
                </c:pt>
                <c:pt idx="337">
                  <c:v>87.529411764706012</c:v>
                </c:pt>
                <c:pt idx="338">
                  <c:v>87.529411764706012</c:v>
                </c:pt>
                <c:pt idx="339">
                  <c:v>87.882352941176592</c:v>
                </c:pt>
                <c:pt idx="340">
                  <c:v>87.29411764705894</c:v>
                </c:pt>
                <c:pt idx="341">
                  <c:v>87.529411764706012</c:v>
                </c:pt>
                <c:pt idx="342">
                  <c:v>87.647058823529534</c:v>
                </c:pt>
                <c:pt idx="343">
                  <c:v>86.823529411764824</c:v>
                </c:pt>
                <c:pt idx="344">
                  <c:v>87.058823529411896</c:v>
                </c:pt>
                <c:pt idx="345">
                  <c:v>86.235294117647186</c:v>
                </c:pt>
                <c:pt idx="346">
                  <c:v>86.47058823529423</c:v>
                </c:pt>
                <c:pt idx="347">
                  <c:v>86.588235294117766</c:v>
                </c:pt>
                <c:pt idx="348">
                  <c:v>86.82352941176481</c:v>
                </c:pt>
                <c:pt idx="349">
                  <c:v>86.588235294117766</c:v>
                </c:pt>
                <c:pt idx="350">
                  <c:v>86.705882352941288</c:v>
                </c:pt>
                <c:pt idx="351">
                  <c:v>87.176470588235404</c:v>
                </c:pt>
                <c:pt idx="352">
                  <c:v>87.411764705882462</c:v>
                </c:pt>
                <c:pt idx="353">
                  <c:v>87.058823529411882</c:v>
                </c:pt>
                <c:pt idx="354">
                  <c:v>87.058823529411882</c:v>
                </c:pt>
                <c:pt idx="355">
                  <c:v>87.411764705882462</c:v>
                </c:pt>
                <c:pt idx="356">
                  <c:v>87.411764705882462</c:v>
                </c:pt>
                <c:pt idx="357">
                  <c:v>87.411764705882462</c:v>
                </c:pt>
                <c:pt idx="358">
                  <c:v>87.882352941176592</c:v>
                </c:pt>
                <c:pt idx="359">
                  <c:v>88.823529411764824</c:v>
                </c:pt>
                <c:pt idx="360">
                  <c:v>89.058823529411896</c:v>
                </c:pt>
                <c:pt idx="361">
                  <c:v>89.411764705882462</c:v>
                </c:pt>
                <c:pt idx="362">
                  <c:v>89.529411764706012</c:v>
                </c:pt>
                <c:pt idx="363">
                  <c:v>88.94117647058836</c:v>
                </c:pt>
                <c:pt idx="364">
                  <c:v>89.058823529411896</c:v>
                </c:pt>
                <c:pt idx="365">
                  <c:v>89.058823529411896</c:v>
                </c:pt>
                <c:pt idx="366">
                  <c:v>88.823529411764824</c:v>
                </c:pt>
                <c:pt idx="367">
                  <c:v>88.705882352941302</c:v>
                </c:pt>
                <c:pt idx="368">
                  <c:v>88.352941176470708</c:v>
                </c:pt>
                <c:pt idx="369">
                  <c:v>88.47058823529423</c:v>
                </c:pt>
                <c:pt idx="370">
                  <c:v>87.882352941176578</c:v>
                </c:pt>
                <c:pt idx="371">
                  <c:v>87.882352941176578</c:v>
                </c:pt>
                <c:pt idx="372">
                  <c:v>88.000000000000114</c:v>
                </c:pt>
                <c:pt idx="373">
                  <c:v>89.058823529411868</c:v>
                </c:pt>
                <c:pt idx="374">
                  <c:v>88.941176470588331</c:v>
                </c:pt>
                <c:pt idx="375">
                  <c:v>89.529411764705984</c:v>
                </c:pt>
                <c:pt idx="376">
                  <c:v>89.411764705882447</c:v>
                </c:pt>
                <c:pt idx="377">
                  <c:v>89.176470588235404</c:v>
                </c:pt>
                <c:pt idx="378">
                  <c:v>89.058823529411882</c:v>
                </c:pt>
                <c:pt idx="379">
                  <c:v>88.941176470588346</c:v>
                </c:pt>
                <c:pt idx="380">
                  <c:v>88.941176470588346</c:v>
                </c:pt>
                <c:pt idx="381">
                  <c:v>88.705882352941288</c:v>
                </c:pt>
                <c:pt idx="382">
                  <c:v>88.823529411764824</c:v>
                </c:pt>
                <c:pt idx="383">
                  <c:v>88.705882352941302</c:v>
                </c:pt>
                <c:pt idx="384">
                  <c:v>88.705882352941302</c:v>
                </c:pt>
                <c:pt idx="385">
                  <c:v>88.235294117647186</c:v>
                </c:pt>
                <c:pt idx="386">
                  <c:v>88.352941176470722</c:v>
                </c:pt>
                <c:pt idx="387">
                  <c:v>88.2352941176472</c:v>
                </c:pt>
                <c:pt idx="388">
                  <c:v>87.764705882353084</c:v>
                </c:pt>
                <c:pt idx="389">
                  <c:v>86.2352941176472</c:v>
                </c:pt>
                <c:pt idx="390">
                  <c:v>86.2352941176472</c:v>
                </c:pt>
                <c:pt idx="391">
                  <c:v>85.882352941176606</c:v>
                </c:pt>
                <c:pt idx="392">
                  <c:v>86.235294117647186</c:v>
                </c:pt>
                <c:pt idx="393">
                  <c:v>85.882352941176592</c:v>
                </c:pt>
                <c:pt idx="394">
                  <c:v>85.529411764705998</c:v>
                </c:pt>
                <c:pt idx="395">
                  <c:v>85.529411764705998</c:v>
                </c:pt>
                <c:pt idx="396">
                  <c:v>85.29411764705894</c:v>
                </c:pt>
                <c:pt idx="397">
                  <c:v>85.764705882353056</c:v>
                </c:pt>
                <c:pt idx="398">
                  <c:v>84.588235294117766</c:v>
                </c:pt>
                <c:pt idx="399">
                  <c:v>84.941176470588346</c:v>
                </c:pt>
                <c:pt idx="400">
                  <c:v>83.764705882353056</c:v>
                </c:pt>
                <c:pt idx="401">
                  <c:v>83.882352941176578</c:v>
                </c:pt>
                <c:pt idx="402">
                  <c:v>84.705882352941288</c:v>
                </c:pt>
                <c:pt idx="403">
                  <c:v>85.29411764705894</c:v>
                </c:pt>
                <c:pt idx="404">
                  <c:v>85.29411764705894</c:v>
                </c:pt>
                <c:pt idx="405">
                  <c:v>84.823529411764824</c:v>
                </c:pt>
                <c:pt idx="406">
                  <c:v>84.352941176470708</c:v>
                </c:pt>
                <c:pt idx="407">
                  <c:v>83.882352941176592</c:v>
                </c:pt>
                <c:pt idx="408">
                  <c:v>84.000000000000128</c:v>
                </c:pt>
                <c:pt idx="409">
                  <c:v>84.352941176470722</c:v>
                </c:pt>
                <c:pt idx="410">
                  <c:v>84.000000000000128</c:v>
                </c:pt>
                <c:pt idx="411">
                  <c:v>83.76470588235307</c:v>
                </c:pt>
                <c:pt idx="412">
                  <c:v>84.470588235294244</c:v>
                </c:pt>
                <c:pt idx="413">
                  <c:v>84.94117647058836</c:v>
                </c:pt>
                <c:pt idx="414">
                  <c:v>84.94117647058836</c:v>
                </c:pt>
                <c:pt idx="415">
                  <c:v>85.647058823529548</c:v>
                </c:pt>
                <c:pt idx="416">
                  <c:v>85.647058823529548</c:v>
                </c:pt>
                <c:pt idx="417">
                  <c:v>85.647058823529548</c:v>
                </c:pt>
                <c:pt idx="418">
                  <c:v>86.117647058823664</c:v>
                </c:pt>
                <c:pt idx="419">
                  <c:v>87.176470588235432</c:v>
                </c:pt>
                <c:pt idx="420">
                  <c:v>87.41176470588249</c:v>
                </c:pt>
                <c:pt idx="421">
                  <c:v>87.294117647058954</c:v>
                </c:pt>
                <c:pt idx="422">
                  <c:v>86.94117647058836</c:v>
                </c:pt>
                <c:pt idx="423">
                  <c:v>87.294117647058954</c:v>
                </c:pt>
                <c:pt idx="424">
                  <c:v>87.882352941176592</c:v>
                </c:pt>
                <c:pt idx="425">
                  <c:v>87.529411764706012</c:v>
                </c:pt>
                <c:pt idx="426">
                  <c:v>88.000000000000128</c:v>
                </c:pt>
                <c:pt idx="427">
                  <c:v>87.058823529411882</c:v>
                </c:pt>
                <c:pt idx="428">
                  <c:v>87.058823529411882</c:v>
                </c:pt>
                <c:pt idx="429">
                  <c:v>87.058823529411882</c:v>
                </c:pt>
                <c:pt idx="430">
                  <c:v>86.352941176470708</c:v>
                </c:pt>
                <c:pt idx="431">
                  <c:v>86.11764705882365</c:v>
                </c:pt>
                <c:pt idx="432">
                  <c:v>85.647058823529534</c:v>
                </c:pt>
                <c:pt idx="433">
                  <c:v>86.11764705882365</c:v>
                </c:pt>
                <c:pt idx="434">
                  <c:v>86.47058823529423</c:v>
                </c:pt>
                <c:pt idx="435">
                  <c:v>86.352941176470708</c:v>
                </c:pt>
                <c:pt idx="436">
                  <c:v>86.235294117647186</c:v>
                </c:pt>
                <c:pt idx="437">
                  <c:v>86.47058823529423</c:v>
                </c:pt>
                <c:pt idx="438">
                  <c:v>86.588235294117766</c:v>
                </c:pt>
                <c:pt idx="439">
                  <c:v>87.29411764705894</c:v>
                </c:pt>
                <c:pt idx="440">
                  <c:v>87.29411764705894</c:v>
                </c:pt>
                <c:pt idx="441">
                  <c:v>87.058823529411882</c:v>
                </c:pt>
                <c:pt idx="442">
                  <c:v>87.29411764705894</c:v>
                </c:pt>
                <c:pt idx="443">
                  <c:v>87.647058823529534</c:v>
                </c:pt>
                <c:pt idx="444">
                  <c:v>87.647058823529534</c:v>
                </c:pt>
                <c:pt idx="445">
                  <c:v>88.000000000000114</c:v>
                </c:pt>
                <c:pt idx="446">
                  <c:v>88.000000000000114</c:v>
                </c:pt>
                <c:pt idx="447">
                  <c:v>87.64705882352952</c:v>
                </c:pt>
                <c:pt idx="448">
                  <c:v>87.529411764705998</c:v>
                </c:pt>
                <c:pt idx="449">
                  <c:v>87.529411764705998</c:v>
                </c:pt>
                <c:pt idx="450">
                  <c:v>88.000000000000114</c:v>
                </c:pt>
                <c:pt idx="451">
                  <c:v>87.529411764705998</c:v>
                </c:pt>
                <c:pt idx="452">
                  <c:v>87.764705882353056</c:v>
                </c:pt>
                <c:pt idx="453">
                  <c:v>87.529411764706012</c:v>
                </c:pt>
                <c:pt idx="454">
                  <c:v>87.647058823529534</c:v>
                </c:pt>
                <c:pt idx="455">
                  <c:v>87.647058823529534</c:v>
                </c:pt>
                <c:pt idx="456">
                  <c:v>88.58823529411778</c:v>
                </c:pt>
                <c:pt idx="457">
                  <c:v>88.000000000000128</c:v>
                </c:pt>
                <c:pt idx="458">
                  <c:v>88.235294117647186</c:v>
                </c:pt>
                <c:pt idx="459">
                  <c:v>87.882352941176592</c:v>
                </c:pt>
                <c:pt idx="460">
                  <c:v>87.882352941176592</c:v>
                </c:pt>
                <c:pt idx="461">
                  <c:v>87.764705882353056</c:v>
                </c:pt>
                <c:pt idx="462">
                  <c:v>87.29411764705894</c:v>
                </c:pt>
                <c:pt idx="463">
                  <c:v>87.647058823529534</c:v>
                </c:pt>
                <c:pt idx="464">
                  <c:v>88.000000000000114</c:v>
                </c:pt>
                <c:pt idx="465">
                  <c:v>88.000000000000114</c:v>
                </c:pt>
                <c:pt idx="466">
                  <c:v>88.117647058823636</c:v>
                </c:pt>
                <c:pt idx="467">
                  <c:v>87.764705882353041</c:v>
                </c:pt>
                <c:pt idx="468">
                  <c:v>87.882352941176563</c:v>
                </c:pt>
                <c:pt idx="469">
                  <c:v>88.117647058823621</c:v>
                </c:pt>
                <c:pt idx="470">
                  <c:v>87.882352941176563</c:v>
                </c:pt>
                <c:pt idx="471">
                  <c:v>87.647058823529505</c:v>
                </c:pt>
                <c:pt idx="472">
                  <c:v>87.764705882353027</c:v>
                </c:pt>
                <c:pt idx="473">
                  <c:v>87.647058823529491</c:v>
                </c:pt>
                <c:pt idx="474">
                  <c:v>87.764705882353013</c:v>
                </c:pt>
                <c:pt idx="475">
                  <c:v>87.411764705882419</c:v>
                </c:pt>
                <c:pt idx="476">
                  <c:v>87.764705882352999</c:v>
                </c:pt>
                <c:pt idx="477">
                  <c:v>87.882352941176521</c:v>
                </c:pt>
                <c:pt idx="478">
                  <c:v>88.117647058823579</c:v>
                </c:pt>
                <c:pt idx="479">
                  <c:v>88.235294117647115</c:v>
                </c:pt>
                <c:pt idx="480">
                  <c:v>88.117647058823593</c:v>
                </c:pt>
                <c:pt idx="481">
                  <c:v>88.470588235294173</c:v>
                </c:pt>
                <c:pt idx="482">
                  <c:v>88.588235294117695</c:v>
                </c:pt>
                <c:pt idx="483">
                  <c:v>88.941176470588289</c:v>
                </c:pt>
                <c:pt idx="484">
                  <c:v>90.117647058823593</c:v>
                </c:pt>
                <c:pt idx="485">
                  <c:v>89.529411764705941</c:v>
                </c:pt>
                <c:pt idx="486">
                  <c:v>89.647058823529463</c:v>
                </c:pt>
                <c:pt idx="487">
                  <c:v>89.764705882352985</c:v>
                </c:pt>
                <c:pt idx="488">
                  <c:v>90.000000000000043</c:v>
                </c:pt>
                <c:pt idx="489">
                  <c:v>90.470588235294159</c:v>
                </c:pt>
                <c:pt idx="490">
                  <c:v>90.352941176470623</c:v>
                </c:pt>
                <c:pt idx="491">
                  <c:v>90.823529411764738</c:v>
                </c:pt>
                <c:pt idx="492">
                  <c:v>91.411764705882391</c:v>
                </c:pt>
                <c:pt idx="493">
                  <c:v>91.294117647058869</c:v>
                </c:pt>
                <c:pt idx="494">
                  <c:v>91.058823529411811</c:v>
                </c:pt>
                <c:pt idx="495">
                  <c:v>91.411764705882405</c:v>
                </c:pt>
                <c:pt idx="496">
                  <c:v>91.176470588235347</c:v>
                </c:pt>
                <c:pt idx="497">
                  <c:v>92.235294117647101</c:v>
                </c:pt>
                <c:pt idx="498">
                  <c:v>91.882352941176507</c:v>
                </c:pt>
                <c:pt idx="499">
                  <c:v>92.470588235294159</c:v>
                </c:pt>
                <c:pt idx="500">
                  <c:v>91.882352941176492</c:v>
                </c:pt>
                <c:pt idx="501">
                  <c:v>91.647058823529434</c:v>
                </c:pt>
                <c:pt idx="502">
                  <c:v>91.647058823529434</c:v>
                </c:pt>
                <c:pt idx="503">
                  <c:v>91.882352941176492</c:v>
                </c:pt>
                <c:pt idx="504">
                  <c:v>91.529411764705912</c:v>
                </c:pt>
                <c:pt idx="505">
                  <c:v>91.176470588235333</c:v>
                </c:pt>
                <c:pt idx="506">
                  <c:v>90.941176470588275</c:v>
                </c:pt>
                <c:pt idx="507">
                  <c:v>90.941176470588275</c:v>
                </c:pt>
                <c:pt idx="508">
                  <c:v>91.176470588235333</c:v>
                </c:pt>
                <c:pt idx="509">
                  <c:v>90.000000000000043</c:v>
                </c:pt>
                <c:pt idx="510">
                  <c:v>89.529411764705927</c:v>
                </c:pt>
                <c:pt idx="511">
                  <c:v>88.941176470588275</c:v>
                </c:pt>
                <c:pt idx="512">
                  <c:v>88.941176470588275</c:v>
                </c:pt>
                <c:pt idx="513">
                  <c:v>88.117647058823579</c:v>
                </c:pt>
                <c:pt idx="514">
                  <c:v>89.058823529411811</c:v>
                </c:pt>
                <c:pt idx="515">
                  <c:v>89.882352941176521</c:v>
                </c:pt>
                <c:pt idx="516">
                  <c:v>89.176470588235347</c:v>
                </c:pt>
                <c:pt idx="517">
                  <c:v>88.235294117647101</c:v>
                </c:pt>
                <c:pt idx="518">
                  <c:v>88.117647058823579</c:v>
                </c:pt>
                <c:pt idx="519">
                  <c:v>88.235294117647115</c:v>
                </c:pt>
                <c:pt idx="520">
                  <c:v>89.294117647058883</c:v>
                </c:pt>
                <c:pt idx="521">
                  <c:v>88.470588235294173</c:v>
                </c:pt>
                <c:pt idx="522">
                  <c:v>88.705882352941231</c:v>
                </c:pt>
                <c:pt idx="523">
                  <c:v>89.058823529411825</c:v>
                </c:pt>
                <c:pt idx="524">
                  <c:v>88.352941176470637</c:v>
                </c:pt>
                <c:pt idx="525">
                  <c:v>88.588235294117695</c:v>
                </c:pt>
                <c:pt idx="526">
                  <c:v>88.235294117647101</c:v>
                </c:pt>
                <c:pt idx="527">
                  <c:v>87.411764705882391</c:v>
                </c:pt>
                <c:pt idx="528">
                  <c:v>87.411764705882391</c:v>
                </c:pt>
                <c:pt idx="529">
                  <c:v>86.000000000000028</c:v>
                </c:pt>
                <c:pt idx="530">
                  <c:v>85.647058823529449</c:v>
                </c:pt>
                <c:pt idx="531">
                  <c:v>85.647058823529449</c:v>
                </c:pt>
                <c:pt idx="532">
                  <c:v>83.411764705882391</c:v>
                </c:pt>
                <c:pt idx="533">
                  <c:v>84.58823529411768</c:v>
                </c:pt>
                <c:pt idx="534">
                  <c:v>84.823529411764738</c:v>
                </c:pt>
                <c:pt idx="535">
                  <c:v>85.76470588235297</c:v>
                </c:pt>
                <c:pt idx="536">
                  <c:v>85.058823529411796</c:v>
                </c:pt>
                <c:pt idx="537">
                  <c:v>82.823529411764738</c:v>
                </c:pt>
                <c:pt idx="538">
                  <c:v>76.58823529411768</c:v>
                </c:pt>
                <c:pt idx="539">
                  <c:v>78.823529411764753</c:v>
                </c:pt>
                <c:pt idx="540">
                  <c:v>79.411764705882391</c:v>
                </c:pt>
                <c:pt idx="541">
                  <c:v>76.470588235294144</c:v>
                </c:pt>
                <c:pt idx="542">
                  <c:v>78.941176470588275</c:v>
                </c:pt>
                <c:pt idx="543">
                  <c:v>77.058823529411811</c:v>
                </c:pt>
                <c:pt idx="544">
                  <c:v>77.176470588235347</c:v>
                </c:pt>
                <c:pt idx="545">
                  <c:v>74.117647058823593</c:v>
                </c:pt>
                <c:pt idx="546">
                  <c:v>72.352941176470651</c:v>
                </c:pt>
                <c:pt idx="547">
                  <c:v>74.588235294117709</c:v>
                </c:pt>
                <c:pt idx="548">
                  <c:v>72.117647058823593</c:v>
                </c:pt>
                <c:pt idx="549">
                  <c:v>74.000000000000071</c:v>
                </c:pt>
                <c:pt idx="550">
                  <c:v>75.294117647058911</c:v>
                </c:pt>
                <c:pt idx="551">
                  <c:v>74.705882352941259</c:v>
                </c:pt>
                <c:pt idx="552">
                  <c:v>75.294117647058926</c:v>
                </c:pt>
                <c:pt idx="553">
                  <c:v>74.117647058823621</c:v>
                </c:pt>
                <c:pt idx="554">
                  <c:v>76.000000000000099</c:v>
                </c:pt>
                <c:pt idx="555">
                  <c:v>75.294117647058926</c:v>
                </c:pt>
                <c:pt idx="556">
                  <c:v>75.647058823529505</c:v>
                </c:pt>
                <c:pt idx="557">
                  <c:v>77.176470588235375</c:v>
                </c:pt>
                <c:pt idx="558">
                  <c:v>77.411764705882447</c:v>
                </c:pt>
                <c:pt idx="559">
                  <c:v>77.882352941176563</c:v>
                </c:pt>
                <c:pt idx="560">
                  <c:v>77.176470588235389</c:v>
                </c:pt>
                <c:pt idx="561">
                  <c:v>78.352941176470694</c:v>
                </c:pt>
                <c:pt idx="562">
                  <c:v>78.470588235294215</c:v>
                </c:pt>
                <c:pt idx="563">
                  <c:v>77.647058823529505</c:v>
                </c:pt>
                <c:pt idx="564">
                  <c:v>77.764705882353056</c:v>
                </c:pt>
                <c:pt idx="565">
                  <c:v>77.29411764705894</c:v>
                </c:pt>
                <c:pt idx="566">
                  <c:v>76.941176470588346</c:v>
                </c:pt>
                <c:pt idx="567">
                  <c:v>76.705882352941288</c:v>
                </c:pt>
                <c:pt idx="568">
                  <c:v>76.352941176470708</c:v>
                </c:pt>
                <c:pt idx="569">
                  <c:v>73.882352941176592</c:v>
                </c:pt>
                <c:pt idx="570">
                  <c:v>73.64705882352952</c:v>
                </c:pt>
                <c:pt idx="571">
                  <c:v>75.058823529411882</c:v>
                </c:pt>
                <c:pt idx="572">
                  <c:v>75.882352941176592</c:v>
                </c:pt>
                <c:pt idx="573">
                  <c:v>76.352941176470708</c:v>
                </c:pt>
                <c:pt idx="574">
                  <c:v>76.588235294117752</c:v>
                </c:pt>
                <c:pt idx="575">
                  <c:v>77.176470588235389</c:v>
                </c:pt>
                <c:pt idx="576">
                  <c:v>74.82352941176481</c:v>
                </c:pt>
                <c:pt idx="577">
                  <c:v>76.352941176470694</c:v>
                </c:pt>
                <c:pt idx="578">
                  <c:v>76.235294117647172</c:v>
                </c:pt>
                <c:pt idx="579">
                  <c:v>77.058823529411868</c:v>
                </c:pt>
                <c:pt idx="580">
                  <c:v>77.411764705882462</c:v>
                </c:pt>
                <c:pt idx="581">
                  <c:v>77.529411764705998</c:v>
                </c:pt>
                <c:pt idx="582">
                  <c:v>78.000000000000114</c:v>
                </c:pt>
                <c:pt idx="583">
                  <c:v>78.235294117647172</c:v>
                </c:pt>
                <c:pt idx="584">
                  <c:v>78.000000000000099</c:v>
                </c:pt>
                <c:pt idx="585">
                  <c:v>78.235294117647157</c:v>
                </c:pt>
                <c:pt idx="586">
                  <c:v>78.470588235294215</c:v>
                </c:pt>
                <c:pt idx="587">
                  <c:v>78.823529411764795</c:v>
                </c:pt>
                <c:pt idx="588">
                  <c:v>79.176470588235389</c:v>
                </c:pt>
                <c:pt idx="589">
                  <c:v>79.882352941176563</c:v>
                </c:pt>
                <c:pt idx="590">
                  <c:v>78.941176470588331</c:v>
                </c:pt>
                <c:pt idx="591">
                  <c:v>78.941176470588331</c:v>
                </c:pt>
                <c:pt idx="592">
                  <c:v>79.529411764705984</c:v>
                </c:pt>
                <c:pt idx="593">
                  <c:v>80.117647058823621</c:v>
                </c:pt>
                <c:pt idx="594">
                  <c:v>80.352941176470679</c:v>
                </c:pt>
                <c:pt idx="595">
                  <c:v>81.411764705882433</c:v>
                </c:pt>
                <c:pt idx="596">
                  <c:v>82.588235294117723</c:v>
                </c:pt>
                <c:pt idx="597">
                  <c:v>82.941176470588317</c:v>
                </c:pt>
                <c:pt idx="598">
                  <c:v>82.000000000000085</c:v>
                </c:pt>
                <c:pt idx="599">
                  <c:v>82.470588235294215</c:v>
                </c:pt>
                <c:pt idx="600">
                  <c:v>83.058823529411868</c:v>
                </c:pt>
                <c:pt idx="601">
                  <c:v>82.235294117647172</c:v>
                </c:pt>
                <c:pt idx="602">
                  <c:v>82.235294117647172</c:v>
                </c:pt>
                <c:pt idx="603">
                  <c:v>82.235294117647172</c:v>
                </c:pt>
                <c:pt idx="604">
                  <c:v>81.529411764705984</c:v>
                </c:pt>
                <c:pt idx="605">
                  <c:v>80.470588235294215</c:v>
                </c:pt>
                <c:pt idx="606">
                  <c:v>81.176470588235389</c:v>
                </c:pt>
                <c:pt idx="607">
                  <c:v>80.941176470588331</c:v>
                </c:pt>
                <c:pt idx="608">
                  <c:v>81.529411764705969</c:v>
                </c:pt>
                <c:pt idx="609">
                  <c:v>81.294117647058911</c:v>
                </c:pt>
                <c:pt idx="610">
                  <c:v>81.176470588235389</c:v>
                </c:pt>
                <c:pt idx="611">
                  <c:v>82.000000000000085</c:v>
                </c:pt>
                <c:pt idx="612">
                  <c:v>81.764705882353027</c:v>
                </c:pt>
                <c:pt idx="613">
                  <c:v>81.647058823529491</c:v>
                </c:pt>
                <c:pt idx="614">
                  <c:v>81.764705882353013</c:v>
                </c:pt>
                <c:pt idx="615">
                  <c:v>81.058823529411825</c:v>
                </c:pt>
                <c:pt idx="616">
                  <c:v>80.117647058823579</c:v>
                </c:pt>
                <c:pt idx="617">
                  <c:v>79.882352941176521</c:v>
                </c:pt>
                <c:pt idx="618">
                  <c:v>80.941176470588289</c:v>
                </c:pt>
                <c:pt idx="619">
                  <c:v>80.117647058823579</c:v>
                </c:pt>
                <c:pt idx="620">
                  <c:v>79.294117647058883</c:v>
                </c:pt>
                <c:pt idx="621">
                  <c:v>79.058823529411811</c:v>
                </c:pt>
                <c:pt idx="622">
                  <c:v>80.235294117647115</c:v>
                </c:pt>
                <c:pt idx="623">
                  <c:v>80.823529411764767</c:v>
                </c:pt>
                <c:pt idx="624">
                  <c:v>80.470588235294173</c:v>
                </c:pt>
                <c:pt idx="625">
                  <c:v>80.705882352941245</c:v>
                </c:pt>
                <c:pt idx="626">
                  <c:v>80.235294117647129</c:v>
                </c:pt>
                <c:pt idx="627">
                  <c:v>80.352941176470665</c:v>
                </c:pt>
                <c:pt idx="628">
                  <c:v>79.882352941176549</c:v>
                </c:pt>
                <c:pt idx="629">
                  <c:v>79.058823529411839</c:v>
                </c:pt>
                <c:pt idx="630">
                  <c:v>79.176470588235375</c:v>
                </c:pt>
                <c:pt idx="631">
                  <c:v>80.352941176470665</c:v>
                </c:pt>
                <c:pt idx="632">
                  <c:v>80.352941176470665</c:v>
                </c:pt>
                <c:pt idx="633">
                  <c:v>80.235294117647143</c:v>
                </c:pt>
                <c:pt idx="634">
                  <c:v>80.000000000000071</c:v>
                </c:pt>
                <c:pt idx="635">
                  <c:v>79.764705882353013</c:v>
                </c:pt>
                <c:pt idx="636">
                  <c:v>78.941176470588303</c:v>
                </c:pt>
                <c:pt idx="637">
                  <c:v>78.705882352941245</c:v>
                </c:pt>
                <c:pt idx="638">
                  <c:v>77.647058823529463</c:v>
                </c:pt>
                <c:pt idx="639">
                  <c:v>77.294117647058883</c:v>
                </c:pt>
                <c:pt idx="640">
                  <c:v>77.294117647058883</c:v>
                </c:pt>
                <c:pt idx="641">
                  <c:v>77.529411764705927</c:v>
                </c:pt>
                <c:pt idx="642">
                  <c:v>78.352941176470637</c:v>
                </c:pt>
                <c:pt idx="643">
                  <c:v>77.882352941176521</c:v>
                </c:pt>
                <c:pt idx="644">
                  <c:v>77.411764705882405</c:v>
                </c:pt>
                <c:pt idx="645">
                  <c:v>77.529411764705941</c:v>
                </c:pt>
                <c:pt idx="646">
                  <c:v>78.352941176470651</c:v>
                </c:pt>
                <c:pt idx="647">
                  <c:v>78.117647058823593</c:v>
                </c:pt>
                <c:pt idx="648">
                  <c:v>77.647058823529477</c:v>
                </c:pt>
                <c:pt idx="649">
                  <c:v>77.764705882353013</c:v>
                </c:pt>
                <c:pt idx="650">
                  <c:v>77.647058823529477</c:v>
                </c:pt>
                <c:pt idx="651">
                  <c:v>77.882352941176549</c:v>
                </c:pt>
                <c:pt idx="652">
                  <c:v>77.647058823529477</c:v>
                </c:pt>
                <c:pt idx="653">
                  <c:v>77.176470588235361</c:v>
                </c:pt>
                <c:pt idx="654">
                  <c:v>76.823529411764781</c:v>
                </c:pt>
                <c:pt idx="655">
                  <c:v>76.941176470588303</c:v>
                </c:pt>
                <c:pt idx="656">
                  <c:v>76.470588235294187</c:v>
                </c:pt>
                <c:pt idx="657">
                  <c:v>75.647058823529477</c:v>
                </c:pt>
                <c:pt idx="658">
                  <c:v>76.352941176470665</c:v>
                </c:pt>
                <c:pt idx="659">
                  <c:v>76.941176470588303</c:v>
                </c:pt>
                <c:pt idx="660">
                  <c:v>77.764705882353013</c:v>
                </c:pt>
                <c:pt idx="661">
                  <c:v>77.647058823529477</c:v>
                </c:pt>
                <c:pt idx="662">
                  <c:v>77.529411764705955</c:v>
                </c:pt>
                <c:pt idx="663">
                  <c:v>76.117647058823607</c:v>
                </c:pt>
                <c:pt idx="664">
                  <c:v>76.588235294117737</c:v>
                </c:pt>
                <c:pt idx="665">
                  <c:v>75.529411764705969</c:v>
                </c:pt>
                <c:pt idx="666">
                  <c:v>75.176470588235375</c:v>
                </c:pt>
                <c:pt idx="667">
                  <c:v>75.764705882353027</c:v>
                </c:pt>
                <c:pt idx="668">
                  <c:v>76.235294117647143</c:v>
                </c:pt>
                <c:pt idx="669">
                  <c:v>76.588235294117723</c:v>
                </c:pt>
                <c:pt idx="670">
                  <c:v>76.000000000000085</c:v>
                </c:pt>
                <c:pt idx="671">
                  <c:v>76.000000000000085</c:v>
                </c:pt>
                <c:pt idx="672">
                  <c:v>76.352941176470679</c:v>
                </c:pt>
                <c:pt idx="673">
                  <c:v>76.000000000000085</c:v>
                </c:pt>
                <c:pt idx="674">
                  <c:v>76.000000000000085</c:v>
                </c:pt>
                <c:pt idx="675">
                  <c:v>75.176470588235375</c:v>
                </c:pt>
                <c:pt idx="676">
                  <c:v>74.823529411764795</c:v>
                </c:pt>
                <c:pt idx="677">
                  <c:v>73.882352941176563</c:v>
                </c:pt>
                <c:pt idx="678">
                  <c:v>73.882352941176563</c:v>
                </c:pt>
                <c:pt idx="679">
                  <c:v>72.470588235294215</c:v>
                </c:pt>
                <c:pt idx="680">
                  <c:v>72.235294117647157</c:v>
                </c:pt>
                <c:pt idx="681">
                  <c:v>73.411764705882447</c:v>
                </c:pt>
                <c:pt idx="682">
                  <c:v>74.352941176470679</c:v>
                </c:pt>
                <c:pt idx="683">
                  <c:v>73.176470588235375</c:v>
                </c:pt>
                <c:pt idx="684">
                  <c:v>73.411764705882433</c:v>
                </c:pt>
                <c:pt idx="685">
                  <c:v>73.529411764705969</c:v>
                </c:pt>
                <c:pt idx="686">
                  <c:v>73.647058823529505</c:v>
                </c:pt>
                <c:pt idx="687">
                  <c:v>74.117647058823636</c:v>
                </c:pt>
                <c:pt idx="688">
                  <c:v>74.823529411764824</c:v>
                </c:pt>
                <c:pt idx="689">
                  <c:v>74.705882352941288</c:v>
                </c:pt>
                <c:pt idx="690">
                  <c:v>74.94117647058836</c:v>
                </c:pt>
                <c:pt idx="691">
                  <c:v>74.823529411764824</c:v>
                </c:pt>
                <c:pt idx="692">
                  <c:v>74.117647058823636</c:v>
                </c:pt>
                <c:pt idx="693">
                  <c:v>74.000000000000099</c:v>
                </c:pt>
                <c:pt idx="694">
                  <c:v>74.588235294117737</c:v>
                </c:pt>
                <c:pt idx="695">
                  <c:v>74.470588235294215</c:v>
                </c:pt>
                <c:pt idx="696">
                  <c:v>75.411764705882447</c:v>
                </c:pt>
                <c:pt idx="697">
                  <c:v>75.529411764705969</c:v>
                </c:pt>
                <c:pt idx="698">
                  <c:v>76.117647058823607</c:v>
                </c:pt>
                <c:pt idx="699">
                  <c:v>75.882352941176549</c:v>
                </c:pt>
                <c:pt idx="700">
                  <c:v>75.764705882353027</c:v>
                </c:pt>
                <c:pt idx="701">
                  <c:v>74.235294117647129</c:v>
                </c:pt>
                <c:pt idx="702">
                  <c:v>73.058823529411839</c:v>
                </c:pt>
                <c:pt idx="703">
                  <c:v>73.411764705882433</c:v>
                </c:pt>
                <c:pt idx="704">
                  <c:v>72.352941176470665</c:v>
                </c:pt>
                <c:pt idx="705">
                  <c:v>72.941176470588303</c:v>
                </c:pt>
                <c:pt idx="706">
                  <c:v>73.294117647058897</c:v>
                </c:pt>
                <c:pt idx="707">
                  <c:v>74.705882352941245</c:v>
                </c:pt>
                <c:pt idx="708">
                  <c:v>74.823529411764781</c:v>
                </c:pt>
                <c:pt idx="709">
                  <c:v>75.294117647058897</c:v>
                </c:pt>
                <c:pt idx="710">
                  <c:v>76.235294117647129</c:v>
                </c:pt>
                <c:pt idx="711">
                  <c:v>76.470588235294187</c:v>
                </c:pt>
                <c:pt idx="712">
                  <c:v>75.882352941176535</c:v>
                </c:pt>
                <c:pt idx="713">
                  <c:v>75.529411764705941</c:v>
                </c:pt>
                <c:pt idx="714">
                  <c:v>76.117647058823579</c:v>
                </c:pt>
                <c:pt idx="715">
                  <c:v>76.352941176470651</c:v>
                </c:pt>
                <c:pt idx="716">
                  <c:v>77.529411764705941</c:v>
                </c:pt>
                <c:pt idx="717">
                  <c:v>77.058823529411825</c:v>
                </c:pt>
                <c:pt idx="718">
                  <c:v>77.647058823529463</c:v>
                </c:pt>
                <c:pt idx="719">
                  <c:v>78.352941176470651</c:v>
                </c:pt>
                <c:pt idx="720">
                  <c:v>79.411764705882419</c:v>
                </c:pt>
                <c:pt idx="721">
                  <c:v>79.764705882353013</c:v>
                </c:pt>
                <c:pt idx="722">
                  <c:v>79.058823529411825</c:v>
                </c:pt>
                <c:pt idx="723">
                  <c:v>78.823529411764767</c:v>
                </c:pt>
                <c:pt idx="724">
                  <c:v>78.235294117647115</c:v>
                </c:pt>
                <c:pt idx="725">
                  <c:v>78.352941176470637</c:v>
                </c:pt>
                <c:pt idx="726">
                  <c:v>79.176470588235347</c:v>
                </c:pt>
                <c:pt idx="727">
                  <c:v>79.882352941176521</c:v>
                </c:pt>
                <c:pt idx="728">
                  <c:v>80.941176470588289</c:v>
                </c:pt>
                <c:pt idx="729">
                  <c:v>81.058823529411811</c:v>
                </c:pt>
                <c:pt idx="730">
                  <c:v>82.705882352941245</c:v>
                </c:pt>
                <c:pt idx="731">
                  <c:v>82.705882352941245</c:v>
                </c:pt>
                <c:pt idx="732">
                  <c:v>83.058823529411825</c:v>
                </c:pt>
                <c:pt idx="733">
                  <c:v>83.647058823529491</c:v>
                </c:pt>
                <c:pt idx="734">
                  <c:v>84.235294117647143</c:v>
                </c:pt>
                <c:pt idx="735">
                  <c:v>84.117647058823607</c:v>
                </c:pt>
                <c:pt idx="736">
                  <c:v>84.235294117647129</c:v>
                </c:pt>
                <c:pt idx="737">
                  <c:v>84.588235294117723</c:v>
                </c:pt>
                <c:pt idx="738">
                  <c:v>83.529411764705941</c:v>
                </c:pt>
                <c:pt idx="739">
                  <c:v>81.764705882352999</c:v>
                </c:pt>
                <c:pt idx="740">
                  <c:v>81.294117647058883</c:v>
                </c:pt>
                <c:pt idx="741">
                  <c:v>81.529411764705927</c:v>
                </c:pt>
                <c:pt idx="742">
                  <c:v>82.235294117647115</c:v>
                </c:pt>
                <c:pt idx="743">
                  <c:v>83.411764705882405</c:v>
                </c:pt>
                <c:pt idx="744">
                  <c:v>83.529411764705941</c:v>
                </c:pt>
                <c:pt idx="745">
                  <c:v>83.529411764705941</c:v>
                </c:pt>
                <c:pt idx="746">
                  <c:v>82.588235294117709</c:v>
                </c:pt>
                <c:pt idx="747">
                  <c:v>82.588235294117709</c:v>
                </c:pt>
                <c:pt idx="748">
                  <c:v>82.705882352941245</c:v>
                </c:pt>
                <c:pt idx="749">
                  <c:v>83.411764705882419</c:v>
                </c:pt>
                <c:pt idx="750">
                  <c:v>84.000000000000071</c:v>
                </c:pt>
                <c:pt idx="751">
                  <c:v>84.235294117647129</c:v>
                </c:pt>
                <c:pt idx="752">
                  <c:v>83.882352941176535</c:v>
                </c:pt>
                <c:pt idx="753">
                  <c:v>82.705882352941245</c:v>
                </c:pt>
                <c:pt idx="754">
                  <c:v>82.823529411764767</c:v>
                </c:pt>
                <c:pt idx="755">
                  <c:v>83.294117647058883</c:v>
                </c:pt>
                <c:pt idx="756">
                  <c:v>82.941176470588289</c:v>
                </c:pt>
                <c:pt idx="757">
                  <c:v>81.764705882352999</c:v>
                </c:pt>
                <c:pt idx="758">
                  <c:v>80.941176470588289</c:v>
                </c:pt>
                <c:pt idx="759">
                  <c:v>80.705882352941245</c:v>
                </c:pt>
                <c:pt idx="760">
                  <c:v>81.058823529411825</c:v>
                </c:pt>
                <c:pt idx="761">
                  <c:v>80.000000000000057</c:v>
                </c:pt>
                <c:pt idx="762">
                  <c:v>80.823529411764767</c:v>
                </c:pt>
                <c:pt idx="763">
                  <c:v>80.470588235294173</c:v>
                </c:pt>
                <c:pt idx="764">
                  <c:v>80.470588235294173</c:v>
                </c:pt>
                <c:pt idx="765">
                  <c:v>81.176470588235347</c:v>
                </c:pt>
                <c:pt idx="766">
                  <c:v>81.764705882352999</c:v>
                </c:pt>
                <c:pt idx="767">
                  <c:v>82.470588235294159</c:v>
                </c:pt>
                <c:pt idx="768">
                  <c:v>83.058823529411811</c:v>
                </c:pt>
                <c:pt idx="769">
                  <c:v>83.411764705882405</c:v>
                </c:pt>
                <c:pt idx="770">
                  <c:v>83.647058823529463</c:v>
                </c:pt>
                <c:pt idx="771">
                  <c:v>83.058823529411811</c:v>
                </c:pt>
                <c:pt idx="772">
                  <c:v>84.235294117647115</c:v>
                </c:pt>
                <c:pt idx="773">
                  <c:v>84.235294117647115</c:v>
                </c:pt>
                <c:pt idx="774">
                  <c:v>83.647058823529477</c:v>
                </c:pt>
                <c:pt idx="775">
                  <c:v>83.764705882353013</c:v>
                </c:pt>
                <c:pt idx="776">
                  <c:v>83.529411764705955</c:v>
                </c:pt>
                <c:pt idx="777">
                  <c:v>82.705882352941259</c:v>
                </c:pt>
                <c:pt idx="778">
                  <c:v>83.294117647058911</c:v>
                </c:pt>
                <c:pt idx="779">
                  <c:v>84.235294117647157</c:v>
                </c:pt>
                <c:pt idx="780">
                  <c:v>84.235294117647157</c:v>
                </c:pt>
                <c:pt idx="781">
                  <c:v>83.294117647058926</c:v>
                </c:pt>
                <c:pt idx="782">
                  <c:v>83.882352941176563</c:v>
                </c:pt>
                <c:pt idx="783">
                  <c:v>83.176470588235389</c:v>
                </c:pt>
                <c:pt idx="784">
                  <c:v>84.000000000000099</c:v>
                </c:pt>
                <c:pt idx="785">
                  <c:v>83.64705882352952</c:v>
                </c:pt>
                <c:pt idx="786">
                  <c:v>82.705882352941288</c:v>
                </c:pt>
                <c:pt idx="787">
                  <c:v>83.529411764705984</c:v>
                </c:pt>
                <c:pt idx="788">
                  <c:v>83.64705882352952</c:v>
                </c:pt>
                <c:pt idx="789">
                  <c:v>84.235294117647172</c:v>
                </c:pt>
                <c:pt idx="790">
                  <c:v>84.117647058823636</c:v>
                </c:pt>
                <c:pt idx="791">
                  <c:v>84.823529411764795</c:v>
                </c:pt>
                <c:pt idx="792">
                  <c:v>85.176470588235389</c:v>
                </c:pt>
                <c:pt idx="793">
                  <c:v>84.941176470588331</c:v>
                </c:pt>
                <c:pt idx="794">
                  <c:v>84.235294117647157</c:v>
                </c:pt>
                <c:pt idx="795">
                  <c:v>83.764705882353041</c:v>
                </c:pt>
                <c:pt idx="796">
                  <c:v>83.411764705882447</c:v>
                </c:pt>
                <c:pt idx="797">
                  <c:v>81.529411764705969</c:v>
                </c:pt>
                <c:pt idx="798">
                  <c:v>82.000000000000099</c:v>
                </c:pt>
                <c:pt idx="799">
                  <c:v>81.882352941176578</c:v>
                </c:pt>
                <c:pt idx="800">
                  <c:v>82.11764705882365</c:v>
                </c:pt>
                <c:pt idx="801">
                  <c:v>82.11764705882365</c:v>
                </c:pt>
                <c:pt idx="802">
                  <c:v>82.235294117647172</c:v>
                </c:pt>
                <c:pt idx="803">
                  <c:v>82.588235294117752</c:v>
                </c:pt>
                <c:pt idx="804">
                  <c:v>82.47058823529423</c:v>
                </c:pt>
                <c:pt idx="805">
                  <c:v>82.352941176470708</c:v>
                </c:pt>
                <c:pt idx="806">
                  <c:v>82.235294117647172</c:v>
                </c:pt>
                <c:pt idx="807">
                  <c:v>82.352941176470694</c:v>
                </c:pt>
                <c:pt idx="808">
                  <c:v>81.411764705882462</c:v>
                </c:pt>
                <c:pt idx="809">
                  <c:v>82.000000000000114</c:v>
                </c:pt>
                <c:pt idx="810">
                  <c:v>81.176470588235418</c:v>
                </c:pt>
                <c:pt idx="811">
                  <c:v>80.352941176470708</c:v>
                </c:pt>
                <c:pt idx="812">
                  <c:v>79.176470588235418</c:v>
                </c:pt>
                <c:pt idx="813">
                  <c:v>80.705882352941302</c:v>
                </c:pt>
                <c:pt idx="814">
                  <c:v>79.882352941176592</c:v>
                </c:pt>
                <c:pt idx="815">
                  <c:v>81.058823529411882</c:v>
                </c:pt>
                <c:pt idx="816">
                  <c:v>80.823529411764824</c:v>
                </c:pt>
                <c:pt idx="817">
                  <c:v>80.588235294117752</c:v>
                </c:pt>
                <c:pt idx="818">
                  <c:v>79.882352941176578</c:v>
                </c:pt>
                <c:pt idx="819">
                  <c:v>80.705882352941288</c:v>
                </c:pt>
                <c:pt idx="820">
                  <c:v>81.64705882352952</c:v>
                </c:pt>
                <c:pt idx="821">
                  <c:v>81.764705882353041</c:v>
                </c:pt>
                <c:pt idx="822">
                  <c:v>81.647058823529505</c:v>
                </c:pt>
                <c:pt idx="823">
                  <c:v>81.764705882353027</c:v>
                </c:pt>
                <c:pt idx="824">
                  <c:v>82.470588235294187</c:v>
                </c:pt>
                <c:pt idx="825">
                  <c:v>81.764705882353013</c:v>
                </c:pt>
                <c:pt idx="826">
                  <c:v>80.823529411764781</c:v>
                </c:pt>
                <c:pt idx="827">
                  <c:v>81.529411764705955</c:v>
                </c:pt>
                <c:pt idx="828">
                  <c:v>82.000000000000085</c:v>
                </c:pt>
                <c:pt idx="829">
                  <c:v>82.235294117647143</c:v>
                </c:pt>
                <c:pt idx="830">
                  <c:v>82.941176470588317</c:v>
                </c:pt>
                <c:pt idx="831">
                  <c:v>83.058823529411839</c:v>
                </c:pt>
                <c:pt idx="832">
                  <c:v>83.058823529411839</c:v>
                </c:pt>
                <c:pt idx="833">
                  <c:v>82.705882352941259</c:v>
                </c:pt>
                <c:pt idx="834">
                  <c:v>82.705882352941259</c:v>
                </c:pt>
                <c:pt idx="835">
                  <c:v>83.058823529411839</c:v>
                </c:pt>
                <c:pt idx="836">
                  <c:v>83.058823529411839</c:v>
                </c:pt>
                <c:pt idx="837">
                  <c:v>83.294117647058911</c:v>
                </c:pt>
                <c:pt idx="838">
                  <c:v>83.176470588235389</c:v>
                </c:pt>
                <c:pt idx="839" formatCode="0">
                  <c:v>83.176470588235389</c:v>
                </c:pt>
                <c:pt idx="840" formatCode="0">
                  <c:v>83.411764705882433</c:v>
                </c:pt>
                <c:pt idx="841" formatCode="0">
                  <c:v>83.176470588235389</c:v>
                </c:pt>
                <c:pt idx="842" formatCode="0">
                  <c:v>83.529411764705969</c:v>
                </c:pt>
                <c:pt idx="843" formatCode="0">
                  <c:v>83.294117647058926</c:v>
                </c:pt>
                <c:pt idx="844" formatCode="0">
                  <c:v>83.411764705882462</c:v>
                </c:pt>
                <c:pt idx="845" formatCode="0">
                  <c:v>83.411764705882462</c:v>
                </c:pt>
                <c:pt idx="846" formatCode="0">
                  <c:v>83.294117647058926</c:v>
                </c:pt>
                <c:pt idx="847" formatCode="0">
                  <c:v>83.294117647058926</c:v>
                </c:pt>
                <c:pt idx="848" formatCode="0">
                  <c:v>83.64705882352952</c:v>
                </c:pt>
                <c:pt idx="849" formatCode="0">
                  <c:v>83.529411764705984</c:v>
                </c:pt>
                <c:pt idx="850" formatCode="0">
                  <c:v>84.000000000000099</c:v>
                </c:pt>
                <c:pt idx="851" formatCode="0">
                  <c:v>84.117647058823636</c:v>
                </c:pt>
                <c:pt idx="852" formatCode="0">
                  <c:v>84.705882352941273</c:v>
                </c:pt>
                <c:pt idx="853" formatCode="0">
                  <c:v>84.588235294117737</c:v>
                </c:pt>
                <c:pt idx="854" formatCode="0">
                  <c:v>85.176470588235375</c:v>
                </c:pt>
                <c:pt idx="855" formatCode="0">
                  <c:v>84.117647058823621</c:v>
                </c:pt>
                <c:pt idx="856" formatCode="0">
                  <c:v>84.470588235294201</c:v>
                </c:pt>
                <c:pt idx="857" formatCode="0">
                  <c:v>84.235294117647143</c:v>
                </c:pt>
                <c:pt idx="858" formatCode="0">
                  <c:v>83.411764705882433</c:v>
                </c:pt>
                <c:pt idx="859" formatCode="0">
                  <c:v>83.764705882353027</c:v>
                </c:pt>
                <c:pt idx="860" formatCode="0">
                  <c:v>82.705882352941259</c:v>
                </c:pt>
                <c:pt idx="861" formatCode="0">
                  <c:v>82.470588235294201</c:v>
                </c:pt>
                <c:pt idx="862" formatCode="0">
                  <c:v>82.941176470588331</c:v>
                </c:pt>
                <c:pt idx="863" formatCode="0">
                  <c:v>82.705882352941288</c:v>
                </c:pt>
                <c:pt idx="864" formatCode="0">
                  <c:v>81.411764705882462</c:v>
                </c:pt>
                <c:pt idx="865" formatCode="0">
                  <c:v>81.058823529411868</c:v>
                </c:pt>
                <c:pt idx="866" formatCode="0">
                  <c:v>80.47058823529423</c:v>
                </c:pt>
                <c:pt idx="867" formatCode="0">
                  <c:v>79.764705882353056</c:v>
                </c:pt>
                <c:pt idx="868" formatCode="0">
                  <c:v>80.000000000000114</c:v>
                </c:pt>
                <c:pt idx="869" formatCode="0">
                  <c:v>79.058823529411882</c:v>
                </c:pt>
                <c:pt idx="870" formatCode="0">
                  <c:v>79.411764705882476</c:v>
                </c:pt>
                <c:pt idx="871" formatCode="0">
                  <c:v>78.47058823529423</c:v>
                </c:pt>
                <c:pt idx="872" formatCode="0">
                  <c:v>77.64705882352952</c:v>
                </c:pt>
                <c:pt idx="873" formatCode="0">
                  <c:v>78.47058823529423</c:v>
                </c:pt>
                <c:pt idx="874" formatCode="0">
                  <c:v>78.117647058823636</c:v>
                </c:pt>
              </c:numCache>
            </c:numRef>
          </c:val>
          <c:smooth val="0"/>
          <c:extLst>
            <c:ext xmlns:c16="http://schemas.microsoft.com/office/drawing/2014/chart" uri="{C3380CC4-5D6E-409C-BE32-E72D297353CC}">
              <c16:uniqueId val="{00000001-3372-4ABC-A980-B0ACB3E218F3}"/>
            </c:ext>
          </c:extLst>
        </c:ser>
        <c:ser>
          <c:idx val="2"/>
          <c:order val="2"/>
          <c:tx>
            <c:strRef>
              <c:f>Sheet1!$D$1</c:f>
              <c:strCache>
                <c:ptCount val="1"/>
                <c:pt idx="0">
                  <c:v>EUR/AMD</c:v>
                </c:pt>
              </c:strCache>
            </c:strRef>
          </c:tx>
          <c:spPr>
            <a:ln w="28575" cap="rnd">
              <a:solidFill>
                <a:srgbClr val="C00000"/>
              </a:solidFill>
              <a:round/>
            </a:ln>
            <a:effectLst/>
          </c:spPr>
          <c:marker>
            <c:symbol val="none"/>
          </c:marker>
          <c:cat>
            <c:numRef>
              <c:f>Sheet1!$A$2:$A$876</c:f>
              <c:numCache>
                <c:formatCode>m\/d\/yyyy</c:formatCode>
                <c:ptCount val="875"/>
                <c:pt idx="0">
                  <c:v>43108</c:v>
                </c:pt>
                <c:pt idx="1">
                  <c:v>43109</c:v>
                </c:pt>
                <c:pt idx="2">
                  <c:v>43110</c:v>
                </c:pt>
                <c:pt idx="3">
                  <c:v>43111</c:v>
                </c:pt>
                <c:pt idx="4">
                  <c:v>43112</c:v>
                </c:pt>
                <c:pt idx="5">
                  <c:v>43115</c:v>
                </c:pt>
                <c:pt idx="6">
                  <c:v>43116</c:v>
                </c:pt>
                <c:pt idx="7">
                  <c:v>43117</c:v>
                </c:pt>
                <c:pt idx="8">
                  <c:v>43118</c:v>
                </c:pt>
                <c:pt idx="9">
                  <c:v>43119</c:v>
                </c:pt>
                <c:pt idx="10">
                  <c:v>43122</c:v>
                </c:pt>
                <c:pt idx="11">
                  <c:v>43123</c:v>
                </c:pt>
                <c:pt idx="12">
                  <c:v>43124</c:v>
                </c:pt>
                <c:pt idx="13">
                  <c:v>43125</c:v>
                </c:pt>
                <c:pt idx="14">
                  <c:v>43126</c:v>
                </c:pt>
                <c:pt idx="15">
                  <c:v>43129</c:v>
                </c:pt>
                <c:pt idx="16">
                  <c:v>43130</c:v>
                </c:pt>
                <c:pt idx="17">
                  <c:v>43131</c:v>
                </c:pt>
                <c:pt idx="18">
                  <c:v>43132</c:v>
                </c:pt>
                <c:pt idx="19">
                  <c:v>43133</c:v>
                </c:pt>
                <c:pt idx="20">
                  <c:v>43136</c:v>
                </c:pt>
                <c:pt idx="21">
                  <c:v>43137</c:v>
                </c:pt>
                <c:pt idx="22">
                  <c:v>43138</c:v>
                </c:pt>
                <c:pt idx="23">
                  <c:v>43139</c:v>
                </c:pt>
                <c:pt idx="24">
                  <c:v>43140</c:v>
                </c:pt>
                <c:pt idx="25">
                  <c:v>43143</c:v>
                </c:pt>
                <c:pt idx="26">
                  <c:v>43144</c:v>
                </c:pt>
                <c:pt idx="27">
                  <c:v>43145</c:v>
                </c:pt>
                <c:pt idx="28">
                  <c:v>43146</c:v>
                </c:pt>
                <c:pt idx="29">
                  <c:v>43147</c:v>
                </c:pt>
                <c:pt idx="30">
                  <c:v>43150</c:v>
                </c:pt>
                <c:pt idx="31">
                  <c:v>43151</c:v>
                </c:pt>
                <c:pt idx="32">
                  <c:v>43152</c:v>
                </c:pt>
                <c:pt idx="33">
                  <c:v>43153</c:v>
                </c:pt>
                <c:pt idx="34">
                  <c:v>43154</c:v>
                </c:pt>
                <c:pt idx="35">
                  <c:v>43157</c:v>
                </c:pt>
                <c:pt idx="36">
                  <c:v>43158</c:v>
                </c:pt>
                <c:pt idx="37">
                  <c:v>43159</c:v>
                </c:pt>
                <c:pt idx="38">
                  <c:v>43160</c:v>
                </c:pt>
                <c:pt idx="39">
                  <c:v>43161</c:v>
                </c:pt>
                <c:pt idx="40">
                  <c:v>43164</c:v>
                </c:pt>
                <c:pt idx="41">
                  <c:v>43165</c:v>
                </c:pt>
                <c:pt idx="42">
                  <c:v>43166</c:v>
                </c:pt>
                <c:pt idx="43">
                  <c:v>43171</c:v>
                </c:pt>
                <c:pt idx="44">
                  <c:v>43172</c:v>
                </c:pt>
                <c:pt idx="45">
                  <c:v>43173</c:v>
                </c:pt>
                <c:pt idx="46">
                  <c:v>43174</c:v>
                </c:pt>
                <c:pt idx="47">
                  <c:v>43175</c:v>
                </c:pt>
                <c:pt idx="48">
                  <c:v>43176</c:v>
                </c:pt>
                <c:pt idx="49">
                  <c:v>43178</c:v>
                </c:pt>
                <c:pt idx="50">
                  <c:v>43179</c:v>
                </c:pt>
                <c:pt idx="51">
                  <c:v>43180</c:v>
                </c:pt>
                <c:pt idx="52">
                  <c:v>43181</c:v>
                </c:pt>
                <c:pt idx="53">
                  <c:v>43182</c:v>
                </c:pt>
                <c:pt idx="54">
                  <c:v>43185</c:v>
                </c:pt>
                <c:pt idx="55">
                  <c:v>43186</c:v>
                </c:pt>
                <c:pt idx="56">
                  <c:v>43187</c:v>
                </c:pt>
                <c:pt idx="57">
                  <c:v>43188</c:v>
                </c:pt>
                <c:pt idx="58">
                  <c:v>43189</c:v>
                </c:pt>
                <c:pt idx="59">
                  <c:v>43193</c:v>
                </c:pt>
                <c:pt idx="60">
                  <c:v>43194</c:v>
                </c:pt>
                <c:pt idx="61">
                  <c:v>43195</c:v>
                </c:pt>
                <c:pt idx="62">
                  <c:v>43196</c:v>
                </c:pt>
                <c:pt idx="63">
                  <c:v>43197</c:v>
                </c:pt>
                <c:pt idx="64">
                  <c:v>43199</c:v>
                </c:pt>
                <c:pt idx="65">
                  <c:v>43200</c:v>
                </c:pt>
                <c:pt idx="66">
                  <c:v>43201</c:v>
                </c:pt>
                <c:pt idx="67">
                  <c:v>43202</c:v>
                </c:pt>
                <c:pt idx="68">
                  <c:v>43203</c:v>
                </c:pt>
                <c:pt idx="69">
                  <c:v>43206</c:v>
                </c:pt>
                <c:pt idx="70">
                  <c:v>43207</c:v>
                </c:pt>
                <c:pt idx="71">
                  <c:v>43208</c:v>
                </c:pt>
                <c:pt idx="72">
                  <c:v>43209</c:v>
                </c:pt>
                <c:pt idx="73">
                  <c:v>43210</c:v>
                </c:pt>
                <c:pt idx="74">
                  <c:v>43213</c:v>
                </c:pt>
                <c:pt idx="75">
                  <c:v>43215</c:v>
                </c:pt>
                <c:pt idx="76">
                  <c:v>43216</c:v>
                </c:pt>
                <c:pt idx="77">
                  <c:v>43217</c:v>
                </c:pt>
                <c:pt idx="78">
                  <c:v>43222</c:v>
                </c:pt>
                <c:pt idx="79">
                  <c:v>43223</c:v>
                </c:pt>
                <c:pt idx="80">
                  <c:v>43224</c:v>
                </c:pt>
                <c:pt idx="81">
                  <c:v>43225</c:v>
                </c:pt>
                <c:pt idx="82">
                  <c:v>43227</c:v>
                </c:pt>
                <c:pt idx="83">
                  <c:v>43228</c:v>
                </c:pt>
                <c:pt idx="84">
                  <c:v>43230</c:v>
                </c:pt>
                <c:pt idx="85">
                  <c:v>43231</c:v>
                </c:pt>
                <c:pt idx="86">
                  <c:v>43234</c:v>
                </c:pt>
                <c:pt idx="87">
                  <c:v>43235</c:v>
                </c:pt>
                <c:pt idx="88">
                  <c:v>43236</c:v>
                </c:pt>
                <c:pt idx="89">
                  <c:v>43237</c:v>
                </c:pt>
                <c:pt idx="90">
                  <c:v>43238</c:v>
                </c:pt>
                <c:pt idx="91">
                  <c:v>43241</c:v>
                </c:pt>
                <c:pt idx="92">
                  <c:v>43242</c:v>
                </c:pt>
                <c:pt idx="93">
                  <c:v>43243</c:v>
                </c:pt>
                <c:pt idx="94">
                  <c:v>43244</c:v>
                </c:pt>
                <c:pt idx="95">
                  <c:v>43245</c:v>
                </c:pt>
                <c:pt idx="96">
                  <c:v>43249</c:v>
                </c:pt>
                <c:pt idx="97">
                  <c:v>43250</c:v>
                </c:pt>
                <c:pt idx="98">
                  <c:v>43251</c:v>
                </c:pt>
                <c:pt idx="99">
                  <c:v>43252</c:v>
                </c:pt>
                <c:pt idx="100">
                  <c:v>43255</c:v>
                </c:pt>
                <c:pt idx="101">
                  <c:v>43256</c:v>
                </c:pt>
                <c:pt idx="102">
                  <c:v>43257</c:v>
                </c:pt>
                <c:pt idx="103">
                  <c:v>43258</c:v>
                </c:pt>
                <c:pt idx="104">
                  <c:v>43259</c:v>
                </c:pt>
                <c:pt idx="105">
                  <c:v>43262</c:v>
                </c:pt>
                <c:pt idx="106">
                  <c:v>43263</c:v>
                </c:pt>
                <c:pt idx="107">
                  <c:v>43264</c:v>
                </c:pt>
                <c:pt idx="108">
                  <c:v>43265</c:v>
                </c:pt>
                <c:pt idx="109">
                  <c:v>43266</c:v>
                </c:pt>
                <c:pt idx="110">
                  <c:v>43269</c:v>
                </c:pt>
                <c:pt idx="111">
                  <c:v>43270</c:v>
                </c:pt>
                <c:pt idx="112">
                  <c:v>43271</c:v>
                </c:pt>
                <c:pt idx="113">
                  <c:v>43272</c:v>
                </c:pt>
                <c:pt idx="114">
                  <c:v>43273</c:v>
                </c:pt>
                <c:pt idx="115">
                  <c:v>43276</c:v>
                </c:pt>
                <c:pt idx="116">
                  <c:v>43277</c:v>
                </c:pt>
                <c:pt idx="117">
                  <c:v>43278</c:v>
                </c:pt>
                <c:pt idx="118">
                  <c:v>43279</c:v>
                </c:pt>
                <c:pt idx="119">
                  <c:v>43280</c:v>
                </c:pt>
                <c:pt idx="120">
                  <c:v>43283</c:v>
                </c:pt>
                <c:pt idx="121">
                  <c:v>43284</c:v>
                </c:pt>
                <c:pt idx="122">
                  <c:v>43285</c:v>
                </c:pt>
                <c:pt idx="123">
                  <c:v>43287</c:v>
                </c:pt>
                <c:pt idx="124">
                  <c:v>43290</c:v>
                </c:pt>
                <c:pt idx="125">
                  <c:v>43291</c:v>
                </c:pt>
                <c:pt idx="126">
                  <c:v>43292</c:v>
                </c:pt>
                <c:pt idx="127">
                  <c:v>43293</c:v>
                </c:pt>
                <c:pt idx="128">
                  <c:v>43294</c:v>
                </c:pt>
                <c:pt idx="129">
                  <c:v>43297</c:v>
                </c:pt>
                <c:pt idx="130">
                  <c:v>43298</c:v>
                </c:pt>
                <c:pt idx="131">
                  <c:v>43299</c:v>
                </c:pt>
                <c:pt idx="132">
                  <c:v>43300</c:v>
                </c:pt>
                <c:pt idx="133">
                  <c:v>43301</c:v>
                </c:pt>
                <c:pt idx="134">
                  <c:v>43304</c:v>
                </c:pt>
                <c:pt idx="135">
                  <c:v>43305</c:v>
                </c:pt>
                <c:pt idx="136">
                  <c:v>43306</c:v>
                </c:pt>
                <c:pt idx="137">
                  <c:v>43307</c:v>
                </c:pt>
                <c:pt idx="138">
                  <c:v>43308</c:v>
                </c:pt>
                <c:pt idx="139">
                  <c:v>43311</c:v>
                </c:pt>
                <c:pt idx="140">
                  <c:v>43312</c:v>
                </c:pt>
                <c:pt idx="141">
                  <c:v>43313</c:v>
                </c:pt>
                <c:pt idx="142">
                  <c:v>43314</c:v>
                </c:pt>
                <c:pt idx="143">
                  <c:v>43315</c:v>
                </c:pt>
                <c:pt idx="144">
                  <c:v>43318</c:v>
                </c:pt>
                <c:pt idx="145">
                  <c:v>43319</c:v>
                </c:pt>
                <c:pt idx="146">
                  <c:v>43320</c:v>
                </c:pt>
                <c:pt idx="147">
                  <c:v>43321</c:v>
                </c:pt>
                <c:pt idx="148">
                  <c:v>43322</c:v>
                </c:pt>
                <c:pt idx="149">
                  <c:v>43325</c:v>
                </c:pt>
                <c:pt idx="150">
                  <c:v>43326</c:v>
                </c:pt>
                <c:pt idx="151">
                  <c:v>43327</c:v>
                </c:pt>
                <c:pt idx="152">
                  <c:v>43328</c:v>
                </c:pt>
                <c:pt idx="153">
                  <c:v>43329</c:v>
                </c:pt>
                <c:pt idx="154">
                  <c:v>43332</c:v>
                </c:pt>
                <c:pt idx="155">
                  <c:v>43333</c:v>
                </c:pt>
                <c:pt idx="156">
                  <c:v>43334</c:v>
                </c:pt>
                <c:pt idx="157">
                  <c:v>43335</c:v>
                </c:pt>
                <c:pt idx="158">
                  <c:v>43336</c:v>
                </c:pt>
                <c:pt idx="159">
                  <c:v>43339</c:v>
                </c:pt>
                <c:pt idx="160">
                  <c:v>43340</c:v>
                </c:pt>
                <c:pt idx="161">
                  <c:v>43341</c:v>
                </c:pt>
                <c:pt idx="162">
                  <c:v>43342</c:v>
                </c:pt>
                <c:pt idx="163">
                  <c:v>43343</c:v>
                </c:pt>
                <c:pt idx="164">
                  <c:v>43346</c:v>
                </c:pt>
                <c:pt idx="165">
                  <c:v>43347</c:v>
                </c:pt>
                <c:pt idx="166">
                  <c:v>43348</c:v>
                </c:pt>
                <c:pt idx="167">
                  <c:v>43349</c:v>
                </c:pt>
                <c:pt idx="168">
                  <c:v>43350</c:v>
                </c:pt>
                <c:pt idx="169">
                  <c:v>43353</c:v>
                </c:pt>
                <c:pt idx="170">
                  <c:v>43354</c:v>
                </c:pt>
                <c:pt idx="171">
                  <c:v>43355</c:v>
                </c:pt>
                <c:pt idx="172">
                  <c:v>43356</c:v>
                </c:pt>
                <c:pt idx="173">
                  <c:v>43357</c:v>
                </c:pt>
                <c:pt idx="174">
                  <c:v>43360</c:v>
                </c:pt>
                <c:pt idx="175">
                  <c:v>43361</c:v>
                </c:pt>
                <c:pt idx="176">
                  <c:v>43362</c:v>
                </c:pt>
                <c:pt idx="177">
                  <c:v>43363</c:v>
                </c:pt>
                <c:pt idx="178">
                  <c:v>43367</c:v>
                </c:pt>
                <c:pt idx="179">
                  <c:v>43368</c:v>
                </c:pt>
                <c:pt idx="180">
                  <c:v>43369</c:v>
                </c:pt>
                <c:pt idx="181">
                  <c:v>43370</c:v>
                </c:pt>
                <c:pt idx="182">
                  <c:v>43371</c:v>
                </c:pt>
                <c:pt idx="183">
                  <c:v>43374</c:v>
                </c:pt>
                <c:pt idx="184">
                  <c:v>43375</c:v>
                </c:pt>
                <c:pt idx="185">
                  <c:v>43376</c:v>
                </c:pt>
                <c:pt idx="186">
                  <c:v>43377</c:v>
                </c:pt>
                <c:pt idx="187">
                  <c:v>43378</c:v>
                </c:pt>
                <c:pt idx="188">
                  <c:v>43381</c:v>
                </c:pt>
                <c:pt idx="189">
                  <c:v>43382</c:v>
                </c:pt>
                <c:pt idx="190">
                  <c:v>43383</c:v>
                </c:pt>
                <c:pt idx="191">
                  <c:v>43388</c:v>
                </c:pt>
                <c:pt idx="192">
                  <c:v>43389</c:v>
                </c:pt>
                <c:pt idx="193">
                  <c:v>43390</c:v>
                </c:pt>
                <c:pt idx="194">
                  <c:v>43391</c:v>
                </c:pt>
                <c:pt idx="195">
                  <c:v>43392</c:v>
                </c:pt>
                <c:pt idx="196">
                  <c:v>43395</c:v>
                </c:pt>
                <c:pt idx="197">
                  <c:v>43396</c:v>
                </c:pt>
                <c:pt idx="198">
                  <c:v>43397</c:v>
                </c:pt>
                <c:pt idx="199">
                  <c:v>43398</c:v>
                </c:pt>
                <c:pt idx="200">
                  <c:v>43399</c:v>
                </c:pt>
                <c:pt idx="201">
                  <c:v>43400</c:v>
                </c:pt>
                <c:pt idx="202">
                  <c:v>43402</c:v>
                </c:pt>
                <c:pt idx="203">
                  <c:v>43403</c:v>
                </c:pt>
                <c:pt idx="204">
                  <c:v>43404</c:v>
                </c:pt>
                <c:pt idx="205">
                  <c:v>43405</c:v>
                </c:pt>
                <c:pt idx="206">
                  <c:v>43406</c:v>
                </c:pt>
                <c:pt idx="207">
                  <c:v>43407</c:v>
                </c:pt>
                <c:pt idx="208">
                  <c:v>43409</c:v>
                </c:pt>
                <c:pt idx="209">
                  <c:v>43410</c:v>
                </c:pt>
                <c:pt idx="210">
                  <c:v>43411</c:v>
                </c:pt>
                <c:pt idx="211">
                  <c:v>43412</c:v>
                </c:pt>
                <c:pt idx="212">
                  <c:v>43413</c:v>
                </c:pt>
                <c:pt idx="213">
                  <c:v>43416</c:v>
                </c:pt>
                <c:pt idx="214">
                  <c:v>43417</c:v>
                </c:pt>
                <c:pt idx="215">
                  <c:v>43418</c:v>
                </c:pt>
                <c:pt idx="216">
                  <c:v>43419</c:v>
                </c:pt>
                <c:pt idx="217">
                  <c:v>43420</c:v>
                </c:pt>
                <c:pt idx="218">
                  <c:v>43423</c:v>
                </c:pt>
                <c:pt idx="219">
                  <c:v>43424</c:v>
                </c:pt>
                <c:pt idx="220">
                  <c:v>43425</c:v>
                </c:pt>
                <c:pt idx="221">
                  <c:v>43426</c:v>
                </c:pt>
                <c:pt idx="222">
                  <c:v>43427</c:v>
                </c:pt>
                <c:pt idx="223">
                  <c:v>43430</c:v>
                </c:pt>
                <c:pt idx="224">
                  <c:v>43431</c:v>
                </c:pt>
                <c:pt idx="225">
                  <c:v>43432</c:v>
                </c:pt>
                <c:pt idx="226">
                  <c:v>43433</c:v>
                </c:pt>
                <c:pt idx="227">
                  <c:v>43434</c:v>
                </c:pt>
                <c:pt idx="228">
                  <c:v>43437</c:v>
                </c:pt>
                <c:pt idx="229">
                  <c:v>43438</c:v>
                </c:pt>
                <c:pt idx="230">
                  <c:v>43439</c:v>
                </c:pt>
                <c:pt idx="231">
                  <c:v>43440</c:v>
                </c:pt>
                <c:pt idx="232">
                  <c:v>43441</c:v>
                </c:pt>
                <c:pt idx="233">
                  <c:v>43444</c:v>
                </c:pt>
                <c:pt idx="234">
                  <c:v>43445</c:v>
                </c:pt>
                <c:pt idx="235">
                  <c:v>43446</c:v>
                </c:pt>
                <c:pt idx="236">
                  <c:v>43447</c:v>
                </c:pt>
                <c:pt idx="237">
                  <c:v>43448</c:v>
                </c:pt>
                <c:pt idx="238">
                  <c:v>43451</c:v>
                </c:pt>
                <c:pt idx="239">
                  <c:v>43452</c:v>
                </c:pt>
                <c:pt idx="240">
                  <c:v>43453</c:v>
                </c:pt>
                <c:pt idx="241">
                  <c:v>43454</c:v>
                </c:pt>
                <c:pt idx="242">
                  <c:v>43455</c:v>
                </c:pt>
                <c:pt idx="243">
                  <c:v>43458</c:v>
                </c:pt>
                <c:pt idx="244">
                  <c:v>43459</c:v>
                </c:pt>
                <c:pt idx="245">
                  <c:v>43460</c:v>
                </c:pt>
                <c:pt idx="246">
                  <c:v>43461</c:v>
                </c:pt>
                <c:pt idx="247">
                  <c:v>43462</c:v>
                </c:pt>
                <c:pt idx="248">
                  <c:v>43473</c:v>
                </c:pt>
                <c:pt idx="249">
                  <c:v>43474</c:v>
                </c:pt>
                <c:pt idx="250">
                  <c:v>43475</c:v>
                </c:pt>
                <c:pt idx="251">
                  <c:v>43476</c:v>
                </c:pt>
                <c:pt idx="252">
                  <c:v>43479</c:v>
                </c:pt>
                <c:pt idx="253">
                  <c:v>43480</c:v>
                </c:pt>
                <c:pt idx="254">
                  <c:v>43481</c:v>
                </c:pt>
                <c:pt idx="255">
                  <c:v>43482</c:v>
                </c:pt>
                <c:pt idx="256">
                  <c:v>43483</c:v>
                </c:pt>
                <c:pt idx="257">
                  <c:v>43486</c:v>
                </c:pt>
                <c:pt idx="258">
                  <c:v>43487</c:v>
                </c:pt>
                <c:pt idx="259">
                  <c:v>43488</c:v>
                </c:pt>
                <c:pt idx="260">
                  <c:v>43489</c:v>
                </c:pt>
                <c:pt idx="261">
                  <c:v>43490</c:v>
                </c:pt>
                <c:pt idx="262">
                  <c:v>43494</c:v>
                </c:pt>
                <c:pt idx="263">
                  <c:v>43495</c:v>
                </c:pt>
                <c:pt idx="264">
                  <c:v>43496</c:v>
                </c:pt>
                <c:pt idx="265">
                  <c:v>43497</c:v>
                </c:pt>
                <c:pt idx="266">
                  <c:v>43500</c:v>
                </c:pt>
                <c:pt idx="267">
                  <c:v>43501</c:v>
                </c:pt>
                <c:pt idx="268">
                  <c:v>43502</c:v>
                </c:pt>
                <c:pt idx="269">
                  <c:v>43503</c:v>
                </c:pt>
                <c:pt idx="270">
                  <c:v>43504</c:v>
                </c:pt>
                <c:pt idx="271">
                  <c:v>43507</c:v>
                </c:pt>
                <c:pt idx="272">
                  <c:v>43508</c:v>
                </c:pt>
                <c:pt idx="273">
                  <c:v>43509</c:v>
                </c:pt>
                <c:pt idx="274">
                  <c:v>43510</c:v>
                </c:pt>
                <c:pt idx="275">
                  <c:v>43511</c:v>
                </c:pt>
                <c:pt idx="276">
                  <c:v>43514</c:v>
                </c:pt>
                <c:pt idx="277">
                  <c:v>43515</c:v>
                </c:pt>
                <c:pt idx="278">
                  <c:v>43516</c:v>
                </c:pt>
                <c:pt idx="279">
                  <c:v>43517</c:v>
                </c:pt>
                <c:pt idx="280">
                  <c:v>43518</c:v>
                </c:pt>
                <c:pt idx="281">
                  <c:v>43521</c:v>
                </c:pt>
                <c:pt idx="282">
                  <c:v>43522</c:v>
                </c:pt>
                <c:pt idx="283">
                  <c:v>43523</c:v>
                </c:pt>
                <c:pt idx="284">
                  <c:v>43524</c:v>
                </c:pt>
                <c:pt idx="285">
                  <c:v>43525</c:v>
                </c:pt>
                <c:pt idx="286">
                  <c:v>43528</c:v>
                </c:pt>
                <c:pt idx="287">
                  <c:v>43529</c:v>
                </c:pt>
                <c:pt idx="288">
                  <c:v>43530</c:v>
                </c:pt>
                <c:pt idx="289">
                  <c:v>43531</c:v>
                </c:pt>
                <c:pt idx="290">
                  <c:v>43535</c:v>
                </c:pt>
                <c:pt idx="291">
                  <c:v>43536</c:v>
                </c:pt>
                <c:pt idx="292">
                  <c:v>43537</c:v>
                </c:pt>
                <c:pt idx="293">
                  <c:v>43538</c:v>
                </c:pt>
                <c:pt idx="294">
                  <c:v>43539</c:v>
                </c:pt>
                <c:pt idx="295">
                  <c:v>43542</c:v>
                </c:pt>
                <c:pt idx="296">
                  <c:v>43543</c:v>
                </c:pt>
                <c:pt idx="297">
                  <c:v>43544</c:v>
                </c:pt>
                <c:pt idx="298">
                  <c:v>43545</c:v>
                </c:pt>
                <c:pt idx="299">
                  <c:v>43546</c:v>
                </c:pt>
                <c:pt idx="300">
                  <c:v>43549</c:v>
                </c:pt>
                <c:pt idx="301">
                  <c:v>43550</c:v>
                </c:pt>
                <c:pt idx="302">
                  <c:v>43551</c:v>
                </c:pt>
                <c:pt idx="303">
                  <c:v>43552</c:v>
                </c:pt>
                <c:pt idx="304">
                  <c:v>43553</c:v>
                </c:pt>
                <c:pt idx="305">
                  <c:v>43556</c:v>
                </c:pt>
                <c:pt idx="306">
                  <c:v>43557</c:v>
                </c:pt>
                <c:pt idx="307">
                  <c:v>43558</c:v>
                </c:pt>
                <c:pt idx="308">
                  <c:v>43559</c:v>
                </c:pt>
                <c:pt idx="309">
                  <c:v>43560</c:v>
                </c:pt>
                <c:pt idx="310">
                  <c:v>43563</c:v>
                </c:pt>
                <c:pt idx="311">
                  <c:v>43564</c:v>
                </c:pt>
                <c:pt idx="312">
                  <c:v>43565</c:v>
                </c:pt>
                <c:pt idx="313">
                  <c:v>43566</c:v>
                </c:pt>
                <c:pt idx="314">
                  <c:v>43567</c:v>
                </c:pt>
                <c:pt idx="315">
                  <c:v>43570</c:v>
                </c:pt>
                <c:pt idx="316">
                  <c:v>43571</c:v>
                </c:pt>
                <c:pt idx="317">
                  <c:v>43572</c:v>
                </c:pt>
                <c:pt idx="318">
                  <c:v>43573</c:v>
                </c:pt>
                <c:pt idx="319">
                  <c:v>43574</c:v>
                </c:pt>
                <c:pt idx="320">
                  <c:v>43577</c:v>
                </c:pt>
                <c:pt idx="321">
                  <c:v>43578</c:v>
                </c:pt>
                <c:pt idx="322">
                  <c:v>43580</c:v>
                </c:pt>
                <c:pt idx="323">
                  <c:v>43581</c:v>
                </c:pt>
                <c:pt idx="324">
                  <c:v>43584</c:v>
                </c:pt>
                <c:pt idx="325">
                  <c:v>43585</c:v>
                </c:pt>
                <c:pt idx="326">
                  <c:v>43587</c:v>
                </c:pt>
                <c:pt idx="327">
                  <c:v>43588</c:v>
                </c:pt>
                <c:pt idx="328">
                  <c:v>43591</c:v>
                </c:pt>
                <c:pt idx="329">
                  <c:v>43592</c:v>
                </c:pt>
                <c:pt idx="330">
                  <c:v>43593</c:v>
                </c:pt>
                <c:pt idx="331">
                  <c:v>43595</c:v>
                </c:pt>
                <c:pt idx="332">
                  <c:v>43598</c:v>
                </c:pt>
                <c:pt idx="333">
                  <c:v>43599</c:v>
                </c:pt>
                <c:pt idx="334">
                  <c:v>43600</c:v>
                </c:pt>
                <c:pt idx="335">
                  <c:v>43601</c:v>
                </c:pt>
                <c:pt idx="336">
                  <c:v>43602</c:v>
                </c:pt>
                <c:pt idx="337">
                  <c:v>43605</c:v>
                </c:pt>
                <c:pt idx="338">
                  <c:v>43606</c:v>
                </c:pt>
                <c:pt idx="339">
                  <c:v>43607</c:v>
                </c:pt>
                <c:pt idx="340">
                  <c:v>43608</c:v>
                </c:pt>
                <c:pt idx="341">
                  <c:v>43609</c:v>
                </c:pt>
                <c:pt idx="342">
                  <c:v>43612</c:v>
                </c:pt>
                <c:pt idx="343">
                  <c:v>43614</c:v>
                </c:pt>
                <c:pt idx="344">
                  <c:v>43615</c:v>
                </c:pt>
                <c:pt idx="345">
                  <c:v>43616</c:v>
                </c:pt>
                <c:pt idx="346">
                  <c:v>43619</c:v>
                </c:pt>
                <c:pt idx="347">
                  <c:v>43620</c:v>
                </c:pt>
                <c:pt idx="348">
                  <c:v>43621</c:v>
                </c:pt>
                <c:pt idx="349">
                  <c:v>43622</c:v>
                </c:pt>
                <c:pt idx="350">
                  <c:v>43623</c:v>
                </c:pt>
                <c:pt idx="351">
                  <c:v>43626</c:v>
                </c:pt>
                <c:pt idx="352">
                  <c:v>43627</c:v>
                </c:pt>
                <c:pt idx="353">
                  <c:v>43628</c:v>
                </c:pt>
                <c:pt idx="354">
                  <c:v>43629</c:v>
                </c:pt>
                <c:pt idx="355">
                  <c:v>43630</c:v>
                </c:pt>
                <c:pt idx="356">
                  <c:v>43633</c:v>
                </c:pt>
                <c:pt idx="357">
                  <c:v>43634</c:v>
                </c:pt>
                <c:pt idx="358">
                  <c:v>43635</c:v>
                </c:pt>
                <c:pt idx="359">
                  <c:v>43636</c:v>
                </c:pt>
                <c:pt idx="360">
                  <c:v>43637</c:v>
                </c:pt>
                <c:pt idx="361">
                  <c:v>43640</c:v>
                </c:pt>
                <c:pt idx="362">
                  <c:v>43641</c:v>
                </c:pt>
                <c:pt idx="363">
                  <c:v>43642</c:v>
                </c:pt>
                <c:pt idx="364">
                  <c:v>43643</c:v>
                </c:pt>
                <c:pt idx="365">
                  <c:v>43644</c:v>
                </c:pt>
                <c:pt idx="366">
                  <c:v>43647</c:v>
                </c:pt>
                <c:pt idx="367">
                  <c:v>43648</c:v>
                </c:pt>
                <c:pt idx="368">
                  <c:v>43649</c:v>
                </c:pt>
                <c:pt idx="369">
                  <c:v>43650</c:v>
                </c:pt>
                <c:pt idx="370">
                  <c:v>43654</c:v>
                </c:pt>
                <c:pt idx="371">
                  <c:v>43655</c:v>
                </c:pt>
                <c:pt idx="372">
                  <c:v>43656</c:v>
                </c:pt>
                <c:pt idx="373">
                  <c:v>43657</c:v>
                </c:pt>
                <c:pt idx="374">
                  <c:v>43658</c:v>
                </c:pt>
                <c:pt idx="375">
                  <c:v>43661</c:v>
                </c:pt>
                <c:pt idx="376">
                  <c:v>43662</c:v>
                </c:pt>
                <c:pt idx="377">
                  <c:v>43663</c:v>
                </c:pt>
                <c:pt idx="378">
                  <c:v>43664</c:v>
                </c:pt>
                <c:pt idx="379">
                  <c:v>43665</c:v>
                </c:pt>
                <c:pt idx="380">
                  <c:v>43668</c:v>
                </c:pt>
                <c:pt idx="381">
                  <c:v>43669</c:v>
                </c:pt>
                <c:pt idx="382">
                  <c:v>43670</c:v>
                </c:pt>
                <c:pt idx="383">
                  <c:v>43671</c:v>
                </c:pt>
                <c:pt idx="384">
                  <c:v>43672</c:v>
                </c:pt>
                <c:pt idx="385">
                  <c:v>43675</c:v>
                </c:pt>
                <c:pt idx="386">
                  <c:v>43676</c:v>
                </c:pt>
                <c:pt idx="387">
                  <c:v>43677</c:v>
                </c:pt>
                <c:pt idx="388">
                  <c:v>43678</c:v>
                </c:pt>
                <c:pt idx="389">
                  <c:v>43679</c:v>
                </c:pt>
                <c:pt idx="390">
                  <c:v>43682</c:v>
                </c:pt>
                <c:pt idx="391">
                  <c:v>43683</c:v>
                </c:pt>
                <c:pt idx="392">
                  <c:v>43684</c:v>
                </c:pt>
                <c:pt idx="393">
                  <c:v>43685</c:v>
                </c:pt>
                <c:pt idx="394">
                  <c:v>43686</c:v>
                </c:pt>
                <c:pt idx="395">
                  <c:v>43689</c:v>
                </c:pt>
                <c:pt idx="396">
                  <c:v>43690</c:v>
                </c:pt>
                <c:pt idx="397">
                  <c:v>43691</c:v>
                </c:pt>
                <c:pt idx="398">
                  <c:v>43692</c:v>
                </c:pt>
                <c:pt idx="399">
                  <c:v>43693</c:v>
                </c:pt>
                <c:pt idx="400">
                  <c:v>43696</c:v>
                </c:pt>
                <c:pt idx="401">
                  <c:v>43697</c:v>
                </c:pt>
                <c:pt idx="402">
                  <c:v>43698</c:v>
                </c:pt>
                <c:pt idx="403">
                  <c:v>43699</c:v>
                </c:pt>
                <c:pt idx="404">
                  <c:v>43700</c:v>
                </c:pt>
                <c:pt idx="405">
                  <c:v>43703</c:v>
                </c:pt>
                <c:pt idx="406">
                  <c:v>43704</c:v>
                </c:pt>
                <c:pt idx="407">
                  <c:v>43705</c:v>
                </c:pt>
                <c:pt idx="408">
                  <c:v>43706</c:v>
                </c:pt>
                <c:pt idx="409">
                  <c:v>43707</c:v>
                </c:pt>
                <c:pt idx="410">
                  <c:v>43710</c:v>
                </c:pt>
                <c:pt idx="411">
                  <c:v>43711</c:v>
                </c:pt>
                <c:pt idx="412">
                  <c:v>43712</c:v>
                </c:pt>
                <c:pt idx="413">
                  <c:v>43713</c:v>
                </c:pt>
                <c:pt idx="414">
                  <c:v>43714</c:v>
                </c:pt>
                <c:pt idx="415">
                  <c:v>43717</c:v>
                </c:pt>
                <c:pt idx="416">
                  <c:v>43718</c:v>
                </c:pt>
                <c:pt idx="417">
                  <c:v>43719</c:v>
                </c:pt>
                <c:pt idx="418">
                  <c:v>43720</c:v>
                </c:pt>
                <c:pt idx="419">
                  <c:v>43721</c:v>
                </c:pt>
                <c:pt idx="420">
                  <c:v>43724</c:v>
                </c:pt>
                <c:pt idx="421">
                  <c:v>43725</c:v>
                </c:pt>
                <c:pt idx="422">
                  <c:v>43726</c:v>
                </c:pt>
                <c:pt idx="423">
                  <c:v>43727</c:v>
                </c:pt>
                <c:pt idx="424">
                  <c:v>43728</c:v>
                </c:pt>
                <c:pt idx="425">
                  <c:v>43731</c:v>
                </c:pt>
                <c:pt idx="426">
                  <c:v>43732</c:v>
                </c:pt>
                <c:pt idx="427">
                  <c:v>43733</c:v>
                </c:pt>
                <c:pt idx="428">
                  <c:v>43734</c:v>
                </c:pt>
                <c:pt idx="429">
                  <c:v>43735</c:v>
                </c:pt>
                <c:pt idx="430">
                  <c:v>43738</c:v>
                </c:pt>
                <c:pt idx="431">
                  <c:v>43739</c:v>
                </c:pt>
                <c:pt idx="432">
                  <c:v>43740</c:v>
                </c:pt>
                <c:pt idx="433">
                  <c:v>43741</c:v>
                </c:pt>
                <c:pt idx="434">
                  <c:v>43742</c:v>
                </c:pt>
                <c:pt idx="435">
                  <c:v>43745</c:v>
                </c:pt>
                <c:pt idx="436">
                  <c:v>43746</c:v>
                </c:pt>
                <c:pt idx="437">
                  <c:v>43747</c:v>
                </c:pt>
                <c:pt idx="438">
                  <c:v>43748</c:v>
                </c:pt>
                <c:pt idx="439">
                  <c:v>43749</c:v>
                </c:pt>
                <c:pt idx="440">
                  <c:v>43752</c:v>
                </c:pt>
                <c:pt idx="441">
                  <c:v>43753</c:v>
                </c:pt>
                <c:pt idx="442">
                  <c:v>43754</c:v>
                </c:pt>
                <c:pt idx="443">
                  <c:v>43755</c:v>
                </c:pt>
                <c:pt idx="444">
                  <c:v>43756</c:v>
                </c:pt>
                <c:pt idx="445">
                  <c:v>43759</c:v>
                </c:pt>
                <c:pt idx="446">
                  <c:v>43760</c:v>
                </c:pt>
                <c:pt idx="447">
                  <c:v>43761</c:v>
                </c:pt>
                <c:pt idx="448">
                  <c:v>43762</c:v>
                </c:pt>
                <c:pt idx="449">
                  <c:v>43763</c:v>
                </c:pt>
                <c:pt idx="450">
                  <c:v>43766</c:v>
                </c:pt>
                <c:pt idx="451">
                  <c:v>43767</c:v>
                </c:pt>
                <c:pt idx="452">
                  <c:v>43768</c:v>
                </c:pt>
                <c:pt idx="453">
                  <c:v>43769</c:v>
                </c:pt>
                <c:pt idx="454">
                  <c:v>43770</c:v>
                </c:pt>
                <c:pt idx="455">
                  <c:v>43773</c:v>
                </c:pt>
                <c:pt idx="456">
                  <c:v>43774</c:v>
                </c:pt>
                <c:pt idx="457">
                  <c:v>43775</c:v>
                </c:pt>
                <c:pt idx="458">
                  <c:v>43776</c:v>
                </c:pt>
                <c:pt idx="459">
                  <c:v>43777</c:v>
                </c:pt>
                <c:pt idx="460">
                  <c:v>43780</c:v>
                </c:pt>
                <c:pt idx="461">
                  <c:v>43781</c:v>
                </c:pt>
                <c:pt idx="462">
                  <c:v>43782</c:v>
                </c:pt>
                <c:pt idx="463">
                  <c:v>43783</c:v>
                </c:pt>
                <c:pt idx="464">
                  <c:v>43784</c:v>
                </c:pt>
                <c:pt idx="465">
                  <c:v>43787</c:v>
                </c:pt>
                <c:pt idx="466">
                  <c:v>43788</c:v>
                </c:pt>
                <c:pt idx="467">
                  <c:v>43789</c:v>
                </c:pt>
                <c:pt idx="468">
                  <c:v>43790</c:v>
                </c:pt>
                <c:pt idx="469">
                  <c:v>43791</c:v>
                </c:pt>
                <c:pt idx="470">
                  <c:v>43794</c:v>
                </c:pt>
                <c:pt idx="471">
                  <c:v>43795</c:v>
                </c:pt>
                <c:pt idx="472">
                  <c:v>43796</c:v>
                </c:pt>
                <c:pt idx="473">
                  <c:v>43797</c:v>
                </c:pt>
                <c:pt idx="474">
                  <c:v>43798</c:v>
                </c:pt>
                <c:pt idx="475">
                  <c:v>43801</c:v>
                </c:pt>
                <c:pt idx="476">
                  <c:v>43802</c:v>
                </c:pt>
                <c:pt idx="477">
                  <c:v>43803</c:v>
                </c:pt>
                <c:pt idx="478">
                  <c:v>43804</c:v>
                </c:pt>
                <c:pt idx="479">
                  <c:v>43805</c:v>
                </c:pt>
                <c:pt idx="480">
                  <c:v>43808</c:v>
                </c:pt>
                <c:pt idx="481">
                  <c:v>43809</c:v>
                </c:pt>
                <c:pt idx="482">
                  <c:v>43810</c:v>
                </c:pt>
                <c:pt idx="483">
                  <c:v>43811</c:v>
                </c:pt>
                <c:pt idx="484">
                  <c:v>43812</c:v>
                </c:pt>
                <c:pt idx="485">
                  <c:v>43815</c:v>
                </c:pt>
                <c:pt idx="486">
                  <c:v>43816</c:v>
                </c:pt>
                <c:pt idx="487">
                  <c:v>43817</c:v>
                </c:pt>
                <c:pt idx="488">
                  <c:v>43818</c:v>
                </c:pt>
                <c:pt idx="489">
                  <c:v>43819</c:v>
                </c:pt>
                <c:pt idx="490">
                  <c:v>43822</c:v>
                </c:pt>
                <c:pt idx="491">
                  <c:v>43823</c:v>
                </c:pt>
                <c:pt idx="492">
                  <c:v>43824</c:v>
                </c:pt>
                <c:pt idx="493">
                  <c:v>43825</c:v>
                </c:pt>
                <c:pt idx="494">
                  <c:v>43826</c:v>
                </c:pt>
                <c:pt idx="495">
                  <c:v>43829</c:v>
                </c:pt>
                <c:pt idx="496">
                  <c:v>43838</c:v>
                </c:pt>
                <c:pt idx="497">
                  <c:v>43839</c:v>
                </c:pt>
                <c:pt idx="498">
                  <c:v>43840</c:v>
                </c:pt>
                <c:pt idx="499">
                  <c:v>43843</c:v>
                </c:pt>
                <c:pt idx="500">
                  <c:v>43844</c:v>
                </c:pt>
                <c:pt idx="501">
                  <c:v>43845</c:v>
                </c:pt>
                <c:pt idx="502">
                  <c:v>43846</c:v>
                </c:pt>
                <c:pt idx="503">
                  <c:v>43847</c:v>
                </c:pt>
                <c:pt idx="504">
                  <c:v>43850</c:v>
                </c:pt>
                <c:pt idx="505">
                  <c:v>43851</c:v>
                </c:pt>
                <c:pt idx="506">
                  <c:v>43852</c:v>
                </c:pt>
                <c:pt idx="507">
                  <c:v>43853</c:v>
                </c:pt>
                <c:pt idx="508">
                  <c:v>43854</c:v>
                </c:pt>
                <c:pt idx="509">
                  <c:v>43859</c:v>
                </c:pt>
                <c:pt idx="510">
                  <c:v>43860</c:v>
                </c:pt>
                <c:pt idx="511">
                  <c:v>43861</c:v>
                </c:pt>
                <c:pt idx="512">
                  <c:v>43862</c:v>
                </c:pt>
                <c:pt idx="513">
                  <c:v>43864</c:v>
                </c:pt>
                <c:pt idx="514">
                  <c:v>43865</c:v>
                </c:pt>
                <c:pt idx="515">
                  <c:v>43866</c:v>
                </c:pt>
                <c:pt idx="516">
                  <c:v>43867</c:v>
                </c:pt>
                <c:pt idx="517">
                  <c:v>43868</c:v>
                </c:pt>
                <c:pt idx="518">
                  <c:v>43871</c:v>
                </c:pt>
                <c:pt idx="519">
                  <c:v>43872</c:v>
                </c:pt>
                <c:pt idx="520">
                  <c:v>43873</c:v>
                </c:pt>
                <c:pt idx="521">
                  <c:v>43874</c:v>
                </c:pt>
                <c:pt idx="522">
                  <c:v>43875</c:v>
                </c:pt>
                <c:pt idx="523">
                  <c:v>43878</c:v>
                </c:pt>
                <c:pt idx="524">
                  <c:v>43879</c:v>
                </c:pt>
                <c:pt idx="525">
                  <c:v>43880</c:v>
                </c:pt>
                <c:pt idx="526">
                  <c:v>43881</c:v>
                </c:pt>
                <c:pt idx="527">
                  <c:v>43882</c:v>
                </c:pt>
                <c:pt idx="528">
                  <c:v>43885</c:v>
                </c:pt>
                <c:pt idx="529">
                  <c:v>43886</c:v>
                </c:pt>
                <c:pt idx="530">
                  <c:v>43887</c:v>
                </c:pt>
                <c:pt idx="531">
                  <c:v>43888</c:v>
                </c:pt>
                <c:pt idx="532">
                  <c:v>43889</c:v>
                </c:pt>
                <c:pt idx="533">
                  <c:v>43892</c:v>
                </c:pt>
                <c:pt idx="534">
                  <c:v>43893</c:v>
                </c:pt>
                <c:pt idx="535">
                  <c:v>43894</c:v>
                </c:pt>
                <c:pt idx="536">
                  <c:v>43895</c:v>
                </c:pt>
                <c:pt idx="537">
                  <c:v>43896</c:v>
                </c:pt>
                <c:pt idx="538">
                  <c:v>43899</c:v>
                </c:pt>
                <c:pt idx="539">
                  <c:v>43900</c:v>
                </c:pt>
                <c:pt idx="540">
                  <c:v>43901</c:v>
                </c:pt>
                <c:pt idx="541">
                  <c:v>43902</c:v>
                </c:pt>
                <c:pt idx="542">
                  <c:v>43903</c:v>
                </c:pt>
                <c:pt idx="543">
                  <c:v>43906</c:v>
                </c:pt>
                <c:pt idx="544">
                  <c:v>43907</c:v>
                </c:pt>
                <c:pt idx="545">
                  <c:v>43908</c:v>
                </c:pt>
                <c:pt idx="546">
                  <c:v>43909</c:v>
                </c:pt>
                <c:pt idx="547">
                  <c:v>43910</c:v>
                </c:pt>
                <c:pt idx="548">
                  <c:v>43913</c:v>
                </c:pt>
                <c:pt idx="549">
                  <c:v>43914</c:v>
                </c:pt>
                <c:pt idx="550">
                  <c:v>43915</c:v>
                </c:pt>
                <c:pt idx="551">
                  <c:v>43916</c:v>
                </c:pt>
                <c:pt idx="552">
                  <c:v>43917</c:v>
                </c:pt>
                <c:pt idx="553">
                  <c:v>43920</c:v>
                </c:pt>
                <c:pt idx="554">
                  <c:v>43921</c:v>
                </c:pt>
                <c:pt idx="555">
                  <c:v>43922</c:v>
                </c:pt>
                <c:pt idx="556">
                  <c:v>43923</c:v>
                </c:pt>
                <c:pt idx="557">
                  <c:v>43924</c:v>
                </c:pt>
                <c:pt idx="558">
                  <c:v>43927</c:v>
                </c:pt>
                <c:pt idx="559">
                  <c:v>43928</c:v>
                </c:pt>
                <c:pt idx="560">
                  <c:v>43929</c:v>
                </c:pt>
                <c:pt idx="561">
                  <c:v>43930</c:v>
                </c:pt>
                <c:pt idx="562">
                  <c:v>43931</c:v>
                </c:pt>
                <c:pt idx="563">
                  <c:v>43934</c:v>
                </c:pt>
                <c:pt idx="564">
                  <c:v>43935</c:v>
                </c:pt>
                <c:pt idx="565">
                  <c:v>43936</c:v>
                </c:pt>
                <c:pt idx="566">
                  <c:v>43937</c:v>
                </c:pt>
                <c:pt idx="567">
                  <c:v>43938</c:v>
                </c:pt>
                <c:pt idx="568">
                  <c:v>43941</c:v>
                </c:pt>
                <c:pt idx="569">
                  <c:v>43942</c:v>
                </c:pt>
                <c:pt idx="570">
                  <c:v>43943</c:v>
                </c:pt>
                <c:pt idx="571">
                  <c:v>43944</c:v>
                </c:pt>
                <c:pt idx="572">
                  <c:v>43948</c:v>
                </c:pt>
                <c:pt idx="573">
                  <c:v>43949</c:v>
                </c:pt>
                <c:pt idx="574">
                  <c:v>43950</c:v>
                </c:pt>
                <c:pt idx="575">
                  <c:v>43951</c:v>
                </c:pt>
                <c:pt idx="576">
                  <c:v>43955</c:v>
                </c:pt>
                <c:pt idx="577">
                  <c:v>43956</c:v>
                </c:pt>
                <c:pt idx="578">
                  <c:v>43957</c:v>
                </c:pt>
                <c:pt idx="579">
                  <c:v>43958</c:v>
                </c:pt>
                <c:pt idx="580">
                  <c:v>43959</c:v>
                </c:pt>
                <c:pt idx="581">
                  <c:v>43962</c:v>
                </c:pt>
                <c:pt idx="582">
                  <c:v>43963</c:v>
                </c:pt>
                <c:pt idx="583">
                  <c:v>43964</c:v>
                </c:pt>
                <c:pt idx="584">
                  <c:v>43965</c:v>
                </c:pt>
                <c:pt idx="585">
                  <c:v>43966</c:v>
                </c:pt>
                <c:pt idx="586">
                  <c:v>43969</c:v>
                </c:pt>
                <c:pt idx="587">
                  <c:v>43970</c:v>
                </c:pt>
                <c:pt idx="588">
                  <c:v>43971</c:v>
                </c:pt>
                <c:pt idx="589">
                  <c:v>43972</c:v>
                </c:pt>
                <c:pt idx="590">
                  <c:v>43973</c:v>
                </c:pt>
                <c:pt idx="591">
                  <c:v>43974</c:v>
                </c:pt>
                <c:pt idx="592">
                  <c:v>43976</c:v>
                </c:pt>
                <c:pt idx="593">
                  <c:v>43977</c:v>
                </c:pt>
                <c:pt idx="594">
                  <c:v>43978</c:v>
                </c:pt>
                <c:pt idx="595">
                  <c:v>43983</c:v>
                </c:pt>
                <c:pt idx="596">
                  <c:v>43984</c:v>
                </c:pt>
                <c:pt idx="597">
                  <c:v>43985</c:v>
                </c:pt>
                <c:pt idx="598">
                  <c:v>43986</c:v>
                </c:pt>
                <c:pt idx="599">
                  <c:v>43987</c:v>
                </c:pt>
                <c:pt idx="600">
                  <c:v>43990</c:v>
                </c:pt>
                <c:pt idx="601">
                  <c:v>43991</c:v>
                </c:pt>
                <c:pt idx="602">
                  <c:v>43992</c:v>
                </c:pt>
                <c:pt idx="603">
                  <c:v>43993</c:v>
                </c:pt>
                <c:pt idx="604">
                  <c:v>43994</c:v>
                </c:pt>
                <c:pt idx="605">
                  <c:v>43997</c:v>
                </c:pt>
                <c:pt idx="606">
                  <c:v>43998</c:v>
                </c:pt>
                <c:pt idx="607">
                  <c:v>43999</c:v>
                </c:pt>
                <c:pt idx="608">
                  <c:v>44000</c:v>
                </c:pt>
                <c:pt idx="609">
                  <c:v>44001</c:v>
                </c:pt>
                <c:pt idx="610">
                  <c:v>44004</c:v>
                </c:pt>
                <c:pt idx="611">
                  <c:v>44005</c:v>
                </c:pt>
                <c:pt idx="612">
                  <c:v>44006</c:v>
                </c:pt>
                <c:pt idx="613">
                  <c:v>44007</c:v>
                </c:pt>
                <c:pt idx="614">
                  <c:v>44008</c:v>
                </c:pt>
                <c:pt idx="615">
                  <c:v>44011</c:v>
                </c:pt>
                <c:pt idx="616">
                  <c:v>44012</c:v>
                </c:pt>
                <c:pt idx="617">
                  <c:v>44013</c:v>
                </c:pt>
                <c:pt idx="618">
                  <c:v>44014</c:v>
                </c:pt>
                <c:pt idx="619">
                  <c:v>44015</c:v>
                </c:pt>
                <c:pt idx="620">
                  <c:v>44018</c:v>
                </c:pt>
                <c:pt idx="621">
                  <c:v>44019</c:v>
                </c:pt>
                <c:pt idx="622">
                  <c:v>44020</c:v>
                </c:pt>
                <c:pt idx="623">
                  <c:v>44021</c:v>
                </c:pt>
                <c:pt idx="624">
                  <c:v>44022</c:v>
                </c:pt>
                <c:pt idx="625">
                  <c:v>44025</c:v>
                </c:pt>
                <c:pt idx="626">
                  <c:v>44026</c:v>
                </c:pt>
                <c:pt idx="627">
                  <c:v>44027</c:v>
                </c:pt>
                <c:pt idx="628">
                  <c:v>44028</c:v>
                </c:pt>
                <c:pt idx="629">
                  <c:v>44029</c:v>
                </c:pt>
                <c:pt idx="630">
                  <c:v>44032</c:v>
                </c:pt>
                <c:pt idx="631">
                  <c:v>44033</c:v>
                </c:pt>
                <c:pt idx="632">
                  <c:v>44034</c:v>
                </c:pt>
                <c:pt idx="633">
                  <c:v>44035</c:v>
                </c:pt>
                <c:pt idx="634">
                  <c:v>44036</c:v>
                </c:pt>
                <c:pt idx="635">
                  <c:v>44039</c:v>
                </c:pt>
                <c:pt idx="636">
                  <c:v>44040</c:v>
                </c:pt>
                <c:pt idx="637">
                  <c:v>44041</c:v>
                </c:pt>
                <c:pt idx="638">
                  <c:v>44042</c:v>
                </c:pt>
                <c:pt idx="639">
                  <c:v>44043</c:v>
                </c:pt>
                <c:pt idx="640">
                  <c:v>44046</c:v>
                </c:pt>
                <c:pt idx="641">
                  <c:v>44047</c:v>
                </c:pt>
                <c:pt idx="642">
                  <c:v>44048</c:v>
                </c:pt>
                <c:pt idx="643">
                  <c:v>44049</c:v>
                </c:pt>
                <c:pt idx="644">
                  <c:v>44050</c:v>
                </c:pt>
                <c:pt idx="645">
                  <c:v>44053</c:v>
                </c:pt>
                <c:pt idx="646">
                  <c:v>44054</c:v>
                </c:pt>
                <c:pt idx="647">
                  <c:v>44055</c:v>
                </c:pt>
                <c:pt idx="648">
                  <c:v>44056</c:v>
                </c:pt>
                <c:pt idx="649">
                  <c:v>44057</c:v>
                </c:pt>
                <c:pt idx="650">
                  <c:v>44060</c:v>
                </c:pt>
                <c:pt idx="651">
                  <c:v>44061</c:v>
                </c:pt>
                <c:pt idx="652">
                  <c:v>44062</c:v>
                </c:pt>
                <c:pt idx="653">
                  <c:v>44063</c:v>
                </c:pt>
                <c:pt idx="654">
                  <c:v>44064</c:v>
                </c:pt>
                <c:pt idx="655">
                  <c:v>44067</c:v>
                </c:pt>
                <c:pt idx="656">
                  <c:v>44068</c:v>
                </c:pt>
                <c:pt idx="657">
                  <c:v>44069</c:v>
                </c:pt>
                <c:pt idx="658">
                  <c:v>44070</c:v>
                </c:pt>
                <c:pt idx="659">
                  <c:v>44071</c:v>
                </c:pt>
                <c:pt idx="660">
                  <c:v>44074</c:v>
                </c:pt>
                <c:pt idx="661">
                  <c:v>44075</c:v>
                </c:pt>
                <c:pt idx="662">
                  <c:v>44076</c:v>
                </c:pt>
                <c:pt idx="663">
                  <c:v>44077</c:v>
                </c:pt>
                <c:pt idx="664">
                  <c:v>44078</c:v>
                </c:pt>
                <c:pt idx="665">
                  <c:v>44081</c:v>
                </c:pt>
                <c:pt idx="666">
                  <c:v>44082</c:v>
                </c:pt>
                <c:pt idx="667">
                  <c:v>44083</c:v>
                </c:pt>
                <c:pt idx="668">
                  <c:v>44084</c:v>
                </c:pt>
                <c:pt idx="669">
                  <c:v>44085</c:v>
                </c:pt>
                <c:pt idx="670">
                  <c:v>44088</c:v>
                </c:pt>
                <c:pt idx="671">
                  <c:v>44089</c:v>
                </c:pt>
                <c:pt idx="672">
                  <c:v>44090</c:v>
                </c:pt>
                <c:pt idx="673">
                  <c:v>44091</c:v>
                </c:pt>
                <c:pt idx="674">
                  <c:v>44092</c:v>
                </c:pt>
                <c:pt idx="675">
                  <c:v>44096</c:v>
                </c:pt>
                <c:pt idx="676">
                  <c:v>44097</c:v>
                </c:pt>
                <c:pt idx="677">
                  <c:v>44098</c:v>
                </c:pt>
                <c:pt idx="678">
                  <c:v>44099</c:v>
                </c:pt>
                <c:pt idx="679">
                  <c:v>44102</c:v>
                </c:pt>
                <c:pt idx="680">
                  <c:v>44103</c:v>
                </c:pt>
                <c:pt idx="681">
                  <c:v>44104</c:v>
                </c:pt>
                <c:pt idx="682">
                  <c:v>44105</c:v>
                </c:pt>
                <c:pt idx="683">
                  <c:v>44106</c:v>
                </c:pt>
                <c:pt idx="684">
                  <c:v>44109</c:v>
                </c:pt>
                <c:pt idx="685">
                  <c:v>44110</c:v>
                </c:pt>
                <c:pt idx="686">
                  <c:v>44111</c:v>
                </c:pt>
                <c:pt idx="687">
                  <c:v>44112</c:v>
                </c:pt>
                <c:pt idx="688">
                  <c:v>44113</c:v>
                </c:pt>
                <c:pt idx="689">
                  <c:v>44116</c:v>
                </c:pt>
                <c:pt idx="690">
                  <c:v>44117</c:v>
                </c:pt>
                <c:pt idx="691">
                  <c:v>44118</c:v>
                </c:pt>
                <c:pt idx="692">
                  <c:v>44119</c:v>
                </c:pt>
                <c:pt idx="693">
                  <c:v>44120</c:v>
                </c:pt>
                <c:pt idx="694">
                  <c:v>44123</c:v>
                </c:pt>
                <c:pt idx="695">
                  <c:v>44124</c:v>
                </c:pt>
                <c:pt idx="696">
                  <c:v>44125</c:v>
                </c:pt>
                <c:pt idx="697">
                  <c:v>44126</c:v>
                </c:pt>
                <c:pt idx="698">
                  <c:v>44127</c:v>
                </c:pt>
                <c:pt idx="699">
                  <c:v>44130</c:v>
                </c:pt>
                <c:pt idx="700">
                  <c:v>44131</c:v>
                </c:pt>
                <c:pt idx="701">
                  <c:v>44132</c:v>
                </c:pt>
                <c:pt idx="702">
                  <c:v>44133</c:v>
                </c:pt>
                <c:pt idx="703">
                  <c:v>44134</c:v>
                </c:pt>
                <c:pt idx="704">
                  <c:v>44137</c:v>
                </c:pt>
                <c:pt idx="705">
                  <c:v>44138</c:v>
                </c:pt>
                <c:pt idx="706">
                  <c:v>44139</c:v>
                </c:pt>
                <c:pt idx="707">
                  <c:v>44140</c:v>
                </c:pt>
                <c:pt idx="708">
                  <c:v>44141</c:v>
                </c:pt>
                <c:pt idx="709">
                  <c:v>44144</c:v>
                </c:pt>
                <c:pt idx="710">
                  <c:v>44145</c:v>
                </c:pt>
                <c:pt idx="711">
                  <c:v>44146</c:v>
                </c:pt>
                <c:pt idx="712">
                  <c:v>44147</c:v>
                </c:pt>
                <c:pt idx="713">
                  <c:v>44148</c:v>
                </c:pt>
                <c:pt idx="714">
                  <c:v>44151</c:v>
                </c:pt>
                <c:pt idx="715">
                  <c:v>44152</c:v>
                </c:pt>
                <c:pt idx="716">
                  <c:v>44153</c:v>
                </c:pt>
                <c:pt idx="717">
                  <c:v>44154</c:v>
                </c:pt>
                <c:pt idx="718">
                  <c:v>44155</c:v>
                </c:pt>
                <c:pt idx="719">
                  <c:v>44158</c:v>
                </c:pt>
                <c:pt idx="720">
                  <c:v>44159</c:v>
                </c:pt>
                <c:pt idx="721">
                  <c:v>44160</c:v>
                </c:pt>
                <c:pt idx="722">
                  <c:v>44161</c:v>
                </c:pt>
                <c:pt idx="723">
                  <c:v>44162</c:v>
                </c:pt>
                <c:pt idx="724">
                  <c:v>44165</c:v>
                </c:pt>
                <c:pt idx="725">
                  <c:v>44166</c:v>
                </c:pt>
                <c:pt idx="726">
                  <c:v>44167</c:v>
                </c:pt>
                <c:pt idx="727">
                  <c:v>44168</c:v>
                </c:pt>
                <c:pt idx="728">
                  <c:v>44169</c:v>
                </c:pt>
                <c:pt idx="729">
                  <c:v>44172</c:v>
                </c:pt>
                <c:pt idx="730">
                  <c:v>44173</c:v>
                </c:pt>
                <c:pt idx="731">
                  <c:v>44174</c:v>
                </c:pt>
                <c:pt idx="732">
                  <c:v>44175</c:v>
                </c:pt>
                <c:pt idx="733">
                  <c:v>44176</c:v>
                </c:pt>
                <c:pt idx="734">
                  <c:v>44179</c:v>
                </c:pt>
                <c:pt idx="735">
                  <c:v>44180</c:v>
                </c:pt>
                <c:pt idx="736">
                  <c:v>44181</c:v>
                </c:pt>
                <c:pt idx="737">
                  <c:v>44182</c:v>
                </c:pt>
                <c:pt idx="738">
                  <c:v>44183</c:v>
                </c:pt>
                <c:pt idx="739">
                  <c:v>44186</c:v>
                </c:pt>
                <c:pt idx="740">
                  <c:v>44187</c:v>
                </c:pt>
                <c:pt idx="741">
                  <c:v>44188</c:v>
                </c:pt>
                <c:pt idx="742">
                  <c:v>44189</c:v>
                </c:pt>
                <c:pt idx="743">
                  <c:v>44190</c:v>
                </c:pt>
                <c:pt idx="744">
                  <c:v>44193</c:v>
                </c:pt>
                <c:pt idx="745">
                  <c:v>44194</c:v>
                </c:pt>
                <c:pt idx="746">
                  <c:v>44195</c:v>
                </c:pt>
                <c:pt idx="747">
                  <c:v>44204</c:v>
                </c:pt>
                <c:pt idx="748">
                  <c:v>44207</c:v>
                </c:pt>
                <c:pt idx="749">
                  <c:v>44208</c:v>
                </c:pt>
                <c:pt idx="750">
                  <c:v>44209</c:v>
                </c:pt>
                <c:pt idx="751">
                  <c:v>44210</c:v>
                </c:pt>
                <c:pt idx="752">
                  <c:v>44211</c:v>
                </c:pt>
                <c:pt idx="753">
                  <c:v>44214</c:v>
                </c:pt>
                <c:pt idx="754">
                  <c:v>44215</c:v>
                </c:pt>
                <c:pt idx="755">
                  <c:v>44216</c:v>
                </c:pt>
                <c:pt idx="756">
                  <c:v>44217</c:v>
                </c:pt>
                <c:pt idx="757">
                  <c:v>44218</c:v>
                </c:pt>
                <c:pt idx="758">
                  <c:v>44221</c:v>
                </c:pt>
                <c:pt idx="759">
                  <c:v>44222</c:v>
                </c:pt>
                <c:pt idx="760">
                  <c:v>44223</c:v>
                </c:pt>
                <c:pt idx="761">
                  <c:v>44225</c:v>
                </c:pt>
                <c:pt idx="762">
                  <c:v>44228</c:v>
                </c:pt>
                <c:pt idx="763">
                  <c:v>44229</c:v>
                </c:pt>
                <c:pt idx="764">
                  <c:v>44230</c:v>
                </c:pt>
                <c:pt idx="765">
                  <c:v>44231</c:v>
                </c:pt>
                <c:pt idx="766">
                  <c:v>44232</c:v>
                </c:pt>
                <c:pt idx="767">
                  <c:v>44235</c:v>
                </c:pt>
                <c:pt idx="768">
                  <c:v>44236</c:v>
                </c:pt>
                <c:pt idx="769">
                  <c:v>44237</c:v>
                </c:pt>
                <c:pt idx="770">
                  <c:v>44238</c:v>
                </c:pt>
                <c:pt idx="771">
                  <c:v>44239</c:v>
                </c:pt>
                <c:pt idx="772">
                  <c:v>44242</c:v>
                </c:pt>
                <c:pt idx="773">
                  <c:v>44243</c:v>
                </c:pt>
                <c:pt idx="774">
                  <c:v>44244</c:v>
                </c:pt>
                <c:pt idx="775">
                  <c:v>44245</c:v>
                </c:pt>
                <c:pt idx="776">
                  <c:v>44246</c:v>
                </c:pt>
                <c:pt idx="777">
                  <c:v>44249</c:v>
                </c:pt>
                <c:pt idx="778">
                  <c:v>44250</c:v>
                </c:pt>
                <c:pt idx="779">
                  <c:v>44251</c:v>
                </c:pt>
                <c:pt idx="780">
                  <c:v>44252</c:v>
                </c:pt>
                <c:pt idx="781">
                  <c:v>44253</c:v>
                </c:pt>
                <c:pt idx="782">
                  <c:v>44256</c:v>
                </c:pt>
                <c:pt idx="783">
                  <c:v>44257</c:v>
                </c:pt>
                <c:pt idx="784">
                  <c:v>44258</c:v>
                </c:pt>
                <c:pt idx="785">
                  <c:v>44259</c:v>
                </c:pt>
                <c:pt idx="786">
                  <c:v>44260</c:v>
                </c:pt>
                <c:pt idx="787">
                  <c:v>44264</c:v>
                </c:pt>
                <c:pt idx="788">
                  <c:v>44265</c:v>
                </c:pt>
                <c:pt idx="789">
                  <c:v>44266</c:v>
                </c:pt>
                <c:pt idx="790">
                  <c:v>44267</c:v>
                </c:pt>
                <c:pt idx="791">
                  <c:v>44270</c:v>
                </c:pt>
                <c:pt idx="792">
                  <c:v>44271</c:v>
                </c:pt>
                <c:pt idx="793">
                  <c:v>44272</c:v>
                </c:pt>
                <c:pt idx="794">
                  <c:v>44273</c:v>
                </c:pt>
                <c:pt idx="795">
                  <c:v>44274</c:v>
                </c:pt>
                <c:pt idx="796">
                  <c:v>44277</c:v>
                </c:pt>
                <c:pt idx="797">
                  <c:v>44278</c:v>
                </c:pt>
                <c:pt idx="798">
                  <c:v>44279</c:v>
                </c:pt>
                <c:pt idx="799">
                  <c:v>44280</c:v>
                </c:pt>
                <c:pt idx="800">
                  <c:v>44281</c:v>
                </c:pt>
                <c:pt idx="801">
                  <c:v>44284</c:v>
                </c:pt>
                <c:pt idx="802">
                  <c:v>44285</c:v>
                </c:pt>
                <c:pt idx="803">
                  <c:v>44286</c:v>
                </c:pt>
                <c:pt idx="804">
                  <c:v>44287</c:v>
                </c:pt>
                <c:pt idx="805">
                  <c:v>44288</c:v>
                </c:pt>
                <c:pt idx="806">
                  <c:v>44291</c:v>
                </c:pt>
                <c:pt idx="807">
                  <c:v>44292</c:v>
                </c:pt>
                <c:pt idx="808">
                  <c:v>44293</c:v>
                </c:pt>
                <c:pt idx="809">
                  <c:v>44294</c:v>
                </c:pt>
                <c:pt idx="810">
                  <c:v>44295</c:v>
                </c:pt>
                <c:pt idx="811">
                  <c:v>44298</c:v>
                </c:pt>
                <c:pt idx="812">
                  <c:v>44299</c:v>
                </c:pt>
                <c:pt idx="813">
                  <c:v>44300</c:v>
                </c:pt>
                <c:pt idx="814">
                  <c:v>44301</c:v>
                </c:pt>
                <c:pt idx="815">
                  <c:v>44302</c:v>
                </c:pt>
                <c:pt idx="816">
                  <c:v>44305</c:v>
                </c:pt>
                <c:pt idx="817">
                  <c:v>44306</c:v>
                </c:pt>
                <c:pt idx="818">
                  <c:v>44307</c:v>
                </c:pt>
                <c:pt idx="819">
                  <c:v>44308</c:v>
                </c:pt>
                <c:pt idx="820">
                  <c:v>44309</c:v>
                </c:pt>
                <c:pt idx="821">
                  <c:v>44312</c:v>
                </c:pt>
                <c:pt idx="822">
                  <c:v>44313</c:v>
                </c:pt>
                <c:pt idx="823">
                  <c:v>44314</c:v>
                </c:pt>
                <c:pt idx="824">
                  <c:v>44315</c:v>
                </c:pt>
                <c:pt idx="825">
                  <c:v>44316</c:v>
                </c:pt>
                <c:pt idx="826">
                  <c:v>44319</c:v>
                </c:pt>
                <c:pt idx="827">
                  <c:v>44320</c:v>
                </c:pt>
                <c:pt idx="828">
                  <c:v>44321</c:v>
                </c:pt>
                <c:pt idx="829">
                  <c:v>44322</c:v>
                </c:pt>
                <c:pt idx="830">
                  <c:v>44323</c:v>
                </c:pt>
                <c:pt idx="831">
                  <c:v>44326</c:v>
                </c:pt>
                <c:pt idx="832">
                  <c:v>44327</c:v>
                </c:pt>
                <c:pt idx="833">
                  <c:v>44328</c:v>
                </c:pt>
                <c:pt idx="834">
                  <c:v>44329</c:v>
                </c:pt>
                <c:pt idx="835">
                  <c:v>44330</c:v>
                </c:pt>
                <c:pt idx="836">
                  <c:v>44333</c:v>
                </c:pt>
                <c:pt idx="837">
                  <c:v>44334</c:v>
                </c:pt>
                <c:pt idx="838">
                  <c:v>44335</c:v>
                </c:pt>
                <c:pt idx="839">
                  <c:v>44336</c:v>
                </c:pt>
                <c:pt idx="840">
                  <c:v>44337</c:v>
                </c:pt>
                <c:pt idx="841">
                  <c:v>44340</c:v>
                </c:pt>
                <c:pt idx="842">
                  <c:v>44341</c:v>
                </c:pt>
                <c:pt idx="843">
                  <c:v>44342</c:v>
                </c:pt>
                <c:pt idx="844">
                  <c:v>44343</c:v>
                </c:pt>
                <c:pt idx="845">
                  <c:v>44347</c:v>
                </c:pt>
                <c:pt idx="846">
                  <c:v>44348</c:v>
                </c:pt>
                <c:pt idx="847">
                  <c:v>44349</c:v>
                </c:pt>
                <c:pt idx="848">
                  <c:v>44350</c:v>
                </c:pt>
                <c:pt idx="849">
                  <c:v>44351</c:v>
                </c:pt>
                <c:pt idx="850">
                  <c:v>44354</c:v>
                </c:pt>
                <c:pt idx="851">
                  <c:v>44355</c:v>
                </c:pt>
                <c:pt idx="852">
                  <c:v>44356</c:v>
                </c:pt>
                <c:pt idx="853">
                  <c:v>44357</c:v>
                </c:pt>
                <c:pt idx="854">
                  <c:v>44358</c:v>
                </c:pt>
                <c:pt idx="855">
                  <c:v>44361</c:v>
                </c:pt>
                <c:pt idx="856">
                  <c:v>44362</c:v>
                </c:pt>
                <c:pt idx="857">
                  <c:v>44363</c:v>
                </c:pt>
                <c:pt idx="858">
                  <c:v>44364</c:v>
                </c:pt>
                <c:pt idx="859">
                  <c:v>44365</c:v>
                </c:pt>
                <c:pt idx="860">
                  <c:v>44368</c:v>
                </c:pt>
                <c:pt idx="861">
                  <c:v>44369</c:v>
                </c:pt>
                <c:pt idx="862">
                  <c:v>44370</c:v>
                </c:pt>
                <c:pt idx="863">
                  <c:v>44371</c:v>
                </c:pt>
                <c:pt idx="864">
                  <c:v>44372</c:v>
                </c:pt>
                <c:pt idx="865">
                  <c:v>44375</c:v>
                </c:pt>
                <c:pt idx="866">
                  <c:v>44376</c:v>
                </c:pt>
                <c:pt idx="867">
                  <c:v>44377</c:v>
                </c:pt>
                <c:pt idx="868">
                  <c:v>44378</c:v>
                </c:pt>
                <c:pt idx="869">
                  <c:v>44379</c:v>
                </c:pt>
                <c:pt idx="870">
                  <c:v>44383</c:v>
                </c:pt>
                <c:pt idx="871">
                  <c:v>44384</c:v>
                </c:pt>
                <c:pt idx="872">
                  <c:v>44385</c:v>
                </c:pt>
                <c:pt idx="873">
                  <c:v>44386</c:v>
                </c:pt>
                <c:pt idx="874">
                  <c:v>44389</c:v>
                </c:pt>
              </c:numCache>
            </c:numRef>
          </c:cat>
          <c:val>
            <c:numRef>
              <c:f>Sheet1!$D$2:$D$876</c:f>
              <c:numCache>
                <c:formatCode>_(* #\,##0_);_(* \(#\,##0\);_(* "-"??_);_(@_)</c:formatCode>
                <c:ptCount val="875"/>
                <c:pt idx="0">
                  <c:v>100</c:v>
                </c:pt>
                <c:pt idx="1">
                  <c:v>99.537466900512385</c:v>
                </c:pt>
                <c:pt idx="2">
                  <c:v>99.4962000068778</c:v>
                </c:pt>
                <c:pt idx="3">
                  <c:v>99.4962000068778</c:v>
                </c:pt>
                <c:pt idx="4">
                  <c:v>100.78750988685992</c:v>
                </c:pt>
                <c:pt idx="5">
                  <c:v>101.85529075965472</c:v>
                </c:pt>
                <c:pt idx="6">
                  <c:v>101.58877540493138</c:v>
                </c:pt>
                <c:pt idx="7">
                  <c:v>101.64207847587603</c:v>
                </c:pt>
                <c:pt idx="8">
                  <c:v>101.37212421334981</c:v>
                </c:pt>
                <c:pt idx="9">
                  <c:v>101.77447642628699</c:v>
                </c:pt>
                <c:pt idx="10">
                  <c:v>101.44090236940747</c:v>
                </c:pt>
                <c:pt idx="11">
                  <c:v>101.30850441899652</c:v>
                </c:pt>
                <c:pt idx="12">
                  <c:v>102.00144434127719</c:v>
                </c:pt>
                <c:pt idx="13">
                  <c:v>102.71157880257229</c:v>
                </c:pt>
                <c:pt idx="14">
                  <c:v>102.87492692320917</c:v>
                </c:pt>
                <c:pt idx="15">
                  <c:v>102.58777812166855</c:v>
                </c:pt>
                <c:pt idx="16">
                  <c:v>102.49320815708931</c:v>
                </c:pt>
                <c:pt idx="17">
                  <c:v>102.98669142680285</c:v>
                </c:pt>
                <c:pt idx="18">
                  <c:v>102.93166890195674</c:v>
                </c:pt>
                <c:pt idx="19">
                  <c:v>103.26696241273773</c:v>
                </c:pt>
                <c:pt idx="20">
                  <c:v>103.16723408645414</c:v>
                </c:pt>
                <c:pt idx="21">
                  <c:v>102.79755149764435</c:v>
                </c:pt>
                <c:pt idx="22">
                  <c:v>102.42786890883455</c:v>
                </c:pt>
                <c:pt idx="23">
                  <c:v>101.32226005020804</c:v>
                </c:pt>
                <c:pt idx="24">
                  <c:v>101.87592420647201</c:v>
                </c:pt>
                <c:pt idx="25">
                  <c:v>101.7538429794697</c:v>
                </c:pt>
                <c:pt idx="26">
                  <c:v>102.12696447608238</c:v>
                </c:pt>
                <c:pt idx="27">
                  <c:v>102.29547095842356</c:v>
                </c:pt>
                <c:pt idx="28">
                  <c:v>103.31338766807659</c:v>
                </c:pt>
                <c:pt idx="29">
                  <c:v>103.60053646961721</c:v>
                </c:pt>
                <c:pt idx="30">
                  <c:v>102.58949757556995</c:v>
                </c:pt>
                <c:pt idx="31">
                  <c:v>102.00316379517861</c:v>
                </c:pt>
                <c:pt idx="32">
                  <c:v>101.85357130575325</c:v>
                </c:pt>
                <c:pt idx="33">
                  <c:v>101.56298359640972</c:v>
                </c:pt>
                <c:pt idx="34">
                  <c:v>101.70741772413078</c:v>
                </c:pt>
                <c:pt idx="35">
                  <c:v>102.0323945115031</c:v>
                </c:pt>
                <c:pt idx="36">
                  <c:v>101.99800543347429</c:v>
                </c:pt>
                <c:pt idx="37">
                  <c:v>101.01791670965297</c:v>
                </c:pt>
                <c:pt idx="38">
                  <c:v>100.73076790811234</c:v>
                </c:pt>
                <c:pt idx="39">
                  <c:v>101.47873035523912</c:v>
                </c:pt>
                <c:pt idx="40">
                  <c:v>101.85701021355614</c:v>
                </c:pt>
                <c:pt idx="41">
                  <c:v>101.82606004333022</c:v>
                </c:pt>
                <c:pt idx="42">
                  <c:v>102.6789091784449</c:v>
                </c:pt>
                <c:pt idx="43">
                  <c:v>101.78479314969563</c:v>
                </c:pt>
                <c:pt idx="44">
                  <c:v>101.85529075965469</c:v>
                </c:pt>
                <c:pt idx="45">
                  <c:v>102.13556174558957</c:v>
                </c:pt>
                <c:pt idx="46">
                  <c:v>102.0994532136593</c:v>
                </c:pt>
                <c:pt idx="47">
                  <c:v>101.76931806458265</c:v>
                </c:pt>
                <c:pt idx="48">
                  <c:v>101.78135424189276</c:v>
                </c:pt>
                <c:pt idx="49">
                  <c:v>101.43574400770312</c:v>
                </c:pt>
                <c:pt idx="50">
                  <c:v>101.64895629148181</c:v>
                </c:pt>
                <c:pt idx="51">
                  <c:v>101.40651329137864</c:v>
                </c:pt>
                <c:pt idx="52">
                  <c:v>101.81746277382301</c:v>
                </c:pt>
                <c:pt idx="53">
                  <c:v>101.75040407166682</c:v>
                </c:pt>
                <c:pt idx="54">
                  <c:v>102.48289143368063</c:v>
                </c:pt>
                <c:pt idx="55">
                  <c:v>102.50696378830081</c:v>
                </c:pt>
                <c:pt idx="56">
                  <c:v>102.33845730595959</c:v>
                </c:pt>
                <c:pt idx="57">
                  <c:v>101.64551738367891</c:v>
                </c:pt>
                <c:pt idx="58">
                  <c:v>101.74352625606103</c:v>
                </c:pt>
                <c:pt idx="59">
                  <c:v>101.62316448296016</c:v>
                </c:pt>
                <c:pt idx="60">
                  <c:v>101.38587984456133</c:v>
                </c:pt>
                <c:pt idx="61">
                  <c:v>101.35492967433541</c:v>
                </c:pt>
                <c:pt idx="62">
                  <c:v>101.14343684445818</c:v>
                </c:pt>
                <c:pt idx="63">
                  <c:v>101.20189827710719</c:v>
                </c:pt>
                <c:pt idx="64">
                  <c:v>101.42198837649161</c:v>
                </c:pt>
                <c:pt idx="65">
                  <c:v>102.07881976684203</c:v>
                </c:pt>
                <c:pt idx="66">
                  <c:v>102.8164654905602</c:v>
                </c:pt>
                <c:pt idx="67">
                  <c:v>102.60325320678153</c:v>
                </c:pt>
                <c:pt idx="68">
                  <c:v>102.43302727053887</c:v>
                </c:pt>
                <c:pt idx="69">
                  <c:v>102.54651122803396</c:v>
                </c:pt>
                <c:pt idx="70">
                  <c:v>102.49148870318787</c:v>
                </c:pt>
                <c:pt idx="71">
                  <c:v>102.27999587331063</c:v>
                </c:pt>
                <c:pt idx="72">
                  <c:v>102.12696447608239</c:v>
                </c:pt>
                <c:pt idx="73">
                  <c:v>101.56298359640975</c:v>
                </c:pt>
                <c:pt idx="74">
                  <c:v>100.97493036211696</c:v>
                </c:pt>
                <c:pt idx="75">
                  <c:v>100.82877678049448</c:v>
                </c:pt>
                <c:pt idx="76">
                  <c:v>100.91131056776364</c:v>
                </c:pt>
                <c:pt idx="77">
                  <c:v>100.39891330513424</c:v>
                </c:pt>
                <c:pt idx="78">
                  <c:v>99.728326283572301</c:v>
                </c:pt>
                <c:pt idx="79">
                  <c:v>99.929502390040881</c:v>
                </c:pt>
                <c:pt idx="80">
                  <c:v>99.695656659444907</c:v>
                </c:pt>
                <c:pt idx="81">
                  <c:v>99.822896248151551</c:v>
                </c:pt>
                <c:pt idx="82">
                  <c:v>99.724887375769427</c:v>
                </c:pt>
                <c:pt idx="83">
                  <c:v>99.406788404002853</c:v>
                </c:pt>
                <c:pt idx="84">
                  <c:v>99.348326971353856</c:v>
                </c:pt>
                <c:pt idx="85">
                  <c:v>99.747240276488156</c:v>
                </c:pt>
                <c:pt idx="86">
                  <c:v>99.941538567350975</c:v>
                </c:pt>
                <c:pt idx="87">
                  <c:v>99.365521510368268</c:v>
                </c:pt>
                <c:pt idx="88">
                  <c:v>98.199731765191345</c:v>
                </c:pt>
                <c:pt idx="89">
                  <c:v>98.096564531104889</c:v>
                </c:pt>
                <c:pt idx="90">
                  <c:v>97.885071701227645</c:v>
                </c:pt>
                <c:pt idx="91">
                  <c:v>97.580728360672609</c:v>
                </c:pt>
                <c:pt idx="92">
                  <c:v>98.139550878640904</c:v>
                </c:pt>
                <c:pt idx="93">
                  <c:v>97.254032119398843</c:v>
                </c:pt>
                <c:pt idx="94">
                  <c:v>97.338285360569458</c:v>
                </c:pt>
                <c:pt idx="95">
                  <c:v>97.211045771862828</c:v>
                </c:pt>
                <c:pt idx="96">
                  <c:v>95.859555005330279</c:v>
                </c:pt>
                <c:pt idx="97">
                  <c:v>96.428694246707195</c:v>
                </c:pt>
                <c:pt idx="98">
                  <c:v>97.085525637057629</c:v>
                </c:pt>
                <c:pt idx="99">
                  <c:v>97.264348842807479</c:v>
                </c:pt>
                <c:pt idx="100">
                  <c:v>97.405344062725646</c:v>
                </c:pt>
                <c:pt idx="101">
                  <c:v>97.188692871144099</c:v>
                </c:pt>
                <c:pt idx="102">
                  <c:v>97.826610268578676</c:v>
                </c:pt>
                <c:pt idx="103">
                  <c:v>98.289143368066263</c:v>
                </c:pt>
                <c:pt idx="104">
                  <c:v>97.7354792118023</c:v>
                </c:pt>
                <c:pt idx="105">
                  <c:v>97.952130403383848</c:v>
                </c:pt>
                <c:pt idx="106">
                  <c:v>97.910863509749262</c:v>
                </c:pt>
                <c:pt idx="107">
                  <c:v>97.601361807489909</c:v>
                </c:pt>
                <c:pt idx="108">
                  <c:v>98.151587055950998</c:v>
                </c:pt>
                <c:pt idx="109">
                  <c:v>96.298015750197692</c:v>
                </c:pt>
                <c:pt idx="110">
                  <c:v>96.222359778534312</c:v>
                </c:pt>
                <c:pt idx="111">
                  <c:v>95.775301764159678</c:v>
                </c:pt>
                <c:pt idx="112">
                  <c:v>95.859555005330279</c:v>
                </c:pt>
                <c:pt idx="113">
                  <c:v>95.498469686027676</c:v>
                </c:pt>
                <c:pt idx="114">
                  <c:v>96.59892018294984</c:v>
                </c:pt>
                <c:pt idx="115">
                  <c:v>96.604078544654172</c:v>
                </c:pt>
                <c:pt idx="116">
                  <c:v>96.581725643935442</c:v>
                </c:pt>
                <c:pt idx="117">
                  <c:v>96.494033494961954</c:v>
                </c:pt>
                <c:pt idx="118">
                  <c:v>95.936930430895103</c:v>
                </c:pt>
                <c:pt idx="119">
                  <c:v>96.60063963685127</c:v>
                </c:pt>
                <c:pt idx="120">
                  <c:v>96.576567282231096</c:v>
                </c:pt>
                <c:pt idx="121">
                  <c:v>96.734757041163675</c:v>
                </c:pt>
                <c:pt idx="122">
                  <c:v>96.60923690635849</c:v>
                </c:pt>
                <c:pt idx="123">
                  <c:v>97.269507204511811</c:v>
                </c:pt>
                <c:pt idx="124">
                  <c:v>97.687334502561939</c:v>
                </c:pt>
                <c:pt idx="125">
                  <c:v>97.164620516523911</c:v>
                </c:pt>
                <c:pt idx="126">
                  <c:v>97.063172736338899</c:v>
                </c:pt>
                <c:pt idx="127">
                  <c:v>96.657381615598837</c:v>
                </c:pt>
                <c:pt idx="128">
                  <c:v>96.261907218267439</c:v>
                </c:pt>
                <c:pt idx="129">
                  <c:v>96.758829395783849</c:v>
                </c:pt>
                <c:pt idx="130">
                  <c:v>96.886068984490478</c:v>
                </c:pt>
                <c:pt idx="131">
                  <c:v>96.029780941572909</c:v>
                </c:pt>
                <c:pt idx="132">
                  <c:v>95.90082189896485</c:v>
                </c:pt>
                <c:pt idx="133">
                  <c:v>96.316929743113548</c:v>
                </c:pt>
                <c:pt idx="134">
                  <c:v>96.72444031775504</c:v>
                </c:pt>
                <c:pt idx="135">
                  <c:v>96.669417792908945</c:v>
                </c:pt>
                <c:pt idx="136">
                  <c:v>96.765707211389625</c:v>
                </c:pt>
                <c:pt idx="137">
                  <c:v>96.867154991574651</c:v>
                </c:pt>
                <c:pt idx="138">
                  <c:v>96.122631452250729</c:v>
                </c:pt>
                <c:pt idx="139">
                  <c:v>96.60579799855563</c:v>
                </c:pt>
                <c:pt idx="140">
                  <c:v>96.946249871040933</c:v>
                </c:pt>
                <c:pt idx="141">
                  <c:v>96.614395268062822</c:v>
                </c:pt>
                <c:pt idx="142">
                  <c:v>96.077925650813256</c:v>
                </c:pt>
                <c:pt idx="143">
                  <c:v>95.79593521097695</c:v>
                </c:pt>
                <c:pt idx="144">
                  <c:v>95.740912686130827</c:v>
                </c:pt>
                <c:pt idx="145">
                  <c:v>95.98507514013545</c:v>
                </c:pt>
                <c:pt idx="146">
                  <c:v>96.052133842291639</c:v>
                </c:pt>
                <c:pt idx="147">
                  <c:v>96.0590116578974</c:v>
                </c:pt>
                <c:pt idx="148">
                  <c:v>95.025619863131425</c:v>
                </c:pt>
                <c:pt idx="149">
                  <c:v>94.478833522473224</c:v>
                </c:pt>
                <c:pt idx="150">
                  <c:v>94.716118160872071</c:v>
                </c:pt>
                <c:pt idx="151">
                  <c:v>94.048970047113002</c:v>
                </c:pt>
                <c:pt idx="152">
                  <c:v>94.463358437360256</c:v>
                </c:pt>
                <c:pt idx="153">
                  <c:v>94.545892224629412</c:v>
                </c:pt>
                <c:pt idx="154">
                  <c:v>94.76254341621096</c:v>
                </c:pt>
                <c:pt idx="155">
                  <c:v>95.625709274734291</c:v>
                </c:pt>
                <c:pt idx="156">
                  <c:v>96.225798686337171</c:v>
                </c:pt>
                <c:pt idx="157">
                  <c:v>95.979916778431132</c:v>
                </c:pt>
                <c:pt idx="158">
                  <c:v>96.036658757178685</c:v>
                </c:pt>
                <c:pt idx="159">
                  <c:v>96.440730424017303</c:v>
                </c:pt>
                <c:pt idx="160">
                  <c:v>97.156023247016705</c:v>
                </c:pt>
                <c:pt idx="161">
                  <c:v>96.846521544757351</c:v>
                </c:pt>
                <c:pt idx="162">
                  <c:v>97.09412290656482</c:v>
                </c:pt>
                <c:pt idx="163">
                  <c:v>96.917019154716414</c:v>
                </c:pt>
                <c:pt idx="164">
                  <c:v>96.39602462257983</c:v>
                </c:pt>
                <c:pt idx="165">
                  <c:v>96.134667629560809</c:v>
                </c:pt>
                <c:pt idx="166">
                  <c:v>96.349599367240927</c:v>
                </c:pt>
                <c:pt idx="167">
                  <c:v>96.80697410502421</c:v>
                </c:pt>
                <c:pt idx="168">
                  <c:v>96.982358402971172</c:v>
                </c:pt>
                <c:pt idx="169">
                  <c:v>96.518105849582142</c:v>
                </c:pt>
                <c:pt idx="170">
                  <c:v>96.776023934798275</c:v>
                </c:pt>
                <c:pt idx="171">
                  <c:v>96.751951580178115</c:v>
                </c:pt>
                <c:pt idx="172">
                  <c:v>96.922177516420746</c:v>
                </c:pt>
                <c:pt idx="173">
                  <c:v>97.572131091165431</c:v>
                </c:pt>
                <c:pt idx="174">
                  <c:v>97.176656693834005</c:v>
                </c:pt>
                <c:pt idx="175">
                  <c:v>97.235118126483002</c:v>
                </c:pt>
                <c:pt idx="176">
                  <c:v>97.250593211595984</c:v>
                </c:pt>
                <c:pt idx="177">
                  <c:v>97.080367275353325</c:v>
                </c:pt>
                <c:pt idx="178">
                  <c:v>97.601361807489909</c:v>
                </c:pt>
                <c:pt idx="179">
                  <c:v>97.427696963444376</c:v>
                </c:pt>
                <c:pt idx="180">
                  <c:v>97.420819147838614</c:v>
                </c:pt>
                <c:pt idx="181">
                  <c:v>97.075208913648993</c:v>
                </c:pt>
                <c:pt idx="182">
                  <c:v>96.229237594140059</c:v>
                </c:pt>
                <c:pt idx="183">
                  <c:v>96.518105849582142</c:v>
                </c:pt>
                <c:pt idx="184">
                  <c:v>95.721998693215014</c:v>
                </c:pt>
                <c:pt idx="185">
                  <c:v>96.32208810481788</c:v>
                </c:pt>
                <c:pt idx="186">
                  <c:v>95.888785721654756</c:v>
                </c:pt>
                <c:pt idx="187">
                  <c:v>95.969600055022482</c:v>
                </c:pt>
                <c:pt idx="188">
                  <c:v>95.897382991161976</c:v>
                </c:pt>
                <c:pt idx="189">
                  <c:v>95.68932906908762</c:v>
                </c:pt>
                <c:pt idx="190">
                  <c:v>95.950686062106641</c:v>
                </c:pt>
                <c:pt idx="191">
                  <c:v>96.676295608514693</c:v>
                </c:pt>
                <c:pt idx="192">
                  <c:v>96.425255338904321</c:v>
                </c:pt>
                <c:pt idx="193">
                  <c:v>96.234395955844377</c:v>
                </c:pt>
                <c:pt idx="194">
                  <c:v>95.801093572681268</c:v>
                </c:pt>
                <c:pt idx="195">
                  <c:v>95.357474466109522</c:v>
                </c:pt>
                <c:pt idx="196">
                  <c:v>95.739193232229383</c:v>
                </c:pt>
                <c:pt idx="197">
                  <c:v>95.623989820832847</c:v>
                </c:pt>
                <c:pt idx="198">
                  <c:v>95.137384366725072</c:v>
                </c:pt>
                <c:pt idx="199">
                  <c:v>95.166615083049578</c:v>
                </c:pt>
                <c:pt idx="200">
                  <c:v>94.901819182227669</c:v>
                </c:pt>
                <c:pt idx="201">
                  <c:v>94.874307919804622</c:v>
                </c:pt>
                <c:pt idx="202">
                  <c:v>95.116750919907787</c:v>
                </c:pt>
                <c:pt idx="203">
                  <c:v>94.936208260256507</c:v>
                </c:pt>
                <c:pt idx="204">
                  <c:v>94.776299047422512</c:v>
                </c:pt>
                <c:pt idx="205">
                  <c:v>95.197565253275513</c:v>
                </c:pt>
                <c:pt idx="206">
                  <c:v>95.749509955638061</c:v>
                </c:pt>
                <c:pt idx="207">
                  <c:v>95.809690842188488</c:v>
                </c:pt>
                <c:pt idx="208">
                  <c:v>95.427972076068599</c:v>
                </c:pt>
                <c:pt idx="209">
                  <c:v>95.649781629354479</c:v>
                </c:pt>
                <c:pt idx="210">
                  <c:v>96.327246466522197</c:v>
                </c:pt>
                <c:pt idx="211">
                  <c:v>95.747790501736617</c:v>
                </c:pt>
                <c:pt idx="212">
                  <c:v>95.118470373809245</c:v>
                </c:pt>
                <c:pt idx="213">
                  <c:v>94.542453316826538</c:v>
                </c:pt>
                <c:pt idx="214">
                  <c:v>94.403177550809815</c:v>
                </c:pt>
                <c:pt idx="215">
                  <c:v>94.557928401939478</c:v>
                </c:pt>
                <c:pt idx="216">
                  <c:v>94.516661508304921</c:v>
                </c:pt>
                <c:pt idx="217">
                  <c:v>94.692045806251897</c:v>
                </c:pt>
                <c:pt idx="218">
                  <c:v>95.302451941263413</c:v>
                </c:pt>
                <c:pt idx="219">
                  <c:v>95.250868324220193</c:v>
                </c:pt>
                <c:pt idx="220">
                  <c:v>94.796932494239798</c:v>
                </c:pt>
                <c:pt idx="221">
                  <c:v>94.948244437566601</c:v>
                </c:pt>
                <c:pt idx="222">
                  <c:v>94.78145740912683</c:v>
                </c:pt>
                <c:pt idx="223">
                  <c:v>94.791774132535465</c:v>
                </c:pt>
                <c:pt idx="224">
                  <c:v>94.349874479865164</c:v>
                </c:pt>
                <c:pt idx="225">
                  <c:v>94.085078579043255</c:v>
                </c:pt>
                <c:pt idx="226">
                  <c:v>94.845077203480159</c:v>
                </c:pt>
                <c:pt idx="227">
                  <c:v>94.872588465903206</c:v>
                </c:pt>
                <c:pt idx="228">
                  <c:v>94.796932494239812</c:v>
                </c:pt>
                <c:pt idx="229">
                  <c:v>95.19068743766978</c:v>
                </c:pt>
                <c:pt idx="230">
                  <c:v>94.575122940953932</c:v>
                </c:pt>
                <c:pt idx="231">
                  <c:v>94.602634203377008</c:v>
                </c:pt>
                <c:pt idx="232">
                  <c:v>94.79177413253548</c:v>
                </c:pt>
                <c:pt idx="233">
                  <c:v>95.16833453695105</c:v>
                </c:pt>
                <c:pt idx="234">
                  <c:v>94.974036246088232</c:v>
                </c:pt>
                <c:pt idx="235">
                  <c:v>94.542453316826567</c:v>
                </c:pt>
                <c:pt idx="236">
                  <c:v>94.879466281508982</c:v>
                </c:pt>
                <c:pt idx="237">
                  <c:v>94.117748203170677</c:v>
                </c:pt>
                <c:pt idx="238">
                  <c:v>94.41865263592284</c:v>
                </c:pt>
                <c:pt idx="239">
                  <c:v>94.814127033254238</c:v>
                </c:pt>
                <c:pt idx="240">
                  <c:v>94.846796657381617</c:v>
                </c:pt>
                <c:pt idx="241">
                  <c:v>95.60163692011416</c:v>
                </c:pt>
                <c:pt idx="242">
                  <c:v>95.166615083049621</c:v>
                </c:pt>
                <c:pt idx="243">
                  <c:v>94.834760480071509</c:v>
                </c:pt>
                <c:pt idx="244">
                  <c:v>94.831321572268635</c:v>
                </c:pt>
                <c:pt idx="245">
                  <c:v>94.702362529660562</c:v>
                </c:pt>
                <c:pt idx="246">
                  <c:v>94.817565941057111</c:v>
                </c:pt>
                <c:pt idx="247">
                  <c:v>95.197565253275542</c:v>
                </c:pt>
                <c:pt idx="248">
                  <c:v>95.354035558306663</c:v>
                </c:pt>
                <c:pt idx="249">
                  <c:v>95.544894941366607</c:v>
                </c:pt>
                <c:pt idx="250">
                  <c:v>96.172495615392563</c:v>
                </c:pt>
                <c:pt idx="251">
                  <c:v>96.246432133154514</c:v>
                </c:pt>
                <c:pt idx="252">
                  <c:v>95.862993913133195</c:v>
                </c:pt>
                <c:pt idx="253">
                  <c:v>95.672134530073251</c:v>
                </c:pt>
                <c:pt idx="254">
                  <c:v>95.453763884590259</c:v>
                </c:pt>
                <c:pt idx="255">
                  <c:v>95.159737267443859</c:v>
                </c:pt>
                <c:pt idx="256">
                  <c:v>95.151139997936667</c:v>
                </c:pt>
                <c:pt idx="257">
                  <c:v>94.857113380790267</c:v>
                </c:pt>
                <c:pt idx="258">
                  <c:v>94.767701777915349</c:v>
                </c:pt>
                <c:pt idx="259">
                  <c:v>94.728154338182208</c:v>
                </c:pt>
                <c:pt idx="260">
                  <c:v>94.771140685718223</c:v>
                </c:pt>
                <c:pt idx="261">
                  <c:v>94.614670380687116</c:v>
                </c:pt>
                <c:pt idx="262">
                  <c:v>95.713401423707836</c:v>
                </c:pt>
                <c:pt idx="263">
                  <c:v>95.62055091303003</c:v>
                </c:pt>
                <c:pt idx="264">
                  <c:v>96.143264899068072</c:v>
                </c:pt>
                <c:pt idx="265">
                  <c:v>96.060731111798901</c:v>
                </c:pt>
                <c:pt idx="266">
                  <c:v>95.907699714570668</c:v>
                </c:pt>
                <c:pt idx="267">
                  <c:v>95.756387771243865</c:v>
                </c:pt>
                <c:pt idx="268">
                  <c:v>95.606795281818506</c:v>
                </c:pt>
                <c:pt idx="269">
                  <c:v>95.295574125657708</c:v>
                </c:pt>
                <c:pt idx="270">
                  <c:v>95.268062863234647</c:v>
                </c:pt>
                <c:pt idx="271">
                  <c:v>95.202723614979888</c:v>
                </c:pt>
                <c:pt idx="272">
                  <c:v>94.913855359537834</c:v>
                </c:pt>
                <c:pt idx="273">
                  <c:v>95.13394545892227</c:v>
                </c:pt>
                <c:pt idx="274">
                  <c:v>94.580281302658292</c:v>
                </c:pt>
                <c:pt idx="275">
                  <c:v>94.588878572165498</c:v>
                </c:pt>
                <c:pt idx="276">
                  <c:v>94.833041026170093</c:v>
                </c:pt>
                <c:pt idx="277">
                  <c:v>94.753946146703825</c:v>
                </c:pt>
                <c:pt idx="278">
                  <c:v>95.12362873551362</c:v>
                </c:pt>
                <c:pt idx="279">
                  <c:v>95.041094948244449</c:v>
                </c:pt>
                <c:pt idx="280">
                  <c:v>95.283537948347615</c:v>
                </c:pt>
                <c:pt idx="281">
                  <c:v>95.390144090236959</c:v>
                </c:pt>
                <c:pt idx="282">
                  <c:v>95.544894941366636</c:v>
                </c:pt>
                <c:pt idx="283">
                  <c:v>95.893944083359159</c:v>
                </c:pt>
                <c:pt idx="284">
                  <c:v>95.918016437979318</c:v>
                </c:pt>
                <c:pt idx="285">
                  <c:v>95.730595962722248</c:v>
                </c:pt>
                <c:pt idx="286">
                  <c:v>95.701365246397756</c:v>
                </c:pt>
                <c:pt idx="287">
                  <c:v>95.541456033563733</c:v>
                </c:pt>
                <c:pt idx="288">
                  <c:v>95.159737267443845</c:v>
                </c:pt>
                <c:pt idx="289">
                  <c:v>95.094398019189086</c:v>
                </c:pt>
                <c:pt idx="290">
                  <c:v>94.525258777812155</c:v>
                </c:pt>
                <c:pt idx="291">
                  <c:v>94.607792565081326</c:v>
                </c:pt>
                <c:pt idx="292">
                  <c:v>94.666253997730308</c:v>
                </c:pt>
                <c:pt idx="293">
                  <c:v>94.666253997730308</c:v>
                </c:pt>
                <c:pt idx="294">
                  <c:v>94.735032153787955</c:v>
                </c:pt>
                <c:pt idx="295">
                  <c:v>94.939647168059409</c:v>
                </c:pt>
                <c:pt idx="296">
                  <c:v>94.924172082946427</c:v>
                </c:pt>
                <c:pt idx="297">
                  <c:v>94.821004848859985</c:v>
                </c:pt>
                <c:pt idx="298">
                  <c:v>95.335121565390821</c:v>
                </c:pt>
                <c:pt idx="299">
                  <c:v>94.435847174937223</c:v>
                </c:pt>
                <c:pt idx="300">
                  <c:v>94.583720210461138</c:v>
                </c:pt>
                <c:pt idx="301">
                  <c:v>94.592317479968344</c:v>
                </c:pt>
                <c:pt idx="302">
                  <c:v>94.322363217442103</c:v>
                </c:pt>
                <c:pt idx="303">
                  <c:v>94.112589841466331</c:v>
                </c:pt>
                <c:pt idx="304">
                  <c:v>93.761821245572378</c:v>
                </c:pt>
                <c:pt idx="305">
                  <c:v>93.975033529351066</c:v>
                </c:pt>
                <c:pt idx="306">
                  <c:v>93.708518174627727</c:v>
                </c:pt>
                <c:pt idx="307">
                  <c:v>94.141820557790837</c:v>
                </c:pt>
                <c:pt idx="308">
                  <c:v>94.067884040028886</c:v>
                </c:pt>
                <c:pt idx="309">
                  <c:v>94.102273118057695</c:v>
                </c:pt>
                <c:pt idx="310">
                  <c:v>94.17449018191823</c:v>
                </c:pt>
                <c:pt idx="311">
                  <c:v>94.317204855737813</c:v>
                </c:pt>
                <c:pt idx="312">
                  <c:v>94.203720898242722</c:v>
                </c:pt>
                <c:pt idx="313">
                  <c:v>94.052408954915919</c:v>
                </c:pt>
                <c:pt idx="314">
                  <c:v>94.355032841569511</c:v>
                </c:pt>
                <c:pt idx="315">
                  <c:v>94.29485195501907</c:v>
                </c:pt>
                <c:pt idx="316">
                  <c:v>94.030056054197175</c:v>
                </c:pt>
                <c:pt idx="317">
                  <c:v>93.981911344956828</c:v>
                </c:pt>
                <c:pt idx="318">
                  <c:v>93.409333195777009</c:v>
                </c:pt>
                <c:pt idx="319">
                  <c:v>93.256301798548776</c:v>
                </c:pt>
                <c:pt idx="320">
                  <c:v>93.225351628322827</c:v>
                </c:pt>
                <c:pt idx="321">
                  <c:v>93.194401458096905</c:v>
                </c:pt>
                <c:pt idx="322">
                  <c:v>92.202276556965515</c:v>
                </c:pt>
                <c:pt idx="323">
                  <c:v>92.173045840641009</c:v>
                </c:pt>
                <c:pt idx="324">
                  <c:v>92.365624677602398</c:v>
                </c:pt>
                <c:pt idx="325">
                  <c:v>92.621823308917101</c:v>
                </c:pt>
                <c:pt idx="326">
                  <c:v>92.510058805323439</c:v>
                </c:pt>
                <c:pt idx="327">
                  <c:v>92.210873826472721</c:v>
                </c:pt>
                <c:pt idx="328">
                  <c:v>92.64417620963583</c:v>
                </c:pt>
                <c:pt idx="329">
                  <c:v>92.769696344441016</c:v>
                </c:pt>
                <c:pt idx="330">
                  <c:v>92.822999415385695</c:v>
                </c:pt>
                <c:pt idx="331">
                  <c:v>93.129062209842175</c:v>
                </c:pt>
                <c:pt idx="332">
                  <c:v>93.017297706248527</c:v>
                </c:pt>
                <c:pt idx="333">
                  <c:v>92.898655387049089</c:v>
                </c:pt>
                <c:pt idx="334">
                  <c:v>92.546167337253721</c:v>
                </c:pt>
                <c:pt idx="335">
                  <c:v>92.554764606760912</c:v>
                </c:pt>
                <c:pt idx="336">
                  <c:v>92.087073145568993</c:v>
                </c:pt>
                <c:pt idx="337">
                  <c:v>92.097389868977658</c:v>
                </c:pt>
                <c:pt idx="338">
                  <c:v>91.95639464905949</c:v>
                </c:pt>
                <c:pt idx="339">
                  <c:v>92.104267684583405</c:v>
                </c:pt>
                <c:pt idx="340">
                  <c:v>91.897933216410507</c:v>
                </c:pt>
                <c:pt idx="341">
                  <c:v>92.360466315898108</c:v>
                </c:pt>
                <c:pt idx="342">
                  <c:v>92.415488840744231</c:v>
                </c:pt>
                <c:pt idx="343">
                  <c:v>92.145534578218005</c:v>
                </c:pt>
                <c:pt idx="344">
                  <c:v>92.018294989511375</c:v>
                </c:pt>
                <c:pt idx="345">
                  <c:v>92.061281337047404</c:v>
                </c:pt>
                <c:pt idx="346">
                  <c:v>92.262457443515999</c:v>
                </c:pt>
                <c:pt idx="347">
                  <c:v>92.838474500498691</c:v>
                </c:pt>
                <c:pt idx="348">
                  <c:v>93.074039684996094</c:v>
                </c:pt>
                <c:pt idx="349">
                  <c:v>92.644176209635873</c:v>
                </c:pt>
                <c:pt idx="350">
                  <c:v>92.807524330272756</c:v>
                </c:pt>
                <c:pt idx="351">
                  <c:v>93.227071082224342</c:v>
                </c:pt>
                <c:pt idx="352">
                  <c:v>93.295849238281974</c:v>
                </c:pt>
                <c:pt idx="353">
                  <c:v>93.311324323394928</c:v>
                </c:pt>
                <c:pt idx="354">
                  <c:v>92.896935933147674</c:v>
                </c:pt>
                <c:pt idx="355">
                  <c:v>92.688882011073318</c:v>
                </c:pt>
                <c:pt idx="356">
                  <c:v>92.111145500189195</c:v>
                </c:pt>
                <c:pt idx="357">
                  <c:v>91.879019223494666</c:v>
                </c:pt>
                <c:pt idx="358">
                  <c:v>92.085353691667564</c:v>
                </c:pt>
                <c:pt idx="359">
                  <c:v>92.816121599779933</c:v>
                </c:pt>
                <c:pt idx="360">
                  <c:v>92.759379621032394</c:v>
                </c:pt>
                <c:pt idx="361">
                  <c:v>93.593314763231248</c:v>
                </c:pt>
                <c:pt idx="362">
                  <c:v>93.350871763128069</c:v>
                </c:pt>
                <c:pt idx="363">
                  <c:v>93.228790536125771</c:v>
                </c:pt>
                <c:pt idx="364">
                  <c:v>93.357749578733831</c:v>
                </c:pt>
                <c:pt idx="365">
                  <c:v>93.399016472368402</c:v>
                </c:pt>
                <c:pt idx="366">
                  <c:v>92.881460848034678</c:v>
                </c:pt>
                <c:pt idx="367">
                  <c:v>92.74906289762373</c:v>
                </c:pt>
                <c:pt idx="368">
                  <c:v>92.577117507479642</c:v>
                </c:pt>
                <c:pt idx="369">
                  <c:v>92.55992296846523</c:v>
                </c:pt>
                <c:pt idx="370">
                  <c:v>92.078475876061788</c:v>
                </c:pt>
                <c:pt idx="371">
                  <c:v>91.877299769593208</c:v>
                </c:pt>
                <c:pt idx="372">
                  <c:v>91.970150280271014</c:v>
                </c:pt>
                <c:pt idx="373">
                  <c:v>92.38109976271538</c:v>
                </c:pt>
                <c:pt idx="374">
                  <c:v>92.265896351318844</c:v>
                </c:pt>
                <c:pt idx="375">
                  <c:v>92.446439010970138</c:v>
                </c:pt>
                <c:pt idx="376">
                  <c:v>92.071598060456026</c:v>
                </c:pt>
                <c:pt idx="377">
                  <c:v>91.892774854706161</c:v>
                </c:pt>
                <c:pt idx="378">
                  <c:v>92.007978266102725</c:v>
                </c:pt>
                <c:pt idx="379">
                  <c:v>92.080195329963232</c:v>
                </c:pt>
                <c:pt idx="380">
                  <c:v>91.849788507170146</c:v>
                </c:pt>
                <c:pt idx="381">
                  <c:v>91.504178272980525</c:v>
                </c:pt>
                <c:pt idx="382">
                  <c:v>91.16372640049525</c:v>
                </c:pt>
                <c:pt idx="383">
                  <c:v>91.082912067127523</c:v>
                </c:pt>
                <c:pt idx="384">
                  <c:v>91.187798755115423</c:v>
                </c:pt>
                <c:pt idx="385">
                  <c:v>91.069156435915986</c:v>
                </c:pt>
                <c:pt idx="386">
                  <c:v>91.191237662918283</c:v>
                </c:pt>
                <c:pt idx="387">
                  <c:v>91.179201485608189</c:v>
                </c:pt>
                <c:pt idx="388">
                  <c:v>90.334949620000714</c:v>
                </c:pt>
                <c:pt idx="389">
                  <c:v>90.799202173389773</c:v>
                </c:pt>
                <c:pt idx="390">
                  <c:v>91.280649265793215</c:v>
                </c:pt>
                <c:pt idx="391">
                  <c:v>91.712232195054881</c:v>
                </c:pt>
                <c:pt idx="392">
                  <c:v>91.641734585095804</c:v>
                </c:pt>
                <c:pt idx="393">
                  <c:v>91.793046528422607</c:v>
                </c:pt>
                <c:pt idx="394">
                  <c:v>91.719110010660629</c:v>
                </c:pt>
                <c:pt idx="395">
                  <c:v>91.512775542487731</c:v>
                </c:pt>
                <c:pt idx="396">
                  <c:v>91.684720932631834</c:v>
                </c:pt>
                <c:pt idx="397">
                  <c:v>91.43883902472578</c:v>
                </c:pt>
                <c:pt idx="398">
                  <c:v>91.2376629182572</c:v>
                </c:pt>
                <c:pt idx="399">
                  <c:v>90.694315485401873</c:v>
                </c:pt>
                <c:pt idx="400">
                  <c:v>90.814677258502712</c:v>
                </c:pt>
                <c:pt idx="401">
                  <c:v>90.682279308091765</c:v>
                </c:pt>
                <c:pt idx="402">
                  <c:v>90.804360535094077</c:v>
                </c:pt>
                <c:pt idx="403">
                  <c:v>90.683998761993209</c:v>
                </c:pt>
                <c:pt idx="404">
                  <c:v>90.51205337184912</c:v>
                </c:pt>
                <c:pt idx="405">
                  <c:v>91.021011726675638</c:v>
                </c:pt>
                <c:pt idx="406">
                  <c:v>90.861102513841615</c:v>
                </c:pt>
                <c:pt idx="407">
                  <c:v>90.72354620172635</c:v>
                </c:pt>
                <c:pt idx="408">
                  <c:v>90.653048591767273</c:v>
                </c:pt>
                <c:pt idx="409">
                  <c:v>90.393411052649697</c:v>
                </c:pt>
                <c:pt idx="410">
                  <c:v>89.760652016919437</c:v>
                </c:pt>
                <c:pt idx="411">
                  <c:v>89.617937343099854</c:v>
                </c:pt>
                <c:pt idx="412">
                  <c:v>90.273049279548829</c:v>
                </c:pt>
                <c:pt idx="413">
                  <c:v>90.455311393101567</c:v>
                </c:pt>
                <c:pt idx="414">
                  <c:v>90.388252690945365</c:v>
                </c:pt>
                <c:pt idx="415">
                  <c:v>90.465628116510217</c:v>
                </c:pt>
                <c:pt idx="416">
                  <c:v>90.474225386017409</c:v>
                </c:pt>
                <c:pt idx="417">
                  <c:v>90.242099109322908</c:v>
                </c:pt>
                <c:pt idx="418">
                  <c:v>90.302279995873334</c:v>
                </c:pt>
                <c:pt idx="419">
                  <c:v>90.892052684067579</c:v>
                </c:pt>
                <c:pt idx="420">
                  <c:v>90.536125726469308</c:v>
                </c:pt>
                <c:pt idx="421">
                  <c:v>90.180198768871051</c:v>
                </c:pt>
                <c:pt idx="422">
                  <c:v>90.481103201623213</c:v>
                </c:pt>
                <c:pt idx="423">
                  <c:v>90.570514804498131</c:v>
                </c:pt>
                <c:pt idx="424">
                  <c:v>90.439836307988614</c:v>
                </c:pt>
                <c:pt idx="425">
                  <c:v>89.924000137556348</c:v>
                </c:pt>
                <c:pt idx="426">
                  <c:v>90.040923002854313</c:v>
                </c:pt>
                <c:pt idx="427">
                  <c:v>90.035764641149996</c:v>
                </c:pt>
                <c:pt idx="428">
                  <c:v>89.502733931703304</c:v>
                </c:pt>
                <c:pt idx="429">
                  <c:v>89.41676123663126</c:v>
                </c:pt>
                <c:pt idx="430">
                  <c:v>89.378933250799562</c:v>
                </c:pt>
                <c:pt idx="431">
                  <c:v>89.157123697513683</c:v>
                </c:pt>
                <c:pt idx="432">
                  <c:v>89.397847243715404</c:v>
                </c:pt>
                <c:pt idx="433">
                  <c:v>89.633412428212822</c:v>
                </c:pt>
                <c:pt idx="434">
                  <c:v>89.92056122975346</c:v>
                </c:pt>
                <c:pt idx="435">
                  <c:v>89.924000137556348</c:v>
                </c:pt>
                <c:pt idx="436">
                  <c:v>90.04608136455866</c:v>
                </c:pt>
                <c:pt idx="437">
                  <c:v>90.028886825544248</c:v>
                </c:pt>
                <c:pt idx="438">
                  <c:v>90.408886137762664</c:v>
                </c:pt>
                <c:pt idx="439">
                  <c:v>90.33323016609927</c:v>
                </c:pt>
                <c:pt idx="440">
                  <c:v>90.417483407269884</c:v>
                </c:pt>
                <c:pt idx="441">
                  <c:v>90.252415832731543</c:v>
                </c:pt>
                <c:pt idx="442">
                  <c:v>90.477664293820311</c:v>
                </c:pt>
                <c:pt idx="443">
                  <c:v>91.077753705423177</c:v>
                </c:pt>
                <c:pt idx="444">
                  <c:v>91.160287492692319</c:v>
                </c:pt>
                <c:pt idx="445">
                  <c:v>91.466350287148813</c:v>
                </c:pt>
                <c:pt idx="446">
                  <c:v>91.192957116819699</c:v>
                </c:pt>
                <c:pt idx="447">
                  <c:v>90.945355755012201</c:v>
                </c:pt>
                <c:pt idx="448">
                  <c:v>91.058839712507307</c:v>
                </c:pt>
                <c:pt idx="449">
                  <c:v>90.947075208913631</c:v>
                </c:pt>
                <c:pt idx="450">
                  <c:v>90.78888544998108</c:v>
                </c:pt>
                <c:pt idx="451">
                  <c:v>90.680559854190307</c:v>
                </c:pt>
                <c:pt idx="452">
                  <c:v>90.993500464252563</c:v>
                </c:pt>
                <c:pt idx="453">
                  <c:v>91.425083393514228</c:v>
                </c:pt>
                <c:pt idx="454">
                  <c:v>91.330513428934964</c:v>
                </c:pt>
                <c:pt idx="455">
                  <c:v>91.493861549571861</c:v>
                </c:pt>
                <c:pt idx="456">
                  <c:v>91.203273840228334</c:v>
                </c:pt>
                <c:pt idx="457">
                  <c:v>90.935039031603566</c:v>
                </c:pt>
                <c:pt idx="458">
                  <c:v>90.924722308194916</c:v>
                </c:pt>
                <c:pt idx="459">
                  <c:v>90.572234258399547</c:v>
                </c:pt>
                <c:pt idx="460">
                  <c:v>90.500017194539041</c:v>
                </c:pt>
                <c:pt idx="461">
                  <c:v>90.582550981808183</c:v>
                </c:pt>
                <c:pt idx="462">
                  <c:v>90.446714123594361</c:v>
                </c:pt>
                <c:pt idx="463">
                  <c:v>90.33323016609927</c:v>
                </c:pt>
                <c:pt idx="464">
                  <c:v>90.491419925031821</c:v>
                </c:pt>
                <c:pt idx="465">
                  <c:v>90.787165996079651</c:v>
                </c:pt>
                <c:pt idx="466">
                  <c:v>90.773410364868113</c:v>
                </c:pt>
                <c:pt idx="467">
                  <c:v>90.732143471233528</c:v>
                </c:pt>
                <c:pt idx="468">
                  <c:v>90.866260875545933</c:v>
                </c:pt>
                <c:pt idx="469">
                  <c:v>90.718387840022018</c:v>
                </c:pt>
                <c:pt idx="470">
                  <c:v>90.242099109322893</c:v>
                </c:pt>
                <c:pt idx="471">
                  <c:v>90.309157811479082</c:v>
                </c:pt>
                <c:pt idx="472">
                  <c:v>90.300560541971876</c:v>
                </c:pt>
                <c:pt idx="473">
                  <c:v>90.381374875339603</c:v>
                </c:pt>
                <c:pt idx="474">
                  <c:v>90.427800130678492</c:v>
                </c:pt>
                <c:pt idx="475">
                  <c:v>90.541284088173612</c:v>
                </c:pt>
                <c:pt idx="476">
                  <c:v>91.103545513944781</c:v>
                </c:pt>
                <c:pt idx="477">
                  <c:v>90.984903194745357</c:v>
                </c:pt>
                <c:pt idx="478">
                  <c:v>91.153409677086572</c:v>
                </c:pt>
                <c:pt idx="479">
                  <c:v>91.211871109735569</c:v>
                </c:pt>
                <c:pt idx="480">
                  <c:v>90.93675848550501</c:v>
                </c:pt>
                <c:pt idx="481">
                  <c:v>91.045084081295798</c:v>
                </c:pt>
                <c:pt idx="482">
                  <c:v>91.094948244437575</c:v>
                </c:pt>
                <c:pt idx="483">
                  <c:v>91.397572131091181</c:v>
                </c:pt>
                <c:pt idx="484">
                  <c:v>91.801643797929799</c:v>
                </c:pt>
                <c:pt idx="485">
                  <c:v>91.409608308401275</c:v>
                </c:pt>
                <c:pt idx="486">
                  <c:v>91.517933904192063</c:v>
                </c:pt>
                <c:pt idx="487">
                  <c:v>91.421644485711383</c:v>
                </c:pt>
                <c:pt idx="488">
                  <c:v>91.514494996389175</c:v>
                </c:pt>
                <c:pt idx="489">
                  <c:v>91.437119570824322</c:v>
                </c:pt>
                <c:pt idx="490">
                  <c:v>91.160287492692333</c:v>
                </c:pt>
                <c:pt idx="491">
                  <c:v>91.244540733862934</c:v>
                </c:pt>
                <c:pt idx="492">
                  <c:v>91.414766670105578</c:v>
                </c:pt>
                <c:pt idx="493">
                  <c:v>91.407888854499816</c:v>
                </c:pt>
                <c:pt idx="494">
                  <c:v>91.83087451425429</c:v>
                </c:pt>
                <c:pt idx="495">
                  <c:v>92.379380308813921</c:v>
                </c:pt>
                <c:pt idx="496">
                  <c:v>91.84634959936723</c:v>
                </c:pt>
                <c:pt idx="497">
                  <c:v>91.531689535403558</c:v>
                </c:pt>
                <c:pt idx="498">
                  <c:v>91.438839024725738</c:v>
                </c:pt>
                <c:pt idx="499">
                  <c:v>91.597028783658317</c:v>
                </c:pt>
                <c:pt idx="500">
                  <c:v>91.751779634788008</c:v>
                </c:pt>
                <c:pt idx="501">
                  <c:v>91.763815812098088</c:v>
                </c:pt>
                <c:pt idx="502">
                  <c:v>92.011417173905585</c:v>
                </c:pt>
                <c:pt idx="503">
                  <c:v>91.76897417380242</c:v>
                </c:pt>
                <c:pt idx="504">
                  <c:v>91.404449946696943</c:v>
                </c:pt>
                <c:pt idx="505">
                  <c:v>91.443997386430098</c:v>
                </c:pt>
                <c:pt idx="506">
                  <c:v>91.344269060146516</c:v>
                </c:pt>
                <c:pt idx="507">
                  <c:v>91.237662918257186</c:v>
                </c:pt>
                <c:pt idx="508">
                  <c:v>90.861102513841615</c:v>
                </c:pt>
                <c:pt idx="509">
                  <c:v>90.53440627256785</c:v>
                </c:pt>
                <c:pt idx="510">
                  <c:v>90.696034939303303</c:v>
                </c:pt>
                <c:pt idx="511">
                  <c:v>90.752776918050841</c:v>
                </c:pt>
                <c:pt idx="512">
                  <c:v>90.783727088276777</c:v>
                </c:pt>
                <c:pt idx="513">
                  <c:v>91.170604216100983</c:v>
                </c:pt>
                <c:pt idx="514">
                  <c:v>91.012414457168404</c:v>
                </c:pt>
                <c:pt idx="515">
                  <c:v>90.751057464149397</c:v>
                </c:pt>
                <c:pt idx="516">
                  <c:v>90.577392620103865</c:v>
                </c:pt>
                <c:pt idx="517">
                  <c:v>90.126895697926358</c:v>
                </c:pt>
                <c:pt idx="518">
                  <c:v>90.181918222772467</c:v>
                </c:pt>
                <c:pt idx="519">
                  <c:v>89.882733243921749</c:v>
                </c:pt>
                <c:pt idx="520">
                  <c:v>89.985900478008205</c:v>
                </c:pt>
                <c:pt idx="521">
                  <c:v>89.647168059424345</c:v>
                </c:pt>
                <c:pt idx="522">
                  <c:v>89.330788541559215</c:v>
                </c:pt>
                <c:pt idx="523">
                  <c:v>89.313594002544804</c:v>
                </c:pt>
                <c:pt idx="524">
                  <c:v>89.131331888992079</c:v>
                </c:pt>
                <c:pt idx="525">
                  <c:v>88.906083427903312</c:v>
                </c:pt>
                <c:pt idx="526">
                  <c:v>88.842463633550011</c:v>
                </c:pt>
                <c:pt idx="527">
                  <c:v>88.904363974001868</c:v>
                </c:pt>
                <c:pt idx="528">
                  <c:v>88.990336669073912</c:v>
                </c:pt>
                <c:pt idx="529">
                  <c:v>88.974861583960958</c:v>
                </c:pt>
                <c:pt idx="530">
                  <c:v>89.569792633859507</c:v>
                </c:pt>
                <c:pt idx="531">
                  <c:v>89.949791946077951</c:v>
                </c:pt>
                <c:pt idx="532">
                  <c:v>90.885174868461817</c:v>
                </c:pt>
                <c:pt idx="533">
                  <c:v>91.201554386326933</c:v>
                </c:pt>
                <c:pt idx="534">
                  <c:v>91.627978953884266</c:v>
                </c:pt>
                <c:pt idx="535">
                  <c:v>91.906530485917699</c:v>
                </c:pt>
                <c:pt idx="536">
                  <c:v>92.14725403211942</c:v>
                </c:pt>
                <c:pt idx="537">
                  <c:v>93.187523642491186</c:v>
                </c:pt>
                <c:pt idx="538">
                  <c:v>94.174490181918259</c:v>
                </c:pt>
                <c:pt idx="539">
                  <c:v>94.074761855634677</c:v>
                </c:pt>
                <c:pt idx="540">
                  <c:v>93.901097011589144</c:v>
                </c:pt>
                <c:pt idx="541">
                  <c:v>93.620826025654281</c:v>
                </c:pt>
                <c:pt idx="542">
                  <c:v>93.639740018570137</c:v>
                </c:pt>
                <c:pt idx="543">
                  <c:v>94.265621238694621</c:v>
                </c:pt>
                <c:pt idx="544">
                  <c:v>93.589875855428332</c:v>
                </c:pt>
                <c:pt idx="545">
                  <c:v>92.838474500498648</c:v>
                </c:pt>
                <c:pt idx="546">
                  <c:v>91.542006258812208</c:v>
                </c:pt>
                <c:pt idx="547">
                  <c:v>90.979744833041039</c:v>
                </c:pt>
                <c:pt idx="548">
                  <c:v>90.919563946490612</c:v>
                </c:pt>
                <c:pt idx="549">
                  <c:v>92.418927748547077</c:v>
                </c:pt>
                <c:pt idx="550">
                  <c:v>92.461914096083106</c:v>
                </c:pt>
                <c:pt idx="551">
                  <c:v>93.595034217132664</c:v>
                </c:pt>
                <c:pt idx="552">
                  <c:v>94.263901784793163</c:v>
                </c:pt>
                <c:pt idx="553">
                  <c:v>95.316207572474994</c:v>
                </c:pt>
                <c:pt idx="554">
                  <c:v>95.163176175246747</c:v>
                </c:pt>
                <c:pt idx="555">
                  <c:v>94.925891536847899</c:v>
                </c:pt>
                <c:pt idx="556">
                  <c:v>94.848516111283061</c:v>
                </c:pt>
                <c:pt idx="557">
                  <c:v>93.514219883764923</c:v>
                </c:pt>
                <c:pt idx="558">
                  <c:v>93.259740706351664</c:v>
                </c:pt>
                <c:pt idx="559">
                  <c:v>93.37666357164963</c:v>
                </c:pt>
                <c:pt idx="560">
                  <c:v>92.752501805426576</c:v>
                </c:pt>
                <c:pt idx="561">
                  <c:v>92.264176897417371</c:v>
                </c:pt>
                <c:pt idx="562">
                  <c:v>92.437841741462904</c:v>
                </c:pt>
                <c:pt idx="563">
                  <c:v>91.478386464458879</c:v>
                </c:pt>
                <c:pt idx="564">
                  <c:v>91.354585783555123</c:v>
                </c:pt>
                <c:pt idx="565">
                  <c:v>91.39241376938682</c:v>
                </c:pt>
                <c:pt idx="566">
                  <c:v>90.577392620103836</c:v>
                </c:pt>
                <c:pt idx="567">
                  <c:v>90.004814470924018</c:v>
                </c:pt>
                <c:pt idx="568">
                  <c:v>90.252415832731501</c:v>
                </c:pt>
                <c:pt idx="569">
                  <c:v>89.571512087760894</c:v>
                </c:pt>
                <c:pt idx="570">
                  <c:v>89.571512087760894</c:v>
                </c:pt>
                <c:pt idx="571">
                  <c:v>88.868255442071572</c:v>
                </c:pt>
                <c:pt idx="572">
                  <c:v>89.445991952955723</c:v>
                </c:pt>
                <c:pt idx="573">
                  <c:v>89.710787853777617</c:v>
                </c:pt>
                <c:pt idx="574">
                  <c:v>89.509611747309037</c:v>
                </c:pt>
                <c:pt idx="575">
                  <c:v>89.538842463633529</c:v>
                </c:pt>
                <c:pt idx="576">
                  <c:v>90.259293648337248</c:v>
                </c:pt>
                <c:pt idx="577">
                  <c:v>89.648887513325732</c:v>
                </c:pt>
                <c:pt idx="578">
                  <c:v>89.377213796898062</c:v>
                </c:pt>
                <c:pt idx="579">
                  <c:v>89.710787853777617</c:v>
                </c:pt>
                <c:pt idx="580">
                  <c:v>90.224904570308453</c:v>
                </c:pt>
                <c:pt idx="581">
                  <c:v>90.479383747721712</c:v>
                </c:pt>
                <c:pt idx="582">
                  <c:v>90.623817875442725</c:v>
                </c:pt>
                <c:pt idx="583">
                  <c:v>90.902369407476158</c:v>
                </c:pt>
                <c:pt idx="584">
                  <c:v>90.855944152137255</c:v>
                </c:pt>
                <c:pt idx="585">
                  <c:v>90.68571821589461</c:v>
                </c:pt>
                <c:pt idx="586">
                  <c:v>90.278207641253118</c:v>
                </c:pt>
                <c:pt idx="587">
                  <c:v>91.217029471439858</c:v>
                </c:pt>
                <c:pt idx="588">
                  <c:v>91.057120258605863</c:v>
                </c:pt>
                <c:pt idx="589">
                  <c:v>90.79920217338973</c:v>
                </c:pt>
                <c:pt idx="590">
                  <c:v>90.261013102238721</c:v>
                </c:pt>
                <c:pt idx="591">
                  <c:v>90.307438357577624</c:v>
                </c:pt>
                <c:pt idx="592">
                  <c:v>90.541284088173597</c:v>
                </c:pt>
                <c:pt idx="593">
                  <c:v>91.201554386326876</c:v>
                </c:pt>
                <c:pt idx="594">
                  <c:v>91.760376904295157</c:v>
                </c:pt>
                <c:pt idx="595">
                  <c:v>92.296846521544722</c:v>
                </c:pt>
                <c:pt idx="596">
                  <c:v>92.726709996904944</c:v>
                </c:pt>
                <c:pt idx="597">
                  <c:v>93.003542075036947</c:v>
                </c:pt>
                <c:pt idx="598">
                  <c:v>92.82815777708997</c:v>
                </c:pt>
                <c:pt idx="599">
                  <c:v>93.882183018673246</c:v>
                </c:pt>
                <c:pt idx="600">
                  <c:v>93.481550259637501</c:v>
                </c:pt>
                <c:pt idx="601">
                  <c:v>93.220193266618494</c:v>
                </c:pt>
                <c:pt idx="602">
                  <c:v>93.950961174730878</c:v>
                </c:pt>
                <c:pt idx="603">
                  <c:v>94.255304515285928</c:v>
                </c:pt>
                <c:pt idx="604">
                  <c:v>93.801368685305533</c:v>
                </c:pt>
                <c:pt idx="605">
                  <c:v>93.123903848137829</c:v>
                </c:pt>
                <c:pt idx="606">
                  <c:v>93.758382337769504</c:v>
                </c:pt>
                <c:pt idx="607">
                  <c:v>92.766257436638114</c:v>
                </c:pt>
                <c:pt idx="608">
                  <c:v>92.828157777089999</c:v>
                </c:pt>
                <c:pt idx="609">
                  <c:v>92.473950273393172</c:v>
                </c:pt>
                <c:pt idx="610">
                  <c:v>92.350149592489444</c:v>
                </c:pt>
                <c:pt idx="611">
                  <c:v>93.044808968671575</c:v>
                </c:pt>
                <c:pt idx="612">
                  <c:v>93.319921592902119</c:v>
                </c:pt>
                <c:pt idx="613">
                  <c:v>92.912411018260627</c:v>
                </c:pt>
                <c:pt idx="614">
                  <c:v>92.96915299700818</c:v>
                </c:pt>
                <c:pt idx="615">
                  <c:v>93.512500429863493</c:v>
                </c:pt>
                <c:pt idx="616">
                  <c:v>92.926166649472151</c:v>
                </c:pt>
                <c:pt idx="617">
                  <c:v>92.98118917431826</c:v>
                </c:pt>
                <c:pt idx="618">
                  <c:v>93.791051961896926</c:v>
                </c:pt>
                <c:pt idx="619">
                  <c:v>93.417930465284243</c:v>
                </c:pt>
                <c:pt idx="620">
                  <c:v>94.066164586127471</c:v>
                </c:pt>
                <c:pt idx="621">
                  <c:v>94.040372777605853</c:v>
                </c:pt>
                <c:pt idx="622">
                  <c:v>94.152137281199515</c:v>
                </c:pt>
                <c:pt idx="623">
                  <c:v>94.779737955225443</c:v>
                </c:pt>
                <c:pt idx="624">
                  <c:v>94.504625330994898</c:v>
                </c:pt>
                <c:pt idx="625">
                  <c:v>94.692045806251954</c:v>
                </c:pt>
                <c:pt idx="626">
                  <c:v>94.855393926888823</c:v>
                </c:pt>
                <c:pt idx="627">
                  <c:v>95.195845799374126</c:v>
                </c:pt>
                <c:pt idx="628">
                  <c:v>94.626706557997196</c:v>
                </c:pt>
                <c:pt idx="629">
                  <c:v>94.70236252966059</c:v>
                </c:pt>
                <c:pt idx="630">
                  <c:v>95.096117473090544</c:v>
                </c:pt>
                <c:pt idx="631">
                  <c:v>95.187248529866935</c:v>
                </c:pt>
                <c:pt idx="632">
                  <c:v>96.110595274940707</c:v>
                </c:pt>
                <c:pt idx="633">
                  <c:v>96.707245778740685</c:v>
                </c:pt>
                <c:pt idx="634">
                  <c:v>96.76914611919257</c:v>
                </c:pt>
                <c:pt idx="635">
                  <c:v>97.615117438701503</c:v>
                </c:pt>
                <c:pt idx="636">
                  <c:v>97.714845764985057</c:v>
                </c:pt>
                <c:pt idx="637">
                  <c:v>97.87819388562194</c:v>
                </c:pt>
                <c:pt idx="638">
                  <c:v>98.053578183568916</c:v>
                </c:pt>
                <c:pt idx="639">
                  <c:v>98.947694212318197</c:v>
                </c:pt>
                <c:pt idx="640">
                  <c:v>98.105161800612137</c:v>
                </c:pt>
                <c:pt idx="641">
                  <c:v>98.48860002063347</c:v>
                </c:pt>
                <c:pt idx="642">
                  <c:v>98.976924928642688</c:v>
                </c:pt>
                <c:pt idx="643">
                  <c:v>98.932219127205229</c:v>
                </c:pt>
                <c:pt idx="644">
                  <c:v>98.553939268888229</c:v>
                </c:pt>
                <c:pt idx="645">
                  <c:v>98.125795247429437</c:v>
                </c:pt>
                <c:pt idx="646">
                  <c:v>98.376835517039822</c:v>
                </c:pt>
                <c:pt idx="647">
                  <c:v>98.112039616217928</c:v>
                </c:pt>
                <c:pt idx="648">
                  <c:v>98.722445751229429</c:v>
                </c:pt>
                <c:pt idx="649">
                  <c:v>98.337288077306667</c:v>
                </c:pt>
                <c:pt idx="650">
                  <c:v>98.782626637779856</c:v>
                </c:pt>
                <c:pt idx="651">
                  <c:v>99.085250524433448</c:v>
                </c:pt>
                <c:pt idx="652">
                  <c:v>99.420544035214434</c:v>
                </c:pt>
                <c:pt idx="653">
                  <c:v>98.646789779566035</c:v>
                </c:pt>
                <c:pt idx="654">
                  <c:v>98.514391829155088</c:v>
                </c:pt>
                <c:pt idx="655">
                  <c:v>98.731043020736635</c:v>
                </c:pt>
                <c:pt idx="656">
                  <c:v>98.782626637779856</c:v>
                </c:pt>
                <c:pt idx="657">
                  <c:v>98.987241652051338</c:v>
                </c:pt>
                <c:pt idx="658">
                  <c:v>99.025069637883021</c:v>
                </c:pt>
                <c:pt idx="659">
                  <c:v>99.595928333161424</c:v>
                </c:pt>
                <c:pt idx="660">
                  <c:v>99.822896248151608</c:v>
                </c:pt>
                <c:pt idx="661">
                  <c:v>100.24588190790608</c:v>
                </c:pt>
                <c:pt idx="662">
                  <c:v>99.472127652257683</c:v>
                </c:pt>
                <c:pt idx="663">
                  <c:v>99.100725609546458</c:v>
                </c:pt>
                <c:pt idx="664">
                  <c:v>99.458372021046159</c:v>
                </c:pt>
                <c:pt idx="665">
                  <c:v>99.255476460676149</c:v>
                </c:pt>
                <c:pt idx="666">
                  <c:v>99.019911276178746</c:v>
                </c:pt>
                <c:pt idx="667">
                  <c:v>98.882354964063481</c:v>
                </c:pt>
                <c:pt idx="668">
                  <c:v>99.399910588397191</c:v>
                </c:pt>
                <c:pt idx="669">
                  <c:v>99.558100347329741</c:v>
                </c:pt>
                <c:pt idx="670">
                  <c:v>99.150589772688249</c:v>
                </c:pt>
                <c:pt idx="671">
                  <c:v>99.143711957082488</c:v>
                </c:pt>
                <c:pt idx="672">
                  <c:v>99.031947453488826</c:v>
                </c:pt>
                <c:pt idx="673">
                  <c:v>98.282265552460586</c:v>
                </c:pt>
                <c:pt idx="674">
                  <c:v>98.865160425049055</c:v>
                </c:pt>
                <c:pt idx="675">
                  <c:v>97.936655318270979</c:v>
                </c:pt>
                <c:pt idx="676">
                  <c:v>97.771587743732653</c:v>
                </c:pt>
                <c:pt idx="677">
                  <c:v>97.159462154819678</c:v>
                </c:pt>
                <c:pt idx="678">
                  <c:v>97.157742700918234</c:v>
                </c:pt>
                <c:pt idx="679">
                  <c:v>97.243715395990264</c:v>
                </c:pt>
                <c:pt idx="680">
                  <c:v>98.014030743835804</c:v>
                </c:pt>
                <c:pt idx="681">
                  <c:v>98.314935176587966</c:v>
                </c:pt>
                <c:pt idx="682">
                  <c:v>98.684617765397761</c:v>
                </c:pt>
                <c:pt idx="683">
                  <c:v>98.445613673097483</c:v>
                </c:pt>
                <c:pt idx="684">
                  <c:v>98.763712644864071</c:v>
                </c:pt>
                <c:pt idx="685">
                  <c:v>99.26235427628194</c:v>
                </c:pt>
                <c:pt idx="686">
                  <c:v>99.099006155645071</c:v>
                </c:pt>
                <c:pt idx="687">
                  <c:v>99.289865538705001</c:v>
                </c:pt>
                <c:pt idx="688">
                  <c:v>99.561539255132658</c:v>
                </c:pt>
                <c:pt idx="689">
                  <c:v>99.372399325974158</c:v>
                </c:pt>
                <c:pt idx="690">
                  <c:v>99.509955638089437</c:v>
                </c:pt>
                <c:pt idx="691">
                  <c:v>99.116200694659483</c:v>
                </c:pt>
                <c:pt idx="692">
                  <c:v>99.007875098868695</c:v>
                </c:pt>
                <c:pt idx="693">
                  <c:v>99.085250524433533</c:v>
                </c:pt>
                <c:pt idx="694">
                  <c:v>99.540905808315372</c:v>
                </c:pt>
                <c:pt idx="695">
                  <c:v>100.14615358162257</c:v>
                </c:pt>
                <c:pt idx="696">
                  <c:v>100.67058702156207</c:v>
                </c:pt>
                <c:pt idx="697">
                  <c:v>100.54850579455976</c:v>
                </c:pt>
                <c:pt idx="698">
                  <c:v>100.63103958182893</c:v>
                </c:pt>
                <c:pt idx="699">
                  <c:v>100.14443412772114</c:v>
                </c:pt>
                <c:pt idx="700">
                  <c:v>100.11520341139665</c:v>
                </c:pt>
                <c:pt idx="701">
                  <c:v>99.503077822483704</c:v>
                </c:pt>
                <c:pt idx="702">
                  <c:v>99.439458028130389</c:v>
                </c:pt>
                <c:pt idx="703">
                  <c:v>99.054300354207626</c:v>
                </c:pt>
                <c:pt idx="704">
                  <c:v>98.832490800921732</c:v>
                </c:pt>
                <c:pt idx="705">
                  <c:v>99.270951545789174</c:v>
                </c:pt>
                <c:pt idx="706">
                  <c:v>99.059458715911944</c:v>
                </c:pt>
                <c:pt idx="707">
                  <c:v>100.12723958870676</c:v>
                </c:pt>
                <c:pt idx="708">
                  <c:v>100.61900340451884</c:v>
                </c:pt>
                <c:pt idx="709">
                  <c:v>100.79954606417014</c:v>
                </c:pt>
                <c:pt idx="710">
                  <c:v>100.30778224835804</c:v>
                </c:pt>
                <c:pt idx="711">
                  <c:v>100.32497678737245</c:v>
                </c:pt>
                <c:pt idx="712">
                  <c:v>100.63619794353325</c:v>
                </c:pt>
                <c:pt idx="713">
                  <c:v>100.86316585852344</c:v>
                </c:pt>
                <c:pt idx="714">
                  <c:v>101.2517624402491</c:v>
                </c:pt>
                <c:pt idx="715">
                  <c:v>101.48904707864793</c:v>
                </c:pt>
                <c:pt idx="716">
                  <c:v>101.94126345472688</c:v>
                </c:pt>
                <c:pt idx="717">
                  <c:v>101.87248529866925</c:v>
                </c:pt>
                <c:pt idx="718">
                  <c:v>102.60325320678162</c:v>
                </c:pt>
                <c:pt idx="719">
                  <c:v>103.18786753327151</c:v>
                </c:pt>
                <c:pt idx="720">
                  <c:v>104.68551188142655</c:v>
                </c:pt>
                <c:pt idx="721">
                  <c:v>104.72505932115968</c:v>
                </c:pt>
                <c:pt idx="722">
                  <c:v>103.99601086694875</c:v>
                </c:pt>
                <c:pt idx="723">
                  <c:v>104.18858970391013</c:v>
                </c:pt>
                <c:pt idx="724">
                  <c:v>104.33990164723693</c:v>
                </c:pt>
                <c:pt idx="725">
                  <c:v>104.44134942742193</c:v>
                </c:pt>
                <c:pt idx="726">
                  <c:v>105.53492210873834</c:v>
                </c:pt>
                <c:pt idx="727">
                  <c:v>106.19519240689166</c:v>
                </c:pt>
                <c:pt idx="728">
                  <c:v>106.97410502424439</c:v>
                </c:pt>
                <c:pt idx="729">
                  <c:v>106.56487499570146</c:v>
                </c:pt>
                <c:pt idx="730">
                  <c:v>107.24921764847493</c:v>
                </c:pt>
                <c:pt idx="731">
                  <c:v>107.46071047835215</c:v>
                </c:pt>
                <c:pt idx="732">
                  <c:v>107.9679493792772</c:v>
                </c:pt>
                <c:pt idx="733">
                  <c:v>108.48722445751237</c:v>
                </c:pt>
                <c:pt idx="734">
                  <c:v>109.18532274149737</c:v>
                </c:pt>
                <c:pt idx="735">
                  <c:v>109.76133979848009</c:v>
                </c:pt>
                <c:pt idx="736">
                  <c:v>110.15509474191006</c:v>
                </c:pt>
                <c:pt idx="737">
                  <c:v>110.07943877024668</c:v>
                </c:pt>
                <c:pt idx="738">
                  <c:v>109.99862443687896</c:v>
                </c:pt>
                <c:pt idx="739">
                  <c:v>109.17844492589165</c:v>
                </c:pt>
                <c:pt idx="740">
                  <c:v>109.53953024519423</c:v>
                </c:pt>
                <c:pt idx="741">
                  <c:v>109.49138553595388</c:v>
                </c:pt>
                <c:pt idx="742">
                  <c:v>109.52233570617983</c:v>
                </c:pt>
                <c:pt idx="743">
                  <c:v>109.54124969909567</c:v>
                </c:pt>
                <c:pt idx="744">
                  <c:v>110.20495890505184</c:v>
                </c:pt>
                <c:pt idx="745">
                  <c:v>110.01409952199191</c:v>
                </c:pt>
                <c:pt idx="746">
                  <c:v>110.23590907527777</c:v>
                </c:pt>
                <c:pt idx="747">
                  <c:v>110.00034389078037</c:v>
                </c:pt>
                <c:pt idx="748">
                  <c:v>109.50170225936252</c:v>
                </c:pt>
                <c:pt idx="749">
                  <c:v>109.8799821176795</c:v>
                </c:pt>
                <c:pt idx="750">
                  <c:v>110.44568245125359</c:v>
                </c:pt>
                <c:pt idx="751">
                  <c:v>109.92812682691988</c:v>
                </c:pt>
                <c:pt idx="752">
                  <c:v>109.07355823790375</c:v>
                </c:pt>
                <c:pt idx="753">
                  <c:v>108.31184015956542</c:v>
                </c:pt>
                <c:pt idx="754">
                  <c:v>108.2224285566905</c:v>
                </c:pt>
                <c:pt idx="755">
                  <c:v>108.25165927301501</c:v>
                </c:pt>
                <c:pt idx="756">
                  <c:v>108.32215688297407</c:v>
                </c:pt>
                <c:pt idx="757">
                  <c:v>108.51473571993544</c:v>
                </c:pt>
                <c:pt idx="758">
                  <c:v>108.22070910278904</c:v>
                </c:pt>
                <c:pt idx="759">
                  <c:v>108.06595825165937</c:v>
                </c:pt>
                <c:pt idx="760">
                  <c:v>107.99202173389739</c:v>
                </c:pt>
                <c:pt idx="761">
                  <c:v>107.95247429416426</c:v>
                </c:pt>
                <c:pt idx="762">
                  <c:v>107.89229340761382</c:v>
                </c:pt>
                <c:pt idx="763">
                  <c:v>107.72722583307549</c:v>
                </c:pt>
                <c:pt idx="764">
                  <c:v>107.56559716634007</c:v>
                </c:pt>
                <c:pt idx="765">
                  <c:v>107.28360672650376</c:v>
                </c:pt>
                <c:pt idx="766">
                  <c:v>107.33003198184267</c:v>
                </c:pt>
                <c:pt idx="767">
                  <c:v>107.92496303174121</c:v>
                </c:pt>
                <c:pt idx="768">
                  <c:v>108.80016506757465</c:v>
                </c:pt>
                <c:pt idx="769">
                  <c:v>109.02885243646629</c:v>
                </c:pt>
                <c:pt idx="770">
                  <c:v>109.28677052168244</c:v>
                </c:pt>
                <c:pt idx="771">
                  <c:v>109.15093366346859</c:v>
                </c:pt>
                <c:pt idx="772">
                  <c:v>109.46043536572797</c:v>
                </c:pt>
                <c:pt idx="773">
                  <c:v>109.71663399704266</c:v>
                </c:pt>
                <c:pt idx="774">
                  <c:v>108.77265380515161</c:v>
                </c:pt>
                <c:pt idx="775">
                  <c:v>108.82939578389913</c:v>
                </c:pt>
                <c:pt idx="776">
                  <c:v>109.42604628769912</c:v>
                </c:pt>
                <c:pt idx="777">
                  <c:v>109.32115959971122</c:v>
                </c:pt>
                <c:pt idx="778">
                  <c:v>109.83011795453774</c:v>
                </c:pt>
                <c:pt idx="779">
                  <c:v>110.10866948657117</c:v>
                </c:pt>
                <c:pt idx="780">
                  <c:v>110.72595343718847</c:v>
                </c:pt>
                <c:pt idx="781">
                  <c:v>110.07943877024668</c:v>
                </c:pt>
                <c:pt idx="782">
                  <c:v>109.3744626706559</c:v>
                </c:pt>
                <c:pt idx="783">
                  <c:v>108.87582103923803</c:v>
                </c:pt>
                <c:pt idx="784">
                  <c:v>109.43464355720633</c:v>
                </c:pt>
                <c:pt idx="785">
                  <c:v>108.61962240792334</c:v>
                </c:pt>
                <c:pt idx="786">
                  <c:v>107.77880945011874</c:v>
                </c:pt>
                <c:pt idx="787">
                  <c:v>107.52776918050836</c:v>
                </c:pt>
                <c:pt idx="788">
                  <c:v>107.62233914508761</c:v>
                </c:pt>
                <c:pt idx="789">
                  <c:v>108.26713435812795</c:v>
                </c:pt>
                <c:pt idx="790">
                  <c:v>107.92496303174121</c:v>
                </c:pt>
                <c:pt idx="791">
                  <c:v>108.06939715946226</c:v>
                </c:pt>
                <c:pt idx="792">
                  <c:v>108.24478145740922</c:v>
                </c:pt>
                <c:pt idx="793">
                  <c:v>108.04532480484208</c:v>
                </c:pt>
                <c:pt idx="794">
                  <c:v>108.28948725884669</c:v>
                </c:pt>
                <c:pt idx="795">
                  <c:v>107.94731593245996</c:v>
                </c:pt>
                <c:pt idx="796">
                  <c:v>107.97826610268591</c:v>
                </c:pt>
                <c:pt idx="797">
                  <c:v>107.96966883317869</c:v>
                </c:pt>
                <c:pt idx="798">
                  <c:v>107.49338010247956</c:v>
                </c:pt>
                <c:pt idx="799">
                  <c:v>107.35754324426574</c:v>
                </c:pt>
                <c:pt idx="800">
                  <c:v>107.35754324426574</c:v>
                </c:pt>
                <c:pt idx="801">
                  <c:v>107.31455689672971</c:v>
                </c:pt>
                <c:pt idx="802">
                  <c:v>107.11166133635969</c:v>
                </c:pt>
                <c:pt idx="803">
                  <c:v>107.11510024416256</c:v>
                </c:pt>
                <c:pt idx="804">
                  <c:v>107.40224904570319</c:v>
                </c:pt>
                <c:pt idx="805">
                  <c:v>107.98514391829166</c:v>
                </c:pt>
                <c:pt idx="806">
                  <c:v>107.76333436500579</c:v>
                </c:pt>
                <c:pt idx="807">
                  <c:v>108.68152274837523</c:v>
                </c:pt>
                <c:pt idx="808">
                  <c:v>109.64441693318211</c:v>
                </c:pt>
                <c:pt idx="809">
                  <c:v>109.62894184806916</c:v>
                </c:pt>
                <c:pt idx="810">
                  <c:v>108.94116028749281</c:v>
                </c:pt>
                <c:pt idx="811">
                  <c:v>108.06595825165938</c:v>
                </c:pt>
                <c:pt idx="812">
                  <c:v>106.2467760239349</c:v>
                </c:pt>
                <c:pt idx="813">
                  <c:v>106.76433164826861</c:v>
                </c:pt>
                <c:pt idx="814">
                  <c:v>107.34378761305419</c:v>
                </c:pt>
                <c:pt idx="815">
                  <c:v>107.5501220812271</c:v>
                </c:pt>
                <c:pt idx="816">
                  <c:v>108.1003473296882</c:v>
                </c:pt>
                <c:pt idx="817">
                  <c:v>108.20351456377463</c:v>
                </c:pt>
                <c:pt idx="818">
                  <c:v>107.79944289693604</c:v>
                </c:pt>
                <c:pt idx="819">
                  <c:v>108.15193094673141</c:v>
                </c:pt>
                <c:pt idx="820">
                  <c:v>108.19491729426744</c:v>
                </c:pt>
                <c:pt idx="821">
                  <c:v>108.25681763471931</c:v>
                </c:pt>
                <c:pt idx="822">
                  <c:v>107.94387702465707</c:v>
                </c:pt>
                <c:pt idx="823">
                  <c:v>107.84414869837352</c:v>
                </c:pt>
                <c:pt idx="824">
                  <c:v>108.48894391141386</c:v>
                </c:pt>
                <c:pt idx="825">
                  <c:v>108.2602565425222</c:v>
                </c:pt>
                <c:pt idx="826">
                  <c:v>107.88025723030376</c:v>
                </c:pt>
                <c:pt idx="827">
                  <c:v>107.51057464149396</c:v>
                </c:pt>
                <c:pt idx="828">
                  <c:v>107.5449637195228</c:v>
                </c:pt>
                <c:pt idx="829">
                  <c:v>108.01437463461616</c:v>
                </c:pt>
                <c:pt idx="830">
                  <c:v>108.44251865607492</c:v>
                </c:pt>
                <c:pt idx="831">
                  <c:v>109.23862581244207</c:v>
                </c:pt>
                <c:pt idx="832">
                  <c:v>109.19907837270894</c:v>
                </c:pt>
                <c:pt idx="833">
                  <c:v>108.97382991162017</c:v>
                </c:pt>
                <c:pt idx="834">
                  <c:v>108.52677189724552</c:v>
                </c:pt>
                <c:pt idx="835">
                  <c:v>108.78468998246166</c:v>
                </c:pt>
                <c:pt idx="836">
                  <c:v>109.08731386911525</c:v>
                </c:pt>
                <c:pt idx="837">
                  <c:v>109.56876096151872</c:v>
                </c:pt>
                <c:pt idx="838">
                  <c:v>109.33147632311987</c:v>
                </c:pt>
                <c:pt idx="839" formatCode="0">
                  <c:v>109.11138622373545</c:v>
                </c:pt>
                <c:pt idx="840" formatCode="0">
                  <c:v>109.43636301110777</c:v>
                </c:pt>
                <c:pt idx="841" formatCode="0">
                  <c:v>109.31084287630259</c:v>
                </c:pt>
                <c:pt idx="842" formatCode="0">
                  <c:v>109.70287836583111</c:v>
                </c:pt>
                <c:pt idx="843" formatCode="0">
                  <c:v>109.60143058564609</c:v>
                </c:pt>
                <c:pt idx="844" formatCode="0">
                  <c:v>109.19220055710315</c:v>
                </c:pt>
                <c:pt idx="845" formatCode="0">
                  <c:v>109.10278895422823</c:v>
                </c:pt>
                <c:pt idx="846" formatCode="0">
                  <c:v>109.48278826644668</c:v>
                </c:pt>
                <c:pt idx="847" formatCode="0">
                  <c:v>109.0340107981706</c:v>
                </c:pt>
                <c:pt idx="848" formatCode="0">
                  <c:v>109.10966676983398</c:v>
                </c:pt>
                <c:pt idx="849" formatCode="0">
                  <c:v>108.34794869149567</c:v>
                </c:pt>
                <c:pt idx="850" formatCode="0">
                  <c:v>108.72107018810834</c:v>
                </c:pt>
                <c:pt idx="851" formatCode="0">
                  <c:v>108.80532342927894</c:v>
                </c:pt>
                <c:pt idx="852" formatCode="0">
                  <c:v>108.89301557825243</c:v>
                </c:pt>
                <c:pt idx="853" formatCode="0">
                  <c:v>108.60930568451469</c:v>
                </c:pt>
                <c:pt idx="854" formatCode="0">
                  <c:v>108.35310705320001</c:v>
                </c:pt>
                <c:pt idx="855" formatCode="0">
                  <c:v>107.66876440042653</c:v>
                </c:pt>
                <c:pt idx="856" formatCode="0">
                  <c:v>107.49338010247956</c:v>
                </c:pt>
                <c:pt idx="857" formatCode="0">
                  <c:v>107.32487362013835</c:v>
                </c:pt>
                <c:pt idx="858" formatCode="0">
                  <c:v>105.63636988892338</c:v>
                </c:pt>
                <c:pt idx="859" formatCode="0">
                  <c:v>105.25809003060638</c:v>
                </c:pt>
                <c:pt idx="860" formatCode="0">
                  <c:v>105.00876921489746</c:v>
                </c:pt>
                <c:pt idx="861" formatCode="0">
                  <c:v>104.84026273255624</c:v>
                </c:pt>
                <c:pt idx="862" formatCode="0">
                  <c:v>105.11709481068823</c:v>
                </c:pt>
                <c:pt idx="863" formatCode="0">
                  <c:v>104.30895147701099</c:v>
                </c:pt>
                <c:pt idx="864" formatCode="0">
                  <c:v>102.54135286632975</c:v>
                </c:pt>
                <c:pt idx="865" formatCode="0">
                  <c:v>101.9756525327557</c:v>
                </c:pt>
                <c:pt idx="866" formatCode="0">
                  <c:v>101.42886619209749</c:v>
                </c:pt>
                <c:pt idx="867" formatCode="0">
                  <c:v>101.39275766016722</c:v>
                </c:pt>
                <c:pt idx="868" formatCode="0">
                  <c:v>101.03855015647041</c:v>
                </c:pt>
                <c:pt idx="869" formatCode="0">
                  <c:v>100.70325664568942</c:v>
                </c:pt>
                <c:pt idx="870" formatCode="0">
                  <c:v>100.87692148973494</c:v>
                </c:pt>
                <c:pt idx="871" formatCode="0">
                  <c:v>100.71357336909807</c:v>
                </c:pt>
                <c:pt idx="872" formatCode="0">
                  <c:v>100.77375425564851</c:v>
                </c:pt>
                <c:pt idx="873" formatCode="0">
                  <c:v>101.05918360328769</c:v>
                </c:pt>
                <c:pt idx="874" formatCode="0">
                  <c:v>101.0557446954848</c:v>
                </c:pt>
              </c:numCache>
            </c:numRef>
          </c:val>
          <c:smooth val="0"/>
          <c:extLst>
            <c:ext xmlns:c16="http://schemas.microsoft.com/office/drawing/2014/chart" uri="{C3380CC4-5D6E-409C-BE32-E72D297353CC}">
              <c16:uniqueId val="{00000002-3372-4ABC-A980-B0ACB3E218F3}"/>
            </c:ext>
          </c:extLst>
        </c:ser>
        <c:dLbls>
          <c:showLegendKey val="0"/>
          <c:showVal val="0"/>
          <c:showCatName val="0"/>
          <c:showSerName val="0"/>
          <c:showPercent val="0"/>
          <c:showBubbleSize val="0"/>
        </c:dLbls>
        <c:smooth val="0"/>
        <c:axId val="149664512"/>
        <c:axId val="149666048"/>
      </c:lineChart>
      <c:dateAx>
        <c:axId val="149664512"/>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49666048"/>
        <c:crosses val="autoZero"/>
        <c:auto val="1"/>
        <c:lblOffset val="100"/>
        <c:baseTimeUnit val="days"/>
        <c:majorUnit val="3"/>
        <c:majorTimeUnit val="months"/>
      </c:dateAx>
      <c:valAx>
        <c:axId val="149666048"/>
        <c:scaling>
          <c:orientation val="minMax"/>
          <c:min val="71"/>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900"/>
                  <a:t>Ինդեքս, 2018 թ. </a:t>
                </a:r>
                <a:r>
                  <a:rPr lang="en-US" sz="900"/>
                  <a:t>հունվար </a:t>
                </a:r>
                <a:r>
                  <a:rPr lang="hy-AM" sz="900"/>
                  <a:t>8</a:t>
                </a:r>
                <a:r>
                  <a:rPr lang="en-US" sz="900"/>
                  <a:t>=100</a:t>
                </a:r>
              </a:p>
              <a:p>
                <a:pPr>
                  <a:defRPr sz="900" b="0" i="0" u="none" strike="noStrike" kern="1200" baseline="0">
                    <a:solidFill>
                      <a:schemeClr val="tx1">
                        <a:lumMod val="65000"/>
                        <a:lumOff val="35000"/>
                      </a:schemeClr>
                    </a:solidFill>
                    <a:latin typeface="+mn-lt"/>
                    <a:ea typeface="+mn-ea"/>
                    <a:cs typeface="+mn-cs"/>
                  </a:defRPr>
                </a:pPr>
                <a:endParaRPr lang="en-US" sz="900"/>
              </a:p>
            </c:rich>
          </c:tx>
          <c:layout>
            <c:manualLayout>
              <c:xMode val="edge"/>
              <c:yMode val="edge"/>
              <c:x val="7.7972709551656924E-3"/>
              <c:y val="6.2146892655367263E-2"/>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664512"/>
        <c:crosses val="max"/>
        <c:crossBetween val="between"/>
      </c:valAx>
      <c:spPr>
        <a:noFill/>
        <a:ln>
          <a:noFill/>
        </a:ln>
        <a:effectLst/>
      </c:spPr>
    </c:plotArea>
    <c:legend>
      <c:legendPos val="b"/>
      <c:layout>
        <c:manualLayout>
          <c:xMode val="edge"/>
          <c:yMode val="edge"/>
          <c:x val="0"/>
          <c:y val="0.88503824118759367"/>
          <c:w val="1"/>
          <c:h val="0.1013520607221394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1089970058726"/>
          <c:y val="6.6066066066066062E-2"/>
          <c:w val="0.82107834761124066"/>
          <c:h val="0.56289234116005749"/>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Sheet1!$A$2:$A$41</c:f>
              <c:strCache>
                <c:ptCount val="4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strCache>
            </c:strRef>
          </c:cat>
          <c:val>
            <c:numRef>
              <c:f>Sheet1!$B$2:$B$41</c:f>
              <c:numCache>
                <c:formatCode>0.0</c:formatCode>
                <c:ptCount val="40"/>
                <c:pt idx="0">
                  <c:v>-4.8613536355381513</c:v>
                </c:pt>
                <c:pt idx="1">
                  <c:v>-4.5033580770590333</c:v>
                </c:pt>
                <c:pt idx="2">
                  <c:v>-4.1183033065109527</c:v>
                </c:pt>
                <c:pt idx="3">
                  <c:v>-3.4489544015312958</c:v>
                </c:pt>
                <c:pt idx="4">
                  <c:v>-2.5657620342005742</c:v>
                </c:pt>
                <c:pt idx="5">
                  <c:v>-1.7429456504706877</c:v>
                </c:pt>
                <c:pt idx="6">
                  <c:v>-0.76680573907795235</c:v>
                </c:pt>
                <c:pt idx="7">
                  <c:v>0.68588615023475086</c:v>
                </c:pt>
                <c:pt idx="8">
                  <c:v>2.1508464701006886</c:v>
                </c:pt>
                <c:pt idx="9">
                  <c:v>3.0833932902632597</c:v>
                </c:pt>
                <c:pt idx="10">
                  <c:v>3.6939456581952044</c:v>
                </c:pt>
                <c:pt idx="11">
                  <c:v>4.1659953649196382</c:v>
                </c:pt>
                <c:pt idx="12">
                  <c:v>8.8099258497907726</c:v>
                </c:pt>
                <c:pt idx="13">
                  <c:v>9.3685223571217335</c:v>
                </c:pt>
                <c:pt idx="14">
                  <c:v>9.5781551715601267</c:v>
                </c:pt>
                <c:pt idx="15">
                  <c:v>9.408407907657562</c:v>
                </c:pt>
                <c:pt idx="16">
                  <c:v>9.2151681993298808</c:v>
                </c:pt>
                <c:pt idx="17">
                  <c:v>8.6043401989768853</c:v>
                </c:pt>
                <c:pt idx="18">
                  <c:v>7.6990018453279703</c:v>
                </c:pt>
                <c:pt idx="19">
                  <c:v>6.5052274962660732</c:v>
                </c:pt>
                <c:pt idx="20">
                  <c:v>5.3823907455012829</c:v>
                </c:pt>
                <c:pt idx="21">
                  <c:v>4.5993552843656289</c:v>
                </c:pt>
                <c:pt idx="22">
                  <c:v>3.9949444277952182</c:v>
                </c:pt>
                <c:pt idx="23">
                  <c:v>3.5068203044597936</c:v>
                </c:pt>
                <c:pt idx="24">
                  <c:v>-2.6246542068686409</c:v>
                </c:pt>
                <c:pt idx="25">
                  <c:v>-1.4553084915558543</c:v>
                </c:pt>
                <c:pt idx="26">
                  <c:v>-0.39762329711045652</c:v>
                </c:pt>
                <c:pt idx="27">
                  <c:v>0.76205314050565676</c:v>
                </c:pt>
                <c:pt idx="28">
                  <c:v>1.2758480875794191</c:v>
                </c:pt>
                <c:pt idx="29">
                  <c:v>1.5440919000124609</c:v>
                </c:pt>
                <c:pt idx="30">
                  <c:v>1.7990829349974149</c:v>
                </c:pt>
                <c:pt idx="31">
                  <c:v>1.8717880749399285</c:v>
                </c:pt>
                <c:pt idx="32">
                  <c:v>2.0254611983534119</c:v>
                </c:pt>
                <c:pt idx="33">
                  <c:v>2.1875515931979663</c:v>
                </c:pt>
                <c:pt idx="34">
                  <c:v>2.1124378234122361</c:v>
                </c:pt>
                <c:pt idx="35">
                  <c:v>1.7121083243293072</c:v>
                </c:pt>
                <c:pt idx="36">
                  <c:v>-2.7439024390243816</c:v>
                </c:pt>
                <c:pt idx="37">
                  <c:v>-3.7229110141841204</c:v>
                </c:pt>
                <c:pt idx="38">
                  <c:v>-4.4366820151064701</c:v>
                </c:pt>
                <c:pt idx="39">
                  <c:v>-5.2721802994907421</c:v>
                </c:pt>
              </c:numCache>
            </c:numRef>
          </c:val>
          <c:smooth val="0"/>
          <c:extLst>
            <c:ext xmlns:c16="http://schemas.microsoft.com/office/drawing/2014/chart" uri="{C3380CC4-5D6E-409C-BE32-E72D297353CC}">
              <c16:uniqueId val="{00000000-83F1-459F-AFD3-E7DAFEAEDCE6}"/>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Sheet1!$A$2:$A$41</c:f>
              <c:strCache>
                <c:ptCount val="4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strCache>
            </c:strRef>
          </c:cat>
          <c:val>
            <c:numRef>
              <c:f>Sheet1!$C$2:$C$41</c:f>
              <c:numCache>
                <c:formatCode>0.0</c:formatCode>
                <c:ptCount val="40"/>
                <c:pt idx="0">
                  <c:v>-4.1431885979449845</c:v>
                </c:pt>
                <c:pt idx="1">
                  <c:v>-3.9519250356488129</c:v>
                </c:pt>
                <c:pt idx="2">
                  <c:v>-3.7853289115477935</c:v>
                </c:pt>
                <c:pt idx="3">
                  <c:v>-2.9146561842129728</c:v>
                </c:pt>
                <c:pt idx="4">
                  <c:v>-1.6898965125321439</c:v>
                </c:pt>
                <c:pt idx="5">
                  <c:v>-0.46613637925754858</c:v>
                </c:pt>
                <c:pt idx="6">
                  <c:v>0.66620536504512984</c:v>
                </c:pt>
                <c:pt idx="7">
                  <c:v>2.2071970338584492</c:v>
                </c:pt>
                <c:pt idx="8">
                  <c:v>3.8132945237366158</c:v>
                </c:pt>
                <c:pt idx="9">
                  <c:v>4.9536727264479339</c:v>
                </c:pt>
                <c:pt idx="10">
                  <c:v>5.7959298805658079</c:v>
                </c:pt>
                <c:pt idx="11">
                  <c:v>6.4208516747920896</c:v>
                </c:pt>
                <c:pt idx="12">
                  <c:v>13.911940986629801</c:v>
                </c:pt>
                <c:pt idx="13">
                  <c:v>13.91882772582666</c:v>
                </c:pt>
                <c:pt idx="14">
                  <c:v>14.057335408280068</c:v>
                </c:pt>
                <c:pt idx="15">
                  <c:v>13.851763012712894</c:v>
                </c:pt>
                <c:pt idx="16">
                  <c:v>13.471660226961575</c:v>
                </c:pt>
                <c:pt idx="17">
                  <c:v>12.668478840878123</c:v>
                </c:pt>
                <c:pt idx="18">
                  <c:v>11.711452488663681</c:v>
                </c:pt>
                <c:pt idx="19">
                  <c:v>10.532033900645899</c:v>
                </c:pt>
                <c:pt idx="20">
                  <c:v>9.3252693710836922</c:v>
                </c:pt>
                <c:pt idx="21">
                  <c:v>8.4146451275956053</c:v>
                </c:pt>
                <c:pt idx="22">
                  <c:v>7.7115163890451726</c:v>
                </c:pt>
                <c:pt idx="23">
                  <c:v>7.1842207482216907</c:v>
                </c:pt>
                <c:pt idx="24">
                  <c:v>1.3423724240277863</c:v>
                </c:pt>
                <c:pt idx="25">
                  <c:v>2.8146367883013994</c:v>
                </c:pt>
                <c:pt idx="26">
                  <c:v>3.7042048645174361</c:v>
                </c:pt>
                <c:pt idx="27">
                  <c:v>4.4462422679543607</c:v>
                </c:pt>
                <c:pt idx="28">
                  <c:v>4.5995656487116889</c:v>
                </c:pt>
                <c:pt idx="29">
                  <c:v>4.5979060917240986</c:v>
                </c:pt>
                <c:pt idx="30">
                  <c:v>4.7121392797519661</c:v>
                </c:pt>
                <c:pt idx="31">
                  <c:v>4.6430460514533394</c:v>
                </c:pt>
                <c:pt idx="32">
                  <c:v>4.7383066706577495</c:v>
                </c:pt>
                <c:pt idx="33">
                  <c:v>4.8867596687010177</c:v>
                </c:pt>
                <c:pt idx="34">
                  <c:v>4.7942765719805465</c:v>
                </c:pt>
                <c:pt idx="35">
                  <c:v>4.2212336990500035</c:v>
                </c:pt>
                <c:pt idx="36">
                  <c:v>-2.6458548274370344</c:v>
                </c:pt>
                <c:pt idx="37">
                  <c:v>-3.812533952293947</c:v>
                </c:pt>
                <c:pt idx="38">
                  <c:v>-4.5798538622129428</c:v>
                </c:pt>
                <c:pt idx="39">
                  <c:v>-5.4535332182220344</c:v>
                </c:pt>
              </c:numCache>
            </c:numRef>
          </c:val>
          <c:smooth val="0"/>
          <c:extLst>
            <c:ext xmlns:c16="http://schemas.microsoft.com/office/drawing/2014/chart" uri="{C3380CC4-5D6E-409C-BE32-E72D297353CC}">
              <c16:uniqueId val="{00000001-83F1-459F-AFD3-E7DAFEAEDCE6}"/>
            </c:ext>
          </c:extLst>
        </c:ser>
        <c:dLbls>
          <c:showLegendKey val="0"/>
          <c:showVal val="0"/>
          <c:showCatName val="0"/>
          <c:showSerName val="0"/>
          <c:showPercent val="0"/>
          <c:showBubbleSize val="0"/>
        </c:dLbls>
        <c:smooth val="0"/>
        <c:axId val="150078208"/>
        <c:axId val="150079744"/>
      </c:lineChart>
      <c:catAx>
        <c:axId val="1500782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079744"/>
        <c:crosses val="autoZero"/>
        <c:auto val="1"/>
        <c:lblAlgn val="ctr"/>
        <c:lblOffset val="100"/>
        <c:noMultiLvlLbl val="0"/>
      </c:catAx>
      <c:valAx>
        <c:axId val="15007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sz="1000" b="0" i="0" u="none" strike="noStrike" kern="1200" baseline="0">
                    <a:solidFill>
                      <a:sysClr val="windowText" lastClr="000000">
                        <a:lumMod val="65000"/>
                        <a:lumOff val="35000"/>
                      </a:sysClr>
                    </a:solidFill>
                    <a:latin typeface="+mn-lt"/>
                    <a:ea typeface="+mn-ea"/>
                    <a:cs typeface="+mn-cs"/>
                  </a:rPr>
                  <a:t>տոկոս</a:t>
                </a:r>
                <a:endParaRPr lang="en-US"/>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078208"/>
        <c:crosses val="autoZero"/>
        <c:crossBetween val="between"/>
      </c:valAx>
      <c:spPr>
        <a:noFill/>
        <a:ln>
          <a:noFill/>
        </a:ln>
        <a:effectLst/>
      </c:spPr>
    </c:plotArea>
    <c:legend>
      <c:legendPos val="b"/>
      <c:layout>
        <c:manualLayout>
          <c:xMode val="edge"/>
          <c:yMode val="edge"/>
          <c:x val="0.15639159486897611"/>
          <c:y val="0.88062992125984241"/>
          <c:w val="0.69562690807467398"/>
          <c:h val="0.1013520607221394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12</a:t>
            </a:r>
            <a:r>
              <a:rPr lang="hy-AM" sz="900" i="1"/>
              <a:t> ամսյա գնաճը</a:t>
            </a:r>
            <a:r>
              <a:rPr lang="en-US" sz="900" i="1"/>
              <a:t>,</a:t>
            </a:r>
            <a:r>
              <a:rPr lang="en-US" sz="900" i="1" baseline="0"/>
              <a:t> %</a:t>
            </a:r>
            <a:endParaRPr lang="en-US" sz="900" i="1"/>
          </a:p>
        </c:rich>
      </c:tx>
      <c:layout>
        <c:manualLayout>
          <c:xMode val="edge"/>
          <c:yMode val="edge"/>
          <c:x val="0.28161808163810031"/>
          <c:y val="0"/>
        </c:manualLayout>
      </c:layout>
      <c:overlay val="0"/>
      <c:spPr>
        <a:noFill/>
        <a:ln>
          <a:noFill/>
        </a:ln>
        <a:effectLst/>
      </c:spPr>
    </c:title>
    <c:autoTitleDeleted val="0"/>
    <c:plotArea>
      <c:layout>
        <c:manualLayout>
          <c:layoutTarget val="inner"/>
          <c:xMode val="edge"/>
          <c:yMode val="edge"/>
          <c:x val="0.11270836908098351"/>
          <c:y val="0.11961308574745928"/>
          <c:w val="0.84290099330804125"/>
          <c:h val="0.68117431582734356"/>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Sheet1!$A$2:$A$47</c:f>
              <c:numCache>
                <c:formatCode>General</c:formatCode>
                <c:ptCount val="18"/>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2021.5</c:v>
                </c:pt>
              </c:numCache>
            </c:numRef>
          </c:cat>
          <c:val>
            <c:numRef>
              <c:f>Sheet1!$C$2:$C$47</c:f>
              <c:numCache>
                <c:formatCode>0.0</c:formatCode>
                <c:ptCount val="18"/>
                <c:pt idx="0">
                  <c:v>1.3982565421665469</c:v>
                </c:pt>
                <c:pt idx="1">
                  <c:v>2.0768222170414887</c:v>
                </c:pt>
                <c:pt idx="2">
                  <c:v>1.1926305800832313</c:v>
                </c:pt>
                <c:pt idx="3">
                  <c:v>2.2618855829164728</c:v>
                </c:pt>
                <c:pt idx="4">
                  <c:v>1.8984840000000003</c:v>
                </c:pt>
                <c:pt idx="5">
                  <c:v>-0.89628000000000019</c:v>
                </c:pt>
                <c:pt idx="6">
                  <c:v>2.1592199999999999</c:v>
                </c:pt>
                <c:pt idx="7">
                  <c:v>0.65184000000000009</c:v>
                </c:pt>
                <c:pt idx="8">
                  <c:v>1.4224399999999999</c:v>
                </c:pt>
                <c:pt idx="9">
                  <c:v>1.9020999999999999</c:v>
                </c:pt>
                <c:pt idx="10">
                  <c:v>-0.57889999999999997</c:v>
                </c:pt>
                <c:pt idx="11">
                  <c:v>-0.13645500000000002</c:v>
                </c:pt>
                <c:pt idx="12">
                  <c:v>-1.1761594</c:v>
                </c:pt>
                <c:pt idx="13">
                  <c:v>0.78459999999999996</c:v>
                </c:pt>
                <c:pt idx="14">
                  <c:v>0.34734000000000004</c:v>
                </c:pt>
                <c:pt idx="15">
                  <c:v>1.937962</c:v>
                </c:pt>
                <c:pt idx="16">
                  <c:v>2.7530960000000007</c:v>
                </c:pt>
                <c:pt idx="17">
                  <c:v>2.7716980000000002</c:v>
                </c:pt>
              </c:numCache>
            </c:numRef>
          </c:val>
          <c:extLst>
            <c:ext xmlns:c16="http://schemas.microsoft.com/office/drawing/2014/chart" uri="{C3380CC4-5D6E-409C-BE32-E72D297353CC}">
              <c16:uniqueId val="{00000000-CAD4-4284-84FD-E079B7EB0B9B}"/>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Sheet1!$A$2:$A$47</c:f>
              <c:numCache>
                <c:formatCode>General</c:formatCode>
                <c:ptCount val="18"/>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2021.5</c:v>
                </c:pt>
              </c:numCache>
            </c:numRef>
          </c:cat>
          <c:val>
            <c:numRef>
              <c:f>Sheet1!$D$2:$D$47</c:f>
              <c:numCache>
                <c:formatCode>0.0</c:formatCode>
                <c:ptCount val="18"/>
                <c:pt idx="0">
                  <c:v>9.6798629569375266E-2</c:v>
                </c:pt>
                <c:pt idx="1">
                  <c:v>0.16059772633100894</c:v>
                </c:pt>
                <c:pt idx="2">
                  <c:v>0.16719763289255724</c:v>
                </c:pt>
                <c:pt idx="3">
                  <c:v>0.17599750830795499</c:v>
                </c:pt>
                <c:pt idx="4">
                  <c:v>0.15984000000000001</c:v>
                </c:pt>
                <c:pt idx="5">
                  <c:v>0.19872000000000001</c:v>
                </c:pt>
                <c:pt idx="6">
                  <c:v>0.21600000000000003</c:v>
                </c:pt>
                <c:pt idx="7">
                  <c:v>0.16847999999999999</c:v>
                </c:pt>
                <c:pt idx="8">
                  <c:v>0.19976000000000002</c:v>
                </c:pt>
                <c:pt idx="9">
                  <c:v>0.18160000000000001</c:v>
                </c:pt>
                <c:pt idx="10">
                  <c:v>0.21338000000000001</c:v>
                </c:pt>
                <c:pt idx="11">
                  <c:v>0.20702399999999999</c:v>
                </c:pt>
                <c:pt idx="12">
                  <c:v>0.45172999999999996</c:v>
                </c:pt>
                <c:pt idx="13">
                  <c:v>0.46287</c:v>
                </c:pt>
                <c:pt idx="14">
                  <c:v>0.44492000000000004</c:v>
                </c:pt>
                <c:pt idx="15">
                  <c:v>0.43368000000000001</c:v>
                </c:pt>
                <c:pt idx="16">
                  <c:v>0.41001639999999995</c:v>
                </c:pt>
                <c:pt idx="17">
                  <c:v>0.38572738499999992</c:v>
                </c:pt>
              </c:numCache>
            </c:numRef>
          </c:val>
          <c:extLst>
            <c:ext xmlns:c16="http://schemas.microsoft.com/office/drawing/2014/chart" uri="{C3380CC4-5D6E-409C-BE32-E72D297353CC}">
              <c16:uniqueId val="{00000001-CAD4-4284-84FD-E079B7EB0B9B}"/>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Sheet1!$A$2:$A$47</c:f>
              <c:numCache>
                <c:formatCode>General</c:formatCode>
                <c:ptCount val="18"/>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2021.5</c:v>
                </c:pt>
              </c:numCache>
            </c:numRef>
          </c:cat>
          <c:val>
            <c:numRef>
              <c:f>Sheet1!$E$2:$E$47</c:f>
              <c:numCache>
                <c:formatCode>0.0</c:formatCode>
                <c:ptCount val="18"/>
                <c:pt idx="0">
                  <c:v>-0.74167100978775335</c:v>
                </c:pt>
                <c:pt idx="1">
                  <c:v>-0.62300364822171272</c:v>
                </c:pt>
                <c:pt idx="2">
                  <c:v>-0.14833420195755065</c:v>
                </c:pt>
                <c:pt idx="3">
                  <c:v>0.36024020475405161</c:v>
                </c:pt>
                <c:pt idx="4">
                  <c:v>1.0925</c:v>
                </c:pt>
                <c:pt idx="5">
                  <c:v>1.15805</c:v>
                </c:pt>
                <c:pt idx="6">
                  <c:v>0.85215000000000007</c:v>
                </c:pt>
                <c:pt idx="7">
                  <c:v>0.69920000000000004</c:v>
                </c:pt>
                <c:pt idx="8">
                  <c:v>0.20015999999999998</c:v>
                </c:pt>
                <c:pt idx="9">
                  <c:v>0.42255999999999994</c:v>
                </c:pt>
                <c:pt idx="10">
                  <c:v>0.53376000000000001</c:v>
                </c:pt>
                <c:pt idx="11">
                  <c:v>0.31135999999999997</c:v>
                </c:pt>
                <c:pt idx="12">
                  <c:v>0.27799999999999997</c:v>
                </c:pt>
                <c:pt idx="13">
                  <c:v>-4.2020000000000009E-2</c:v>
                </c:pt>
                <c:pt idx="14">
                  <c:v>0.11119999999999999</c:v>
                </c:pt>
                <c:pt idx="15">
                  <c:v>0.71433999999999997</c:v>
                </c:pt>
                <c:pt idx="16">
                  <c:v>1.8656400000000002</c:v>
                </c:pt>
                <c:pt idx="17">
                  <c:v>1.9989000000000001</c:v>
                </c:pt>
              </c:numCache>
            </c:numRef>
          </c:val>
          <c:extLst>
            <c:ext xmlns:c16="http://schemas.microsoft.com/office/drawing/2014/chart" uri="{C3380CC4-5D6E-409C-BE32-E72D297353CC}">
              <c16:uniqueId val="{00000002-CAD4-4284-84FD-E079B7EB0B9B}"/>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Sheet1!$A$2:$A$47</c:f>
              <c:numCache>
                <c:formatCode>General</c:formatCode>
                <c:ptCount val="18"/>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2021.5</c:v>
                </c:pt>
              </c:numCache>
            </c:numRef>
          </c:cat>
          <c:val>
            <c:numRef>
              <c:f>Sheet1!$F$2:$F$47</c:f>
              <c:numCache>
                <c:formatCode>0.0</c:formatCode>
                <c:ptCount val="18"/>
                <c:pt idx="0">
                  <c:v>-0.86539100949568792</c:v>
                </c:pt>
                <c:pt idx="1">
                  <c:v>-0.46597977434383187</c:v>
                </c:pt>
                <c:pt idx="2">
                  <c:v>-0.16642134797993996</c:v>
                </c:pt>
                <c:pt idx="3">
                  <c:v>-0.16642134797993996</c:v>
                </c:pt>
                <c:pt idx="4">
                  <c:v>0.59543999999999997</c:v>
                </c:pt>
                <c:pt idx="5">
                  <c:v>0.46311999999999998</c:v>
                </c:pt>
                <c:pt idx="6">
                  <c:v>0.23155999999999999</c:v>
                </c:pt>
                <c:pt idx="7">
                  <c:v>0.26463999999999999</c:v>
                </c:pt>
                <c:pt idx="8">
                  <c:v>3.1870000000000002E-2</c:v>
                </c:pt>
                <c:pt idx="9">
                  <c:v>3.1870000000000002E-2</c:v>
                </c:pt>
                <c:pt idx="10">
                  <c:v>0.35057000000000005</c:v>
                </c:pt>
                <c:pt idx="11">
                  <c:v>0.33782200000000001</c:v>
                </c:pt>
                <c:pt idx="12">
                  <c:v>0.39837499999999998</c:v>
                </c:pt>
                <c:pt idx="13">
                  <c:v>0.46240999999999999</c:v>
                </c:pt>
                <c:pt idx="14">
                  <c:v>0.44618000000000002</c:v>
                </c:pt>
                <c:pt idx="15">
                  <c:v>0.56912000000000007</c:v>
                </c:pt>
                <c:pt idx="16">
                  <c:v>0.79486000000000023</c:v>
                </c:pt>
                <c:pt idx="17">
                  <c:v>0.77679500000000001</c:v>
                </c:pt>
              </c:numCache>
            </c:numRef>
          </c:val>
          <c:extLst>
            <c:ext xmlns:c16="http://schemas.microsoft.com/office/drawing/2014/chart" uri="{C3380CC4-5D6E-409C-BE32-E72D297353CC}">
              <c16:uniqueId val="{00000003-CAD4-4284-84FD-E079B7EB0B9B}"/>
            </c:ext>
          </c:extLst>
        </c:ser>
        <c:dLbls>
          <c:showLegendKey val="0"/>
          <c:showVal val="0"/>
          <c:showCatName val="0"/>
          <c:showSerName val="0"/>
          <c:showPercent val="0"/>
          <c:showBubbleSize val="0"/>
        </c:dLbls>
        <c:gapWidth val="100"/>
        <c:overlap val="100"/>
        <c:axId val="149851520"/>
        <c:axId val="149861504"/>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CAD4-4284-84FD-E079B7EB0B9B}"/>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CAD4-4284-84FD-E079B7EB0B9B}"/>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CAD4-4284-84FD-E079B7EB0B9B}"/>
              </c:ext>
            </c:extLst>
          </c:dPt>
          <c:dPt>
            <c:idx val="15"/>
            <c:marker>
              <c:symbol val="auto"/>
            </c:marker>
            <c:bubble3D val="0"/>
            <c:extLst>
              <c:ext xmlns:c16="http://schemas.microsoft.com/office/drawing/2014/chart" uri="{C3380CC4-5D6E-409C-BE32-E72D297353CC}">
                <c16:uniqueId val="{00000007-CAD4-4284-84FD-E079B7EB0B9B}"/>
              </c:ext>
            </c:extLst>
          </c:dPt>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AD4-4284-84FD-E079B7EB0B9B}"/>
                </c:ext>
              </c:extLst>
            </c:dLbl>
            <c:dLbl>
              <c:idx val="3"/>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AD4-4284-84FD-E079B7EB0B9B}"/>
                </c:ext>
              </c:extLst>
            </c:dLbl>
            <c:dLbl>
              <c:idx val="7"/>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AD4-4284-84FD-E079B7EB0B9B}"/>
                </c:ext>
              </c:extLst>
            </c:dLbl>
            <c:dLbl>
              <c:idx val="11"/>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AD4-4284-84FD-E079B7EB0B9B}"/>
                </c:ext>
              </c:extLst>
            </c:dLbl>
            <c:dLbl>
              <c:idx val="15"/>
              <c:layout>
                <c:manualLayout>
                  <c:x val="-0.10605751580664899"/>
                  <c:y val="-2.53968253968254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AD4-4284-84FD-E079B7EB0B9B}"/>
                </c:ext>
              </c:extLst>
            </c:dLbl>
            <c:dLbl>
              <c:idx val="17"/>
              <c:layout>
                <c:manualLayout>
                  <c:x val="-8.1582704466653076E-3"/>
                  <c:y val="-5.71428571428571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AD4-4284-84FD-E079B7EB0B9B}"/>
                </c:ext>
              </c:extLst>
            </c:dLbl>
            <c:dLbl>
              <c:idx val="18"/>
              <c:layout>
                <c:manualLayout>
                  <c:x val="0"/>
                  <c:y val="-1.9047619047619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AD4-4284-84FD-E079B7EB0B9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Sheet1!$A$2:$A$47</c:f>
              <c:numCache>
                <c:formatCode>General</c:formatCode>
                <c:ptCount val="18"/>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2021.5</c:v>
                </c:pt>
              </c:numCache>
            </c:numRef>
          </c:cat>
          <c:val>
            <c:numRef>
              <c:f>Sheet1!$B$2:$B$47</c:f>
              <c:numCache>
                <c:formatCode>0.0</c:formatCode>
                <c:ptCount val="18"/>
                <c:pt idx="0">
                  <c:v>-0.11200684754751911</c:v>
                </c:pt>
                <c:pt idx="1">
                  <c:v>1.1484365208069529</c:v>
                </c:pt>
                <c:pt idx="2">
                  <c:v>1.045072663038298</c:v>
                </c:pt>
                <c:pt idx="3">
                  <c:v>2.6317019479985393</c:v>
                </c:pt>
                <c:pt idx="4">
                  <c:v>3.746264</c:v>
                </c:pt>
                <c:pt idx="5">
                  <c:v>0.92360999999999982</c:v>
                </c:pt>
                <c:pt idx="6">
                  <c:v>3.4589300000000001</c:v>
                </c:pt>
                <c:pt idx="7">
                  <c:v>1.78416</c:v>
                </c:pt>
                <c:pt idx="8">
                  <c:v>1.8542299999999998</c:v>
                </c:pt>
                <c:pt idx="9">
                  <c:v>2.5381299999999998</c:v>
                </c:pt>
                <c:pt idx="10">
                  <c:v>0.5188100000000001</c:v>
                </c:pt>
                <c:pt idx="11">
                  <c:v>0.71975100000000003</c:v>
                </c:pt>
                <c:pt idx="12">
                  <c:v>-5.8054400000000055E-2</c:v>
                </c:pt>
                <c:pt idx="13">
                  <c:v>1.6678599999999999</c:v>
                </c:pt>
                <c:pt idx="14">
                  <c:v>1.3506399999999998</c:v>
                </c:pt>
                <c:pt idx="15">
                  <c:v>3.6551020000000003</c:v>
                </c:pt>
                <c:pt idx="16">
                  <c:v>5.8236124000000009</c:v>
                </c:pt>
                <c:pt idx="17">
                  <c:v>5.9331203850000005</c:v>
                </c:pt>
              </c:numCache>
            </c:numRef>
          </c:val>
          <c:smooth val="0"/>
          <c:extLst>
            <c:ext xmlns:c16="http://schemas.microsoft.com/office/drawing/2014/chart" uri="{C3380CC4-5D6E-409C-BE32-E72D297353CC}">
              <c16:uniqueId val="{0000000B-CAD4-4284-84FD-E079B7EB0B9B}"/>
            </c:ext>
          </c:extLst>
        </c:ser>
        <c:dLbls>
          <c:showLegendKey val="0"/>
          <c:showVal val="0"/>
          <c:showCatName val="0"/>
          <c:showSerName val="0"/>
          <c:showPercent val="0"/>
          <c:showBubbleSize val="0"/>
        </c:dLbls>
        <c:marker val="1"/>
        <c:smooth val="0"/>
        <c:axId val="149851520"/>
        <c:axId val="149861504"/>
      </c:lineChart>
      <c:catAx>
        <c:axId val="14985152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149861504"/>
        <c:crosses val="autoZero"/>
        <c:auto val="1"/>
        <c:lblAlgn val="ctr"/>
        <c:lblOffset val="100"/>
        <c:noMultiLvlLbl val="0"/>
      </c:catAx>
      <c:valAx>
        <c:axId val="149861504"/>
        <c:scaling>
          <c:orientation val="minMax"/>
          <c:max val="7"/>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4985152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Մ</a:t>
            </a:r>
            <a:r>
              <a:rPr lang="hy-AM" sz="900" i="1"/>
              <a:t>իջին գնաճը</a:t>
            </a:r>
            <a:r>
              <a:rPr lang="en-US" sz="900" i="1"/>
              <a:t>,</a:t>
            </a:r>
            <a:r>
              <a:rPr lang="en-US" sz="900" i="1" baseline="0"/>
              <a:t> %</a:t>
            </a:r>
            <a:endParaRPr lang="en-US" sz="900" i="1"/>
          </a:p>
        </c:rich>
      </c:tx>
      <c:layout>
        <c:manualLayout>
          <c:xMode val="edge"/>
          <c:yMode val="edge"/>
          <c:x val="0.31103696783664886"/>
          <c:y val="0"/>
        </c:manualLayout>
      </c:layout>
      <c:overlay val="0"/>
      <c:spPr>
        <a:noFill/>
        <a:ln>
          <a:noFill/>
        </a:ln>
        <a:effectLst/>
      </c:spPr>
    </c:title>
    <c:autoTitleDeleted val="0"/>
    <c:plotArea>
      <c:layout>
        <c:manualLayout>
          <c:layoutTarget val="inner"/>
          <c:xMode val="edge"/>
          <c:yMode val="edge"/>
          <c:x val="0.11270836908098351"/>
          <c:y val="0.12480519374330552"/>
          <c:w val="0.84290099330804125"/>
          <c:h val="0.67598220783149765"/>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Sheet1!$A$2:$A$47</c:f>
              <c:numCache>
                <c:formatCode>General</c:formatCode>
                <c:ptCount val="18"/>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2021.5</c:v>
                </c:pt>
              </c:numCache>
            </c:numRef>
          </c:cat>
          <c:val>
            <c:numRef>
              <c:f>Sheet1!$C$2:$C$47</c:f>
              <c:numCache>
                <c:formatCode>0.0</c:formatCode>
                <c:ptCount val="18"/>
                <c:pt idx="0">
                  <c:v>1.1515053876665682</c:v>
                </c:pt>
                <c:pt idx="1">
                  <c:v>1.7437081584665173</c:v>
                </c:pt>
                <c:pt idx="2">
                  <c:v>1.5421947156248681</c:v>
                </c:pt>
                <c:pt idx="3">
                  <c:v>1.6861328890831888</c:v>
                </c:pt>
                <c:pt idx="4">
                  <c:v>1.7110799999999999</c:v>
                </c:pt>
                <c:pt idx="5">
                  <c:v>0.75369000000000019</c:v>
                </c:pt>
                <c:pt idx="6">
                  <c:v>0.97775999999999996</c:v>
                </c:pt>
                <c:pt idx="7">
                  <c:v>0.93701999999999996</c:v>
                </c:pt>
                <c:pt idx="8">
                  <c:v>0.99239999999999995</c:v>
                </c:pt>
                <c:pt idx="9">
                  <c:v>1.4472499999999999</c:v>
                </c:pt>
                <c:pt idx="10">
                  <c:v>1.0130749999999999</c:v>
                </c:pt>
                <c:pt idx="11">
                  <c:v>0.76497500000000007</c:v>
                </c:pt>
                <c:pt idx="12">
                  <c:v>-1.2156899999999999</c:v>
                </c:pt>
                <c:pt idx="13">
                  <c:v>-0.43004000000000003</c:v>
                </c:pt>
                <c:pt idx="14">
                  <c:v>-0.12404999999999999</c:v>
                </c:pt>
                <c:pt idx="15">
                  <c:v>0.11768999999999999</c:v>
                </c:pt>
                <c:pt idx="16">
                  <c:v>2.6414839999999997</c:v>
                </c:pt>
                <c:pt idx="17">
                  <c:v>2.7716980000000002</c:v>
                </c:pt>
              </c:numCache>
            </c:numRef>
          </c:val>
          <c:extLst>
            <c:ext xmlns:c16="http://schemas.microsoft.com/office/drawing/2014/chart" uri="{C3380CC4-5D6E-409C-BE32-E72D297353CC}">
              <c16:uniqueId val="{00000000-D086-4AD0-9E7B-D1F05E87AD57}"/>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Sheet1!$A$2:$A$47</c:f>
              <c:numCache>
                <c:formatCode>General</c:formatCode>
                <c:ptCount val="18"/>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2021.5</c:v>
                </c:pt>
              </c:numCache>
            </c:numRef>
          </c:cat>
          <c:val>
            <c:numRef>
              <c:f>Sheet1!$D$2:$D$47</c:f>
              <c:numCache>
                <c:formatCode>0.0</c:formatCode>
                <c:ptCount val="18"/>
                <c:pt idx="0">
                  <c:v>7.4798941030880875E-2</c:v>
                </c:pt>
                <c:pt idx="1">
                  <c:v>0.11175841777555143</c:v>
                </c:pt>
                <c:pt idx="2">
                  <c:v>0.12539822466941794</c:v>
                </c:pt>
                <c:pt idx="3">
                  <c:v>0.14079800664636402</c:v>
                </c:pt>
                <c:pt idx="4">
                  <c:v>0.16416</c:v>
                </c:pt>
                <c:pt idx="5">
                  <c:v>0.16632000000000002</c:v>
                </c:pt>
                <c:pt idx="6">
                  <c:v>0.18576000000000001</c:v>
                </c:pt>
                <c:pt idx="7">
                  <c:v>0.18144000000000002</c:v>
                </c:pt>
                <c:pt idx="8">
                  <c:v>0.18613999999999997</c:v>
                </c:pt>
                <c:pt idx="9">
                  <c:v>0.19068000000000002</c:v>
                </c:pt>
                <c:pt idx="10">
                  <c:v>0.19295000000000001</c:v>
                </c:pt>
                <c:pt idx="11">
                  <c:v>0.19295000000000001</c:v>
                </c:pt>
                <c:pt idx="12">
                  <c:v>0.36093000000000003</c:v>
                </c:pt>
                <c:pt idx="13">
                  <c:v>0.40240499999999996</c:v>
                </c:pt>
                <c:pt idx="14">
                  <c:v>0.44946000000000003</c:v>
                </c:pt>
                <c:pt idx="15">
                  <c:v>0.41283000000000003</c:v>
                </c:pt>
                <c:pt idx="16">
                  <c:v>0.42338649999999994</c:v>
                </c:pt>
                <c:pt idx="17">
                  <c:v>0.40778804999999996</c:v>
                </c:pt>
              </c:numCache>
            </c:numRef>
          </c:val>
          <c:extLst>
            <c:ext xmlns:c16="http://schemas.microsoft.com/office/drawing/2014/chart" uri="{C3380CC4-5D6E-409C-BE32-E72D297353CC}">
              <c16:uniqueId val="{00000001-D086-4AD0-9E7B-D1F05E87AD57}"/>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Sheet1!$A$2:$A$47</c:f>
              <c:numCache>
                <c:formatCode>General</c:formatCode>
                <c:ptCount val="18"/>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2021.5</c:v>
                </c:pt>
              </c:numCache>
            </c:numRef>
          </c:cat>
          <c:val>
            <c:numRef>
              <c:f>Sheet1!$E$2:$E$47</c:f>
              <c:numCache>
                <c:formatCode>0.0</c:formatCode>
                <c:ptCount val="18"/>
                <c:pt idx="0">
                  <c:v>-0.74167100978775335</c:v>
                </c:pt>
                <c:pt idx="1">
                  <c:v>-0.65690860866915302</c:v>
                </c:pt>
                <c:pt idx="2">
                  <c:v>-0.55095560727090254</c:v>
                </c:pt>
                <c:pt idx="3">
                  <c:v>-0.38143080503370169</c:v>
                </c:pt>
                <c:pt idx="4">
                  <c:v>0.96140000000000014</c:v>
                </c:pt>
                <c:pt idx="5">
                  <c:v>1.0378750000000001</c:v>
                </c:pt>
                <c:pt idx="6">
                  <c:v>1.0488000000000002</c:v>
                </c:pt>
                <c:pt idx="7">
                  <c:v>0.98325000000000007</c:v>
                </c:pt>
                <c:pt idx="8">
                  <c:v>0.17791999999999997</c:v>
                </c:pt>
                <c:pt idx="9">
                  <c:v>0.26688000000000001</c:v>
                </c:pt>
                <c:pt idx="10">
                  <c:v>0.34472000000000003</c:v>
                </c:pt>
                <c:pt idx="11">
                  <c:v>0.32247999999999999</c:v>
                </c:pt>
                <c:pt idx="12">
                  <c:v>0.36695999999999995</c:v>
                </c:pt>
                <c:pt idx="13">
                  <c:v>0.19959500000000002</c:v>
                </c:pt>
                <c:pt idx="14">
                  <c:v>0.17791999999999997</c:v>
                </c:pt>
                <c:pt idx="15">
                  <c:v>0.21010000000000001</c:v>
                </c:pt>
                <c:pt idx="16">
                  <c:v>1.5324900000000001</c:v>
                </c:pt>
                <c:pt idx="17">
                  <c:v>1.676855</c:v>
                </c:pt>
              </c:numCache>
            </c:numRef>
          </c:val>
          <c:extLst>
            <c:ext xmlns:c16="http://schemas.microsoft.com/office/drawing/2014/chart" uri="{C3380CC4-5D6E-409C-BE32-E72D297353CC}">
              <c16:uniqueId val="{00000002-D086-4AD0-9E7B-D1F05E87AD57}"/>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Sheet1!$A$2:$A$47</c:f>
              <c:numCache>
                <c:formatCode>General</c:formatCode>
                <c:ptCount val="18"/>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2021.5</c:v>
                </c:pt>
              </c:numCache>
            </c:numRef>
          </c:cat>
          <c:val>
            <c:numRef>
              <c:f>Sheet1!$F$2:$F$47</c:f>
              <c:numCache>
                <c:formatCode>0.0</c:formatCode>
                <c:ptCount val="18"/>
                <c:pt idx="0">
                  <c:v>-0.83210673989969985</c:v>
                </c:pt>
                <c:pt idx="1">
                  <c:v>-0.73225393111173587</c:v>
                </c:pt>
                <c:pt idx="2">
                  <c:v>-0.47929348218222706</c:v>
                </c:pt>
                <c:pt idx="3">
                  <c:v>-0.43269550474784396</c:v>
                </c:pt>
                <c:pt idx="4">
                  <c:v>0.46311999999999998</c:v>
                </c:pt>
                <c:pt idx="5">
                  <c:v>0.47965999999999992</c:v>
                </c:pt>
                <c:pt idx="6">
                  <c:v>0.43003999999999998</c:v>
                </c:pt>
                <c:pt idx="7">
                  <c:v>0.39695999999999998</c:v>
                </c:pt>
                <c:pt idx="8">
                  <c:v>0.12748000000000001</c:v>
                </c:pt>
                <c:pt idx="9">
                  <c:v>6.3740000000000005E-2</c:v>
                </c:pt>
                <c:pt idx="10">
                  <c:v>9.5610000000000001E-2</c:v>
                </c:pt>
                <c:pt idx="11">
                  <c:v>0.14660200000000001</c:v>
                </c:pt>
                <c:pt idx="12">
                  <c:v>0.43024500000000004</c:v>
                </c:pt>
                <c:pt idx="13">
                  <c:v>0.39837499999999998</c:v>
                </c:pt>
                <c:pt idx="14">
                  <c:v>0.41431000000000007</c:v>
                </c:pt>
                <c:pt idx="15">
                  <c:v>0.49797999999999992</c:v>
                </c:pt>
                <c:pt idx="16">
                  <c:v>0.61421000000000003</c:v>
                </c:pt>
                <c:pt idx="17">
                  <c:v>0.68647000000000002</c:v>
                </c:pt>
              </c:numCache>
            </c:numRef>
          </c:val>
          <c:extLst>
            <c:ext xmlns:c16="http://schemas.microsoft.com/office/drawing/2014/chart" uri="{C3380CC4-5D6E-409C-BE32-E72D297353CC}">
              <c16:uniqueId val="{00000003-D086-4AD0-9E7B-D1F05E87AD57}"/>
            </c:ext>
          </c:extLst>
        </c:ser>
        <c:dLbls>
          <c:showLegendKey val="0"/>
          <c:showVal val="0"/>
          <c:showCatName val="0"/>
          <c:showSerName val="0"/>
          <c:showPercent val="0"/>
          <c:showBubbleSize val="0"/>
        </c:dLbls>
        <c:gapWidth val="100"/>
        <c:overlap val="100"/>
        <c:axId val="150001536"/>
        <c:axId val="150003072"/>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D086-4AD0-9E7B-D1F05E87AD57}"/>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D086-4AD0-9E7B-D1F05E87AD57}"/>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D086-4AD0-9E7B-D1F05E87AD57}"/>
              </c:ext>
            </c:extLst>
          </c:dPt>
          <c:dPt>
            <c:idx val="15"/>
            <c:marker>
              <c:symbol val="auto"/>
              <c:spPr>
                <a:ln cap="sq">
                  <a:solidFill>
                    <a:srgbClr val="4F81BD"/>
                  </a:solidFill>
                  <a:headEnd type="diamond"/>
                  <a:tailEnd type="diamond"/>
                </a:ln>
              </c:spPr>
            </c:marker>
            <c:bubble3D val="0"/>
            <c:extLst>
              <c:ext xmlns:c16="http://schemas.microsoft.com/office/drawing/2014/chart" uri="{C3380CC4-5D6E-409C-BE32-E72D297353CC}">
                <c16:uniqueId val="{00000007-D086-4AD0-9E7B-D1F05E87AD57}"/>
              </c:ext>
            </c:extLst>
          </c:dPt>
          <c:dLbls>
            <c:dLbl>
              <c:idx val="3"/>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086-4AD0-9E7B-D1F05E87AD57}"/>
                </c:ext>
              </c:extLst>
            </c:dLbl>
            <c:dLbl>
              <c:idx val="7"/>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086-4AD0-9E7B-D1F05E87AD57}"/>
                </c:ext>
              </c:extLst>
            </c:dLbl>
            <c:dLbl>
              <c:idx val="11"/>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086-4AD0-9E7B-D1F05E87AD57}"/>
                </c:ext>
              </c:extLst>
            </c:dLbl>
            <c:dLbl>
              <c:idx val="15"/>
              <c:layout>
                <c:manualLayout>
                  <c:x val="-8.5661839689985725E-2"/>
                  <c:y val="-6.9796954314720813E-2"/>
                </c:manualLayout>
              </c:layout>
              <c:spPr>
                <a:noFill/>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086-4AD0-9E7B-D1F05E87AD57}"/>
                </c:ext>
              </c:extLst>
            </c:dLbl>
            <c:dLbl>
              <c:idx val="17"/>
              <c:layout>
                <c:manualLayout>
                  <c:x val="-1.8479767328696394E-2"/>
                  <c:y val="-6.16116751269035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086-4AD0-9E7B-D1F05E87AD5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Sheet1!$A$2:$A$47</c:f>
              <c:numCache>
                <c:formatCode>General</c:formatCode>
                <c:ptCount val="18"/>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2021.5</c:v>
                </c:pt>
              </c:numCache>
            </c:numRef>
          </c:cat>
          <c:val>
            <c:numRef>
              <c:f>Sheet1!$B$2:$B$47</c:f>
              <c:numCache>
                <c:formatCode>0.0</c:formatCode>
                <c:ptCount val="18"/>
                <c:pt idx="0">
                  <c:v>-0.34747342099000411</c:v>
                </c:pt>
                <c:pt idx="1">
                  <c:v>0.46630403646117979</c:v>
                </c:pt>
                <c:pt idx="2">
                  <c:v>0.63734385084115641</c:v>
                </c:pt>
                <c:pt idx="3">
                  <c:v>1.0128045859480073</c:v>
                </c:pt>
                <c:pt idx="4">
                  <c:v>3.29976</c:v>
                </c:pt>
                <c:pt idx="5">
                  <c:v>2.4375450000000001</c:v>
                </c:pt>
                <c:pt idx="6">
                  <c:v>2.64236</c:v>
                </c:pt>
                <c:pt idx="7">
                  <c:v>2.4986700000000002</c:v>
                </c:pt>
                <c:pt idx="8">
                  <c:v>1.4839399999999998</c:v>
                </c:pt>
                <c:pt idx="9">
                  <c:v>1.9685499999999998</c:v>
                </c:pt>
                <c:pt idx="10">
                  <c:v>1.646355</c:v>
                </c:pt>
                <c:pt idx="11">
                  <c:v>1.4270070000000001</c:v>
                </c:pt>
                <c:pt idx="12">
                  <c:v>-5.7554999999999967E-2</c:v>
                </c:pt>
                <c:pt idx="13">
                  <c:v>0.51033499999999998</c:v>
                </c:pt>
                <c:pt idx="14">
                  <c:v>0.91764000000000012</c:v>
                </c:pt>
                <c:pt idx="15">
                  <c:v>1.2385999999999999</c:v>
                </c:pt>
                <c:pt idx="16">
                  <c:v>5.2115704999999997</c:v>
                </c:pt>
                <c:pt idx="17">
                  <c:v>5.5428110500000001</c:v>
                </c:pt>
              </c:numCache>
            </c:numRef>
          </c:val>
          <c:smooth val="0"/>
          <c:extLst>
            <c:ext xmlns:c16="http://schemas.microsoft.com/office/drawing/2014/chart" uri="{C3380CC4-5D6E-409C-BE32-E72D297353CC}">
              <c16:uniqueId val="{00000009-D086-4AD0-9E7B-D1F05E87AD57}"/>
            </c:ext>
          </c:extLst>
        </c:ser>
        <c:dLbls>
          <c:showLegendKey val="0"/>
          <c:showVal val="0"/>
          <c:showCatName val="0"/>
          <c:showSerName val="0"/>
          <c:showPercent val="0"/>
          <c:showBubbleSize val="0"/>
        </c:dLbls>
        <c:marker val="1"/>
        <c:smooth val="0"/>
        <c:axId val="150001536"/>
        <c:axId val="150003072"/>
      </c:lineChart>
      <c:catAx>
        <c:axId val="1500015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150003072"/>
        <c:crosses val="autoZero"/>
        <c:auto val="1"/>
        <c:lblAlgn val="ctr"/>
        <c:lblOffset val="100"/>
        <c:noMultiLvlLbl val="0"/>
      </c:catAx>
      <c:valAx>
        <c:axId val="15000307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5000153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10479423532748"/>
          <c:y val="7.2968490878938891E-2"/>
          <c:w val="0.78348499218615164"/>
          <c:h val="0.60569828630873002"/>
        </c:manualLayout>
      </c:layout>
      <c:lineChart>
        <c:grouping val="standard"/>
        <c:varyColors val="0"/>
        <c:ser>
          <c:idx val="0"/>
          <c:order val="0"/>
          <c:tx>
            <c:strRef>
              <c:f>Sheet1!$B$1</c:f>
              <c:strCache>
                <c:ptCount val="1"/>
                <c:pt idx="0">
                  <c:v>S&amp;P 500 (ԱՄՆ)</c:v>
                </c:pt>
              </c:strCache>
            </c:strRef>
          </c:tx>
          <c:spPr>
            <a:ln w="28575" cap="rnd">
              <a:solidFill>
                <a:schemeClr val="accent1"/>
              </a:solidFill>
              <a:round/>
            </a:ln>
            <a:effectLst/>
          </c:spPr>
          <c:marker>
            <c:symbol val="none"/>
          </c:marker>
          <c:cat>
            <c:numRef>
              <c:f>Sheet1!$A$2:$A$262</c:f>
              <c:numCache>
                <c:formatCode>dd\-mmm\-yy</c:formatCode>
                <c:ptCount val="261"/>
                <c:pt idx="0">
                  <c:v>43471</c:v>
                </c:pt>
                <c:pt idx="1">
                  <c:v>43478</c:v>
                </c:pt>
                <c:pt idx="2">
                  <c:v>43485</c:v>
                </c:pt>
                <c:pt idx="3">
                  <c:v>43492</c:v>
                </c:pt>
                <c:pt idx="4">
                  <c:v>43499</c:v>
                </c:pt>
                <c:pt idx="5">
                  <c:v>43506</c:v>
                </c:pt>
                <c:pt idx="6">
                  <c:v>43513</c:v>
                </c:pt>
                <c:pt idx="7">
                  <c:v>43520</c:v>
                </c:pt>
                <c:pt idx="8">
                  <c:v>43527</c:v>
                </c:pt>
                <c:pt idx="9">
                  <c:v>43534</c:v>
                </c:pt>
                <c:pt idx="10">
                  <c:v>43541</c:v>
                </c:pt>
                <c:pt idx="11">
                  <c:v>43548</c:v>
                </c:pt>
                <c:pt idx="12">
                  <c:v>43555</c:v>
                </c:pt>
                <c:pt idx="13">
                  <c:v>43562</c:v>
                </c:pt>
                <c:pt idx="14">
                  <c:v>43569</c:v>
                </c:pt>
                <c:pt idx="15">
                  <c:v>43576</c:v>
                </c:pt>
                <c:pt idx="16">
                  <c:v>43583</c:v>
                </c:pt>
                <c:pt idx="17">
                  <c:v>43590</c:v>
                </c:pt>
                <c:pt idx="18">
                  <c:v>43597</c:v>
                </c:pt>
                <c:pt idx="19">
                  <c:v>43604</c:v>
                </c:pt>
                <c:pt idx="20">
                  <c:v>43611</c:v>
                </c:pt>
                <c:pt idx="21">
                  <c:v>43618</c:v>
                </c:pt>
                <c:pt idx="22">
                  <c:v>43625</c:v>
                </c:pt>
                <c:pt idx="23">
                  <c:v>43632</c:v>
                </c:pt>
                <c:pt idx="24">
                  <c:v>43639</c:v>
                </c:pt>
                <c:pt idx="25">
                  <c:v>43646</c:v>
                </c:pt>
                <c:pt idx="26">
                  <c:v>43653</c:v>
                </c:pt>
                <c:pt idx="27">
                  <c:v>43660</c:v>
                </c:pt>
                <c:pt idx="28">
                  <c:v>43667</c:v>
                </c:pt>
                <c:pt idx="29">
                  <c:v>43674</c:v>
                </c:pt>
                <c:pt idx="30">
                  <c:v>43681</c:v>
                </c:pt>
                <c:pt idx="31">
                  <c:v>43688</c:v>
                </c:pt>
                <c:pt idx="32">
                  <c:v>43695</c:v>
                </c:pt>
                <c:pt idx="33">
                  <c:v>43702</c:v>
                </c:pt>
                <c:pt idx="34">
                  <c:v>43709</c:v>
                </c:pt>
                <c:pt idx="35">
                  <c:v>43716</c:v>
                </c:pt>
                <c:pt idx="36">
                  <c:v>43723</c:v>
                </c:pt>
                <c:pt idx="37">
                  <c:v>43730</c:v>
                </c:pt>
                <c:pt idx="38">
                  <c:v>43737</c:v>
                </c:pt>
                <c:pt idx="39">
                  <c:v>43744</c:v>
                </c:pt>
                <c:pt idx="40">
                  <c:v>43751</c:v>
                </c:pt>
                <c:pt idx="41">
                  <c:v>43758</c:v>
                </c:pt>
                <c:pt idx="42">
                  <c:v>43765</c:v>
                </c:pt>
                <c:pt idx="43">
                  <c:v>43772</c:v>
                </c:pt>
                <c:pt idx="44">
                  <c:v>43779</c:v>
                </c:pt>
                <c:pt idx="45">
                  <c:v>43786</c:v>
                </c:pt>
                <c:pt idx="46">
                  <c:v>43793</c:v>
                </c:pt>
                <c:pt idx="47">
                  <c:v>43800</c:v>
                </c:pt>
                <c:pt idx="48">
                  <c:v>43807</c:v>
                </c:pt>
                <c:pt idx="49">
                  <c:v>43814</c:v>
                </c:pt>
                <c:pt idx="50">
                  <c:v>43821</c:v>
                </c:pt>
                <c:pt idx="51">
                  <c:v>43828</c:v>
                </c:pt>
                <c:pt idx="52">
                  <c:v>43835</c:v>
                </c:pt>
                <c:pt idx="53">
                  <c:v>43842</c:v>
                </c:pt>
                <c:pt idx="54">
                  <c:v>43849</c:v>
                </c:pt>
                <c:pt idx="55">
                  <c:v>43856</c:v>
                </c:pt>
                <c:pt idx="56">
                  <c:v>43863</c:v>
                </c:pt>
                <c:pt idx="57">
                  <c:v>43870</c:v>
                </c:pt>
                <c:pt idx="58">
                  <c:v>43877</c:v>
                </c:pt>
                <c:pt idx="59">
                  <c:v>43884</c:v>
                </c:pt>
                <c:pt idx="60">
                  <c:v>43891</c:v>
                </c:pt>
                <c:pt idx="61">
                  <c:v>43898</c:v>
                </c:pt>
                <c:pt idx="62">
                  <c:v>43905</c:v>
                </c:pt>
                <c:pt idx="63">
                  <c:v>43912</c:v>
                </c:pt>
                <c:pt idx="64">
                  <c:v>43919</c:v>
                </c:pt>
                <c:pt idx="65">
                  <c:v>43926</c:v>
                </c:pt>
                <c:pt idx="66">
                  <c:v>43933</c:v>
                </c:pt>
                <c:pt idx="67">
                  <c:v>43940</c:v>
                </c:pt>
                <c:pt idx="68">
                  <c:v>43947</c:v>
                </c:pt>
                <c:pt idx="69">
                  <c:v>43954</c:v>
                </c:pt>
                <c:pt idx="70">
                  <c:v>43961</c:v>
                </c:pt>
                <c:pt idx="71">
                  <c:v>43968</c:v>
                </c:pt>
                <c:pt idx="72">
                  <c:v>43975</c:v>
                </c:pt>
                <c:pt idx="73">
                  <c:v>43982</c:v>
                </c:pt>
                <c:pt idx="74">
                  <c:v>43989</c:v>
                </c:pt>
                <c:pt idx="75">
                  <c:v>43996</c:v>
                </c:pt>
                <c:pt idx="76">
                  <c:v>44003</c:v>
                </c:pt>
                <c:pt idx="77">
                  <c:v>44010</c:v>
                </c:pt>
                <c:pt idx="78">
                  <c:v>44017</c:v>
                </c:pt>
                <c:pt idx="79">
                  <c:v>44024</c:v>
                </c:pt>
                <c:pt idx="80">
                  <c:v>44031</c:v>
                </c:pt>
                <c:pt idx="81">
                  <c:v>44038</c:v>
                </c:pt>
                <c:pt idx="82">
                  <c:v>44045</c:v>
                </c:pt>
                <c:pt idx="83">
                  <c:v>44052</c:v>
                </c:pt>
                <c:pt idx="84">
                  <c:v>44059</c:v>
                </c:pt>
                <c:pt idx="85">
                  <c:v>44066</c:v>
                </c:pt>
                <c:pt idx="86">
                  <c:v>44073</c:v>
                </c:pt>
                <c:pt idx="87">
                  <c:v>44080</c:v>
                </c:pt>
                <c:pt idx="88">
                  <c:v>44087</c:v>
                </c:pt>
                <c:pt idx="89">
                  <c:v>44094</c:v>
                </c:pt>
                <c:pt idx="90">
                  <c:v>44101</c:v>
                </c:pt>
                <c:pt idx="91">
                  <c:v>44108</c:v>
                </c:pt>
                <c:pt idx="92">
                  <c:v>44115</c:v>
                </c:pt>
                <c:pt idx="93">
                  <c:v>44122</c:v>
                </c:pt>
                <c:pt idx="94">
                  <c:v>44129</c:v>
                </c:pt>
                <c:pt idx="95">
                  <c:v>44136</c:v>
                </c:pt>
                <c:pt idx="96">
                  <c:v>44137</c:v>
                </c:pt>
                <c:pt idx="97">
                  <c:v>44138</c:v>
                </c:pt>
                <c:pt idx="98">
                  <c:v>44140</c:v>
                </c:pt>
                <c:pt idx="99">
                  <c:v>44141</c:v>
                </c:pt>
                <c:pt idx="100">
                  <c:v>44144</c:v>
                </c:pt>
                <c:pt idx="101">
                  <c:v>44145</c:v>
                </c:pt>
                <c:pt idx="102">
                  <c:v>44146</c:v>
                </c:pt>
                <c:pt idx="103">
                  <c:v>44147</c:v>
                </c:pt>
                <c:pt idx="104">
                  <c:v>44148</c:v>
                </c:pt>
                <c:pt idx="105">
                  <c:v>44151</c:v>
                </c:pt>
                <c:pt idx="106">
                  <c:v>44152</c:v>
                </c:pt>
                <c:pt idx="107">
                  <c:v>44153</c:v>
                </c:pt>
                <c:pt idx="108">
                  <c:v>44154</c:v>
                </c:pt>
                <c:pt idx="109">
                  <c:v>44155</c:v>
                </c:pt>
                <c:pt idx="110">
                  <c:v>44158</c:v>
                </c:pt>
                <c:pt idx="111">
                  <c:v>44159</c:v>
                </c:pt>
                <c:pt idx="112">
                  <c:v>44160</c:v>
                </c:pt>
                <c:pt idx="113">
                  <c:v>44162</c:v>
                </c:pt>
                <c:pt idx="114">
                  <c:v>44165</c:v>
                </c:pt>
                <c:pt idx="115">
                  <c:v>44166</c:v>
                </c:pt>
                <c:pt idx="116">
                  <c:v>44167</c:v>
                </c:pt>
                <c:pt idx="117">
                  <c:v>44168</c:v>
                </c:pt>
                <c:pt idx="118">
                  <c:v>44169</c:v>
                </c:pt>
                <c:pt idx="119">
                  <c:v>44172</c:v>
                </c:pt>
                <c:pt idx="120">
                  <c:v>44173</c:v>
                </c:pt>
                <c:pt idx="121">
                  <c:v>44174</c:v>
                </c:pt>
                <c:pt idx="122">
                  <c:v>44175</c:v>
                </c:pt>
                <c:pt idx="123">
                  <c:v>44176</c:v>
                </c:pt>
                <c:pt idx="124">
                  <c:v>44179</c:v>
                </c:pt>
                <c:pt idx="125">
                  <c:v>44180</c:v>
                </c:pt>
                <c:pt idx="126">
                  <c:v>44181</c:v>
                </c:pt>
                <c:pt idx="127">
                  <c:v>44182</c:v>
                </c:pt>
                <c:pt idx="128">
                  <c:v>44183</c:v>
                </c:pt>
                <c:pt idx="129">
                  <c:v>44186</c:v>
                </c:pt>
                <c:pt idx="130">
                  <c:v>44187</c:v>
                </c:pt>
                <c:pt idx="131">
                  <c:v>44188</c:v>
                </c:pt>
                <c:pt idx="132">
                  <c:v>44193</c:v>
                </c:pt>
                <c:pt idx="133">
                  <c:v>44194</c:v>
                </c:pt>
                <c:pt idx="134">
                  <c:v>44195</c:v>
                </c:pt>
                <c:pt idx="135">
                  <c:v>44200</c:v>
                </c:pt>
                <c:pt idx="136">
                  <c:v>44201</c:v>
                </c:pt>
                <c:pt idx="137">
                  <c:v>44202</c:v>
                </c:pt>
                <c:pt idx="138">
                  <c:v>44204</c:v>
                </c:pt>
                <c:pt idx="139">
                  <c:v>44207</c:v>
                </c:pt>
                <c:pt idx="140">
                  <c:v>44208</c:v>
                </c:pt>
                <c:pt idx="141">
                  <c:v>44209</c:v>
                </c:pt>
                <c:pt idx="142">
                  <c:v>44210</c:v>
                </c:pt>
                <c:pt idx="143">
                  <c:v>44211</c:v>
                </c:pt>
                <c:pt idx="144">
                  <c:v>44215</c:v>
                </c:pt>
                <c:pt idx="145">
                  <c:v>44216</c:v>
                </c:pt>
                <c:pt idx="146">
                  <c:v>44217</c:v>
                </c:pt>
                <c:pt idx="147">
                  <c:v>44218</c:v>
                </c:pt>
                <c:pt idx="148">
                  <c:v>44221</c:v>
                </c:pt>
                <c:pt idx="149">
                  <c:v>44222</c:v>
                </c:pt>
                <c:pt idx="150">
                  <c:v>44223</c:v>
                </c:pt>
                <c:pt idx="151">
                  <c:v>44224</c:v>
                </c:pt>
                <c:pt idx="152">
                  <c:v>44225</c:v>
                </c:pt>
                <c:pt idx="153">
                  <c:v>44228</c:v>
                </c:pt>
                <c:pt idx="154">
                  <c:v>44229</c:v>
                </c:pt>
                <c:pt idx="155">
                  <c:v>44230</c:v>
                </c:pt>
                <c:pt idx="156">
                  <c:v>44231</c:v>
                </c:pt>
                <c:pt idx="157">
                  <c:v>44232</c:v>
                </c:pt>
                <c:pt idx="158">
                  <c:v>44235</c:v>
                </c:pt>
                <c:pt idx="159">
                  <c:v>44236</c:v>
                </c:pt>
                <c:pt idx="160">
                  <c:v>44237</c:v>
                </c:pt>
                <c:pt idx="161">
                  <c:v>44238</c:v>
                </c:pt>
                <c:pt idx="162">
                  <c:v>44239</c:v>
                </c:pt>
                <c:pt idx="163">
                  <c:v>44243</c:v>
                </c:pt>
                <c:pt idx="164">
                  <c:v>44244</c:v>
                </c:pt>
                <c:pt idx="165">
                  <c:v>44245</c:v>
                </c:pt>
                <c:pt idx="166">
                  <c:v>44246</c:v>
                </c:pt>
                <c:pt idx="167">
                  <c:v>44249</c:v>
                </c:pt>
                <c:pt idx="168">
                  <c:v>44251</c:v>
                </c:pt>
                <c:pt idx="169">
                  <c:v>44252</c:v>
                </c:pt>
                <c:pt idx="170">
                  <c:v>44253</c:v>
                </c:pt>
                <c:pt idx="171">
                  <c:v>44256</c:v>
                </c:pt>
                <c:pt idx="172">
                  <c:v>44257</c:v>
                </c:pt>
                <c:pt idx="173">
                  <c:v>44258</c:v>
                </c:pt>
                <c:pt idx="174">
                  <c:v>44259</c:v>
                </c:pt>
                <c:pt idx="175">
                  <c:v>44260</c:v>
                </c:pt>
                <c:pt idx="176">
                  <c:v>44264</c:v>
                </c:pt>
                <c:pt idx="177">
                  <c:v>44265</c:v>
                </c:pt>
                <c:pt idx="178">
                  <c:v>44266</c:v>
                </c:pt>
                <c:pt idx="179">
                  <c:v>44267</c:v>
                </c:pt>
                <c:pt idx="180">
                  <c:v>44270</c:v>
                </c:pt>
                <c:pt idx="181">
                  <c:v>44271</c:v>
                </c:pt>
                <c:pt idx="182">
                  <c:v>44272</c:v>
                </c:pt>
                <c:pt idx="183">
                  <c:v>44273</c:v>
                </c:pt>
                <c:pt idx="184">
                  <c:v>44274</c:v>
                </c:pt>
                <c:pt idx="185">
                  <c:v>44277</c:v>
                </c:pt>
                <c:pt idx="186">
                  <c:v>44278</c:v>
                </c:pt>
                <c:pt idx="187">
                  <c:v>44279</c:v>
                </c:pt>
                <c:pt idx="188">
                  <c:v>44280</c:v>
                </c:pt>
                <c:pt idx="189">
                  <c:v>44281</c:v>
                </c:pt>
                <c:pt idx="190">
                  <c:v>44284</c:v>
                </c:pt>
                <c:pt idx="191">
                  <c:v>44285</c:v>
                </c:pt>
                <c:pt idx="192">
                  <c:v>44286</c:v>
                </c:pt>
                <c:pt idx="193">
                  <c:v>44287</c:v>
                </c:pt>
                <c:pt idx="194">
                  <c:v>44292</c:v>
                </c:pt>
                <c:pt idx="195">
                  <c:v>44293</c:v>
                </c:pt>
                <c:pt idx="196">
                  <c:v>44294</c:v>
                </c:pt>
                <c:pt idx="197">
                  <c:v>44295</c:v>
                </c:pt>
                <c:pt idx="198">
                  <c:v>44298</c:v>
                </c:pt>
                <c:pt idx="199">
                  <c:v>44299</c:v>
                </c:pt>
                <c:pt idx="200">
                  <c:v>44300</c:v>
                </c:pt>
                <c:pt idx="201">
                  <c:v>44301</c:v>
                </c:pt>
                <c:pt idx="202">
                  <c:v>44302</c:v>
                </c:pt>
                <c:pt idx="203">
                  <c:v>44305</c:v>
                </c:pt>
                <c:pt idx="204">
                  <c:v>44306</c:v>
                </c:pt>
                <c:pt idx="205">
                  <c:v>44307</c:v>
                </c:pt>
                <c:pt idx="206">
                  <c:v>44308</c:v>
                </c:pt>
                <c:pt idx="207">
                  <c:v>44309</c:v>
                </c:pt>
                <c:pt idx="208">
                  <c:v>44312</c:v>
                </c:pt>
                <c:pt idx="209">
                  <c:v>44313</c:v>
                </c:pt>
                <c:pt idx="210">
                  <c:v>44314</c:v>
                </c:pt>
                <c:pt idx="211">
                  <c:v>44315</c:v>
                </c:pt>
                <c:pt idx="212">
                  <c:v>44316</c:v>
                </c:pt>
                <c:pt idx="213">
                  <c:v>44320</c:v>
                </c:pt>
                <c:pt idx="214">
                  <c:v>44321</c:v>
                </c:pt>
                <c:pt idx="215">
                  <c:v>44322</c:v>
                </c:pt>
                <c:pt idx="216">
                  <c:v>44323</c:v>
                </c:pt>
                <c:pt idx="217">
                  <c:v>44326</c:v>
                </c:pt>
                <c:pt idx="218">
                  <c:v>44327</c:v>
                </c:pt>
                <c:pt idx="219">
                  <c:v>44328</c:v>
                </c:pt>
                <c:pt idx="220">
                  <c:v>44329</c:v>
                </c:pt>
                <c:pt idx="221">
                  <c:v>44330</c:v>
                </c:pt>
                <c:pt idx="222">
                  <c:v>44333</c:v>
                </c:pt>
                <c:pt idx="223">
                  <c:v>44334</c:v>
                </c:pt>
                <c:pt idx="224">
                  <c:v>44335</c:v>
                </c:pt>
                <c:pt idx="225">
                  <c:v>44336</c:v>
                </c:pt>
                <c:pt idx="226">
                  <c:v>44337</c:v>
                </c:pt>
                <c:pt idx="227">
                  <c:v>44341</c:v>
                </c:pt>
                <c:pt idx="228">
                  <c:v>44342</c:v>
                </c:pt>
                <c:pt idx="229">
                  <c:v>44343</c:v>
                </c:pt>
                <c:pt idx="230">
                  <c:v>44344</c:v>
                </c:pt>
                <c:pt idx="231">
                  <c:v>44348</c:v>
                </c:pt>
                <c:pt idx="232">
                  <c:v>44349</c:v>
                </c:pt>
                <c:pt idx="233">
                  <c:v>44350</c:v>
                </c:pt>
                <c:pt idx="234">
                  <c:v>44351</c:v>
                </c:pt>
                <c:pt idx="235">
                  <c:v>44354</c:v>
                </c:pt>
                <c:pt idx="236">
                  <c:v>44355</c:v>
                </c:pt>
                <c:pt idx="237">
                  <c:v>44356</c:v>
                </c:pt>
                <c:pt idx="238">
                  <c:v>44357</c:v>
                </c:pt>
                <c:pt idx="239">
                  <c:v>44358</c:v>
                </c:pt>
                <c:pt idx="240">
                  <c:v>44361</c:v>
                </c:pt>
                <c:pt idx="241">
                  <c:v>44362</c:v>
                </c:pt>
                <c:pt idx="242">
                  <c:v>44363</c:v>
                </c:pt>
                <c:pt idx="243">
                  <c:v>44364</c:v>
                </c:pt>
                <c:pt idx="244">
                  <c:v>44365</c:v>
                </c:pt>
                <c:pt idx="245">
                  <c:v>44368</c:v>
                </c:pt>
                <c:pt idx="246">
                  <c:v>44369</c:v>
                </c:pt>
                <c:pt idx="247">
                  <c:v>44370</c:v>
                </c:pt>
                <c:pt idx="248">
                  <c:v>44371</c:v>
                </c:pt>
                <c:pt idx="249">
                  <c:v>44372</c:v>
                </c:pt>
                <c:pt idx="250">
                  <c:v>44375</c:v>
                </c:pt>
                <c:pt idx="251">
                  <c:v>44376</c:v>
                </c:pt>
                <c:pt idx="252">
                  <c:v>44377</c:v>
                </c:pt>
                <c:pt idx="253">
                  <c:v>44378</c:v>
                </c:pt>
                <c:pt idx="254">
                  <c:v>44379</c:v>
                </c:pt>
                <c:pt idx="255">
                  <c:v>44383</c:v>
                </c:pt>
                <c:pt idx="256">
                  <c:v>44384</c:v>
                </c:pt>
                <c:pt idx="257">
                  <c:v>44385</c:v>
                </c:pt>
                <c:pt idx="258">
                  <c:v>44386</c:v>
                </c:pt>
                <c:pt idx="259">
                  <c:v>44389</c:v>
                </c:pt>
                <c:pt idx="260">
                  <c:v>44390</c:v>
                </c:pt>
              </c:numCache>
            </c:numRef>
          </c:cat>
          <c:val>
            <c:numRef>
              <c:f>Sheet1!$B$2:$B$262</c:f>
              <c:numCache>
                <c:formatCode>0</c:formatCode>
                <c:ptCount val="261"/>
                <c:pt idx="0">
                  <c:v>100</c:v>
                </c:pt>
                <c:pt idx="1">
                  <c:v>102.86758645127991</c:v>
                </c:pt>
                <c:pt idx="2">
                  <c:v>102.63841063683915</c:v>
                </c:pt>
                <c:pt idx="3">
                  <c:v>104.24726337115698</c:v>
                </c:pt>
                <c:pt idx="4">
                  <c:v>104.2992612450217</c:v>
                </c:pt>
                <c:pt idx="5">
                  <c:v>106.90762866585011</c:v>
                </c:pt>
                <c:pt idx="6">
                  <c:v>107.56511289316171</c:v>
                </c:pt>
                <c:pt idx="7">
                  <c:v>107.98956961167218</c:v>
                </c:pt>
                <c:pt idx="8">
                  <c:v>105.65467249042855</c:v>
                </c:pt>
                <c:pt idx="9">
                  <c:v>108.71330298198178</c:v>
                </c:pt>
                <c:pt idx="10">
                  <c:v>107.87478911973378</c:v>
                </c:pt>
                <c:pt idx="11">
                  <c:v>109.17242494973539</c:v>
                </c:pt>
                <c:pt idx="12">
                  <c:v>111.41950343956304</c:v>
                </c:pt>
                <c:pt idx="13">
                  <c:v>111.98454700222626</c:v>
                </c:pt>
                <c:pt idx="14">
                  <c:v>111.89287667644997</c:v>
                </c:pt>
                <c:pt idx="15">
                  <c:v>113.23519216103163</c:v>
                </c:pt>
                <c:pt idx="16">
                  <c:v>113.45704975618774</c:v>
                </c:pt>
                <c:pt idx="17">
                  <c:v>110.98272129909948</c:v>
                </c:pt>
                <c:pt idx="18">
                  <c:v>110.14035574249114</c:v>
                </c:pt>
                <c:pt idx="19">
                  <c:v>108.85119364008227</c:v>
                </c:pt>
                <c:pt idx="20">
                  <c:v>106.00093981342393</c:v>
                </c:pt>
                <c:pt idx="21">
                  <c:v>110.67227473365534</c:v>
                </c:pt>
                <c:pt idx="22">
                  <c:v>111.19764584440696</c:v>
                </c:pt>
                <c:pt idx="23">
                  <c:v>113.64270142435659</c:v>
                </c:pt>
                <c:pt idx="24">
                  <c:v>113.30760401500622</c:v>
                </c:pt>
                <c:pt idx="25">
                  <c:v>115.18145332131604</c:v>
                </c:pt>
                <c:pt idx="26">
                  <c:v>116.08120912389361</c:v>
                </c:pt>
                <c:pt idx="27">
                  <c:v>114.64991949958788</c:v>
                </c:pt>
                <c:pt idx="28">
                  <c:v>116.54687897205983</c:v>
                </c:pt>
                <c:pt idx="29">
                  <c:v>112.93360449261631</c:v>
                </c:pt>
                <c:pt idx="30">
                  <c:v>112.41747744832952</c:v>
                </c:pt>
                <c:pt idx="31">
                  <c:v>111.26312464853288</c:v>
                </c:pt>
                <c:pt idx="32">
                  <c:v>109.66197530293576</c:v>
                </c:pt>
                <c:pt idx="33">
                  <c:v>112.71829477787277</c:v>
                </c:pt>
                <c:pt idx="34">
                  <c:v>114.73080508115518</c:v>
                </c:pt>
                <c:pt idx="35">
                  <c:v>115.83547102370331</c:v>
                </c:pt>
                <c:pt idx="36">
                  <c:v>115.24539144769783</c:v>
                </c:pt>
                <c:pt idx="37">
                  <c:v>114.07909839538409</c:v>
                </c:pt>
                <c:pt idx="38">
                  <c:v>113.70240268694197</c:v>
                </c:pt>
                <c:pt idx="39">
                  <c:v>114.4057220771417</c:v>
                </c:pt>
                <c:pt idx="40">
                  <c:v>115.01929698874532</c:v>
                </c:pt>
                <c:pt idx="41">
                  <c:v>116.41938788873223</c:v>
                </c:pt>
                <c:pt idx="42">
                  <c:v>118.12799950698309</c:v>
                </c:pt>
                <c:pt idx="43">
                  <c:v>119.13598792108645</c:v>
                </c:pt>
                <c:pt idx="44">
                  <c:v>120.19058183695005</c:v>
                </c:pt>
                <c:pt idx="45">
                  <c:v>119.79886452050253</c:v>
                </c:pt>
                <c:pt idx="46">
                  <c:v>120.98094951969368</c:v>
                </c:pt>
                <c:pt idx="47">
                  <c:v>121.17083805165888</c:v>
                </c:pt>
                <c:pt idx="48">
                  <c:v>122.0524908907428</c:v>
                </c:pt>
                <c:pt idx="49">
                  <c:v>124.07154907443778</c:v>
                </c:pt>
                <c:pt idx="50">
                  <c:v>124.79566761418343</c:v>
                </c:pt>
                <c:pt idx="51">
                  <c:v>124.59653501575339</c:v>
                </c:pt>
                <c:pt idx="52">
                  <c:v>125.77130179565988</c:v>
                </c:pt>
                <c:pt idx="53">
                  <c:v>128.24678576105626</c:v>
                </c:pt>
                <c:pt idx="54">
                  <c:v>126.93143213699703</c:v>
                </c:pt>
                <c:pt idx="55">
                  <c:v>124.23717193193282</c:v>
                </c:pt>
                <c:pt idx="56">
                  <c:v>128.1732183987736</c:v>
                </c:pt>
                <c:pt idx="57">
                  <c:v>130.1934320907767</c:v>
                </c:pt>
                <c:pt idx="58">
                  <c:v>128.55992851255263</c:v>
                </c:pt>
                <c:pt idx="59">
                  <c:v>113.78752513230566</c:v>
                </c:pt>
                <c:pt idx="60">
                  <c:v>114.48660765870902</c:v>
                </c:pt>
                <c:pt idx="61">
                  <c:v>104.4202044479366</c:v>
                </c:pt>
                <c:pt idx="62">
                  <c:v>88.778473650558837</c:v>
                </c:pt>
                <c:pt idx="63">
                  <c:v>97.889656659964672</c:v>
                </c:pt>
                <c:pt idx="64">
                  <c:v>95.855191698828278</c:v>
                </c:pt>
                <c:pt idx="65">
                  <c:v>107.45533960389173</c:v>
                </c:pt>
                <c:pt idx="66">
                  <c:v>110.71926540485157</c:v>
                </c:pt>
                <c:pt idx="67">
                  <c:v>109.26255459776753</c:v>
                </c:pt>
                <c:pt idx="68">
                  <c:v>109.03029742783849</c:v>
                </c:pt>
                <c:pt idx="69">
                  <c:v>112.84694136950843</c:v>
                </c:pt>
                <c:pt idx="70">
                  <c:v>110.30097139731764</c:v>
                </c:pt>
                <c:pt idx="71">
                  <c:v>113.83490097293794</c:v>
                </c:pt>
                <c:pt idx="72">
                  <c:v>117.25751658154417</c:v>
                </c:pt>
                <c:pt idx="73">
                  <c:v>123.02042168349851</c:v>
                </c:pt>
                <c:pt idx="74">
                  <c:v>117.14196575073369</c:v>
                </c:pt>
                <c:pt idx="75">
                  <c:v>119.31547687827869</c:v>
                </c:pt>
                <c:pt idx="76">
                  <c:v>115.89940915008506</c:v>
                </c:pt>
                <c:pt idx="77">
                  <c:v>120.55841864836334</c:v>
                </c:pt>
                <c:pt idx="78">
                  <c:v>122.67800605486345</c:v>
                </c:pt>
                <c:pt idx="79">
                  <c:v>124.20674354648601</c:v>
                </c:pt>
                <c:pt idx="80">
                  <c:v>123.85623935969426</c:v>
                </c:pt>
                <c:pt idx="81">
                  <c:v>125.99354456025196</c:v>
                </c:pt>
                <c:pt idx="82">
                  <c:v>129.08106275950783</c:v>
                </c:pt>
                <c:pt idx="83">
                  <c:v>129.91187323303512</c:v>
                </c:pt>
                <c:pt idx="84">
                  <c:v>130.84822013203598</c:v>
                </c:pt>
                <c:pt idx="85">
                  <c:v>135.11782333048299</c:v>
                </c:pt>
                <c:pt idx="86">
                  <c:v>131.99602505142002</c:v>
                </c:pt>
                <c:pt idx="87">
                  <c:v>128.68395307095582</c:v>
                </c:pt>
                <c:pt idx="88">
                  <c:v>127.85583878348076</c:v>
                </c:pt>
                <c:pt idx="89">
                  <c:v>127.04659779837142</c:v>
                </c:pt>
                <c:pt idx="90">
                  <c:v>128.97167463967389</c:v>
                </c:pt>
                <c:pt idx="91">
                  <c:v>133.92842011200716</c:v>
                </c:pt>
                <c:pt idx="92">
                  <c:v>134.18571329527848</c:v>
                </c:pt>
                <c:pt idx="93">
                  <c:v>133.47623119410218</c:v>
                </c:pt>
                <c:pt idx="94">
                  <c:v>125.94886490567193</c:v>
                </c:pt>
                <c:pt idx="95">
                  <c:v>135.17290255983599</c:v>
                </c:pt>
                <c:pt idx="96">
                  <c:v>127.50032739402053</c:v>
                </c:pt>
                <c:pt idx="97">
                  <c:v>129.76974571113823</c:v>
                </c:pt>
                <c:pt idx="98">
                  <c:v>135.2118046728755</c:v>
                </c:pt>
                <c:pt idx="99">
                  <c:v>135.17290255983599</c:v>
                </c:pt>
                <c:pt idx="100">
                  <c:v>136.75440826419532</c:v>
                </c:pt>
                <c:pt idx="101">
                  <c:v>136.56297905448599</c:v>
                </c:pt>
                <c:pt idx="102">
                  <c:v>137.6079437344487</c:v>
                </c:pt>
                <c:pt idx="103">
                  <c:v>136.23481469498427</c:v>
                </c:pt>
                <c:pt idx="104">
                  <c:v>138.08902036005631</c:v>
                </c:pt>
                <c:pt idx="105">
                  <c:v>139.69748792493809</c:v>
                </c:pt>
                <c:pt idx="106">
                  <c:v>139.02806344510941</c:v>
                </c:pt>
                <c:pt idx="107">
                  <c:v>137.42036621909966</c:v>
                </c:pt>
                <c:pt idx="108">
                  <c:v>137.9626847850368</c:v>
                </c:pt>
                <c:pt idx="109">
                  <c:v>137.02556754716386</c:v>
                </c:pt>
                <c:pt idx="110">
                  <c:v>137.79783226641388</c:v>
                </c:pt>
                <c:pt idx="111">
                  <c:v>140.02488194556773</c:v>
                </c:pt>
                <c:pt idx="112">
                  <c:v>139.80302435041162</c:v>
                </c:pt>
                <c:pt idx="113">
                  <c:v>140.13812175976199</c:v>
                </c:pt>
                <c:pt idx="114">
                  <c:v>139.49411846271161</c:v>
                </c:pt>
                <c:pt idx="115">
                  <c:v>141.0663801006061</c:v>
                </c:pt>
                <c:pt idx="116">
                  <c:v>141.31905125064503</c:v>
                </c:pt>
                <c:pt idx="117">
                  <c:v>141.23084744979303</c:v>
                </c:pt>
                <c:pt idx="118">
                  <c:v>142.47879642254614</c:v>
                </c:pt>
                <c:pt idx="119">
                  <c:v>142.20301510634513</c:v>
                </c:pt>
                <c:pt idx="120">
                  <c:v>142.59935445602505</c:v>
                </c:pt>
                <c:pt idx="121">
                  <c:v>141.46580080577431</c:v>
                </c:pt>
                <c:pt idx="122">
                  <c:v>141.28400083196581</c:v>
                </c:pt>
                <c:pt idx="123">
                  <c:v>141.10528221364561</c:v>
                </c:pt>
                <c:pt idx="124">
                  <c:v>140.49016662429784</c:v>
                </c:pt>
                <c:pt idx="125">
                  <c:v>142.30547017633037</c:v>
                </c:pt>
                <c:pt idx="126">
                  <c:v>142.55775615693324</c:v>
                </c:pt>
                <c:pt idx="127">
                  <c:v>143.37855222512363</c:v>
                </c:pt>
                <c:pt idx="128">
                  <c:v>142.875135772226</c:v>
                </c:pt>
                <c:pt idx="129">
                  <c:v>142.31702525941142</c:v>
                </c:pt>
                <c:pt idx="130">
                  <c:v>142.02198547140867</c:v>
                </c:pt>
                <c:pt idx="131">
                  <c:v>142.12790706631827</c:v>
                </c:pt>
                <c:pt idx="132">
                  <c:v>143.87465045873657</c:v>
                </c:pt>
                <c:pt idx="133">
                  <c:v>143.55418948795551</c:v>
                </c:pt>
                <c:pt idx="134">
                  <c:v>143.74677420597297</c:v>
                </c:pt>
                <c:pt idx="135">
                  <c:v>142.53772734625937</c:v>
                </c:pt>
                <c:pt idx="136">
                  <c:v>143.54725643810687</c:v>
                </c:pt>
                <c:pt idx="137">
                  <c:v>144.36689699798916</c:v>
                </c:pt>
                <c:pt idx="138">
                  <c:v>147.31498386140035</c:v>
                </c:pt>
                <c:pt idx="139">
                  <c:v>146.34936408526085</c:v>
                </c:pt>
                <c:pt idx="140">
                  <c:v>146.41022085615438</c:v>
                </c:pt>
                <c:pt idx="141">
                  <c:v>146.74339241832456</c:v>
                </c:pt>
                <c:pt idx="142">
                  <c:v>146.19260012479461</c:v>
                </c:pt>
                <c:pt idx="143">
                  <c:v>145.14147273385532</c:v>
                </c:pt>
                <c:pt idx="144">
                  <c:v>146.32240222473837</c:v>
                </c:pt>
                <c:pt idx="145">
                  <c:v>148.3614892191072</c:v>
                </c:pt>
                <c:pt idx="146">
                  <c:v>148.40847989030348</c:v>
                </c:pt>
                <c:pt idx="147">
                  <c:v>147.96168334450297</c:v>
                </c:pt>
                <c:pt idx="148">
                  <c:v>148.49668369115548</c:v>
                </c:pt>
                <c:pt idx="149">
                  <c:v>148.27559643487143</c:v>
                </c:pt>
                <c:pt idx="150">
                  <c:v>144.46819655966635</c:v>
                </c:pt>
                <c:pt idx="151">
                  <c:v>145.87830186499016</c:v>
                </c:pt>
                <c:pt idx="152">
                  <c:v>143.06117260983081</c:v>
                </c:pt>
                <c:pt idx="153">
                  <c:v>145.35755278747095</c:v>
                </c:pt>
                <c:pt idx="154">
                  <c:v>147.37776647947405</c:v>
                </c:pt>
                <c:pt idx="155">
                  <c:v>147.52644188178354</c:v>
                </c:pt>
                <c:pt idx="156">
                  <c:v>149.12759122738066</c:v>
                </c:pt>
                <c:pt idx="157">
                  <c:v>149.70881190635734</c:v>
                </c:pt>
                <c:pt idx="158">
                  <c:v>150.81655920439374</c:v>
                </c:pt>
                <c:pt idx="159">
                  <c:v>150.64862533028253</c:v>
                </c:pt>
                <c:pt idx="160">
                  <c:v>150.59662745641782</c:v>
                </c:pt>
                <c:pt idx="161">
                  <c:v>150.84698758984052</c:v>
                </c:pt>
                <c:pt idx="162">
                  <c:v>151.55762519932492</c:v>
                </c:pt>
                <c:pt idx="163">
                  <c:v>151.47134724565308</c:v>
                </c:pt>
                <c:pt idx="164">
                  <c:v>151.42281589671268</c:v>
                </c:pt>
                <c:pt idx="165">
                  <c:v>150.75416175575606</c:v>
                </c:pt>
                <c:pt idx="166">
                  <c:v>150.47452874519473</c:v>
                </c:pt>
                <c:pt idx="167">
                  <c:v>149.31093187893325</c:v>
                </c:pt>
                <c:pt idx="168">
                  <c:v>151.19556592945207</c:v>
                </c:pt>
                <c:pt idx="169">
                  <c:v>147.49447281859264</c:v>
                </c:pt>
                <c:pt idx="170">
                  <c:v>146.79384961444515</c:v>
                </c:pt>
                <c:pt idx="171">
                  <c:v>150.2861808909737</c:v>
                </c:pt>
                <c:pt idx="172">
                  <c:v>149.07174165915563</c:v>
                </c:pt>
                <c:pt idx="173">
                  <c:v>147.12393982112707</c:v>
                </c:pt>
                <c:pt idx="174">
                  <c:v>145.14994646144814</c:v>
                </c:pt>
                <c:pt idx="175">
                  <c:v>147.97978630799665</c:v>
                </c:pt>
                <c:pt idx="176">
                  <c:v>149.27010391871357</c:v>
                </c:pt>
                <c:pt idx="177">
                  <c:v>150.17024489072716</c:v>
                </c:pt>
                <c:pt idx="178">
                  <c:v>151.73133661497667</c:v>
                </c:pt>
                <c:pt idx="179">
                  <c:v>151.88540438939063</c:v>
                </c:pt>
                <c:pt idx="180">
                  <c:v>152.87143814563998</c:v>
                </c:pt>
                <c:pt idx="181">
                  <c:v>152.63147758699023</c:v>
                </c:pt>
                <c:pt idx="182">
                  <c:v>153.07095591350605</c:v>
                </c:pt>
                <c:pt idx="183">
                  <c:v>150.81155200172526</c:v>
                </c:pt>
                <c:pt idx="184">
                  <c:v>150.72065201482101</c:v>
                </c:pt>
                <c:pt idx="185">
                  <c:v>151.779482794481</c:v>
                </c:pt>
                <c:pt idx="186">
                  <c:v>150.62127830032404</c:v>
                </c:pt>
                <c:pt idx="187">
                  <c:v>149.7977860460814</c:v>
                </c:pt>
                <c:pt idx="188">
                  <c:v>150.58276135672057</c:v>
                </c:pt>
                <c:pt idx="189">
                  <c:v>153.08713302981957</c:v>
                </c:pt>
                <c:pt idx="190">
                  <c:v>152.95424957438752</c:v>
                </c:pt>
                <c:pt idx="191">
                  <c:v>152.47124710159974</c:v>
                </c:pt>
                <c:pt idx="192">
                  <c:v>153.02358007287378</c:v>
                </c:pt>
                <c:pt idx="193">
                  <c:v>154.83310608336581</c:v>
                </c:pt>
                <c:pt idx="194">
                  <c:v>156.91571722400656</c:v>
                </c:pt>
                <c:pt idx="195">
                  <c:v>157.14720405506353</c:v>
                </c:pt>
                <c:pt idx="196">
                  <c:v>157.81046582391565</c:v>
                </c:pt>
                <c:pt idx="197">
                  <c:v>159.02875675009406</c:v>
                </c:pt>
                <c:pt idx="198">
                  <c:v>158.99755802577522</c:v>
                </c:pt>
                <c:pt idx="199">
                  <c:v>159.5213884587827</c:v>
                </c:pt>
                <c:pt idx="200">
                  <c:v>158.86929660357558</c:v>
                </c:pt>
                <c:pt idx="201">
                  <c:v>160.63183194287134</c:v>
                </c:pt>
                <c:pt idx="202">
                  <c:v>161.2115119441039</c:v>
                </c:pt>
                <c:pt idx="203">
                  <c:v>160.35605062667037</c:v>
                </c:pt>
                <c:pt idx="204">
                  <c:v>159.26525078381948</c:v>
                </c:pt>
                <c:pt idx="205">
                  <c:v>160.74738277368184</c:v>
                </c:pt>
                <c:pt idx="206">
                  <c:v>159.26679146156363</c:v>
                </c:pt>
                <c:pt idx="207">
                  <c:v>161.00737214300543</c:v>
                </c:pt>
                <c:pt idx="208">
                  <c:v>161.29432337285144</c:v>
                </c:pt>
                <c:pt idx="209">
                  <c:v>161.25965812360832</c:v>
                </c:pt>
                <c:pt idx="210">
                  <c:v>161.12330814325196</c:v>
                </c:pt>
                <c:pt idx="211">
                  <c:v>162.21295247779472</c:v>
                </c:pt>
                <c:pt idx="212">
                  <c:v>161.04588908660892</c:v>
                </c:pt>
                <c:pt idx="213">
                  <c:v>160.40997434771526</c:v>
                </c:pt>
                <c:pt idx="214">
                  <c:v>160.52282899247351</c:v>
                </c:pt>
                <c:pt idx="215">
                  <c:v>161.83356058330031</c:v>
                </c:pt>
                <c:pt idx="216">
                  <c:v>163.02681549613649</c:v>
                </c:pt>
                <c:pt idx="217">
                  <c:v>161.32552209717028</c:v>
                </c:pt>
                <c:pt idx="218">
                  <c:v>159.92620153605546</c:v>
                </c:pt>
                <c:pt idx="219">
                  <c:v>156.49588253872852</c:v>
                </c:pt>
                <c:pt idx="220">
                  <c:v>158.40093056935717</c:v>
                </c:pt>
                <c:pt idx="221">
                  <c:v>160.76394505943136</c:v>
                </c:pt>
                <c:pt idx="222">
                  <c:v>160.35720613497847</c:v>
                </c:pt>
                <c:pt idx="223">
                  <c:v>158.99139531479867</c:v>
                </c:pt>
                <c:pt idx="224">
                  <c:v>158.52341445001628</c:v>
                </c:pt>
                <c:pt idx="225">
                  <c:v>160.19659048015191</c:v>
                </c:pt>
                <c:pt idx="226">
                  <c:v>160.07102524400452</c:v>
                </c:pt>
                <c:pt idx="227">
                  <c:v>161.3139670140892</c:v>
                </c:pt>
                <c:pt idx="228">
                  <c:v>161.61671019081263</c:v>
                </c:pt>
                <c:pt idx="229">
                  <c:v>161.80505804503372</c:v>
                </c:pt>
                <c:pt idx="230">
                  <c:v>161.92946777287295</c:v>
                </c:pt>
                <c:pt idx="231">
                  <c:v>161.84973769961374</c:v>
                </c:pt>
                <c:pt idx="232">
                  <c:v>162.08392071672296</c:v>
                </c:pt>
                <c:pt idx="233">
                  <c:v>161.49576698789767</c:v>
                </c:pt>
                <c:pt idx="234">
                  <c:v>162.92243457897098</c:v>
                </c:pt>
                <c:pt idx="235">
                  <c:v>162.79263247902722</c:v>
                </c:pt>
                <c:pt idx="236">
                  <c:v>162.82113501729381</c:v>
                </c:pt>
                <c:pt idx="237">
                  <c:v>162.5241693821109</c:v>
                </c:pt>
                <c:pt idx="238">
                  <c:v>163.28025698504743</c:v>
                </c:pt>
                <c:pt idx="239">
                  <c:v>163.59840693921223</c:v>
                </c:pt>
                <c:pt idx="240">
                  <c:v>163.89537257439514</c:v>
                </c:pt>
                <c:pt idx="241">
                  <c:v>163.56566753714927</c:v>
                </c:pt>
                <c:pt idx="242">
                  <c:v>162.68401469806534</c:v>
                </c:pt>
                <c:pt idx="243">
                  <c:v>162.61314352183493</c:v>
                </c:pt>
                <c:pt idx="244">
                  <c:v>160.47891967676549</c:v>
                </c:pt>
                <c:pt idx="245">
                  <c:v>162.72599816659317</c:v>
                </c:pt>
                <c:pt idx="246">
                  <c:v>163.55988999560876</c:v>
                </c:pt>
                <c:pt idx="247">
                  <c:v>163.3827120550327</c:v>
                </c:pt>
                <c:pt idx="248">
                  <c:v>164.33215471485875</c:v>
                </c:pt>
                <c:pt idx="249">
                  <c:v>164.87948048346436</c:v>
                </c:pt>
                <c:pt idx="250">
                  <c:v>165.26118339457497</c:v>
                </c:pt>
                <c:pt idx="251">
                  <c:v>165.30701855746315</c:v>
                </c:pt>
                <c:pt idx="252">
                  <c:v>165.52656513600303</c:v>
                </c:pt>
                <c:pt idx="253">
                  <c:v>166.39088535046534</c:v>
                </c:pt>
                <c:pt idx="254">
                  <c:v>167.63883432321848</c:v>
                </c:pt>
                <c:pt idx="255">
                  <c:v>167.29988521950773</c:v>
                </c:pt>
                <c:pt idx="256">
                  <c:v>167.86184742668266</c:v>
                </c:pt>
                <c:pt idx="257">
                  <c:v>166.4247802608364</c:v>
                </c:pt>
                <c:pt idx="258">
                  <c:v>168.30171092263453</c:v>
                </c:pt>
                <c:pt idx="259">
                  <c:v>168.88254643217516</c:v>
                </c:pt>
                <c:pt idx="260">
                  <c:v>168.2886151618093</c:v>
                </c:pt>
              </c:numCache>
            </c:numRef>
          </c:val>
          <c:smooth val="0"/>
          <c:extLst>
            <c:ext xmlns:c16="http://schemas.microsoft.com/office/drawing/2014/chart" uri="{C3380CC4-5D6E-409C-BE32-E72D297353CC}">
              <c16:uniqueId val="{00000000-E32C-4824-85F6-4515D8B4CE1E}"/>
            </c:ext>
          </c:extLst>
        </c:ser>
        <c:ser>
          <c:idx val="2"/>
          <c:order val="1"/>
          <c:tx>
            <c:strRef>
              <c:f>Sheet1!$D$1</c:f>
              <c:strCache>
                <c:ptCount val="1"/>
                <c:pt idx="0">
                  <c:v>DAX (Գերմանիա)</c:v>
                </c:pt>
              </c:strCache>
            </c:strRef>
          </c:tx>
          <c:spPr>
            <a:ln w="28575" cap="rnd">
              <a:solidFill>
                <a:srgbClr val="C00000"/>
              </a:solidFill>
              <a:round/>
            </a:ln>
            <a:effectLst/>
          </c:spPr>
          <c:marker>
            <c:symbol val="none"/>
          </c:marker>
          <c:cat>
            <c:numRef>
              <c:f>Sheet1!$A$2:$A$262</c:f>
              <c:numCache>
                <c:formatCode>dd\-mmm\-yy</c:formatCode>
                <c:ptCount val="261"/>
                <c:pt idx="0">
                  <c:v>43471</c:v>
                </c:pt>
                <c:pt idx="1">
                  <c:v>43478</c:v>
                </c:pt>
                <c:pt idx="2">
                  <c:v>43485</c:v>
                </c:pt>
                <c:pt idx="3">
                  <c:v>43492</c:v>
                </c:pt>
                <c:pt idx="4">
                  <c:v>43499</c:v>
                </c:pt>
                <c:pt idx="5">
                  <c:v>43506</c:v>
                </c:pt>
                <c:pt idx="6">
                  <c:v>43513</c:v>
                </c:pt>
                <c:pt idx="7">
                  <c:v>43520</c:v>
                </c:pt>
                <c:pt idx="8">
                  <c:v>43527</c:v>
                </c:pt>
                <c:pt idx="9">
                  <c:v>43534</c:v>
                </c:pt>
                <c:pt idx="10">
                  <c:v>43541</c:v>
                </c:pt>
                <c:pt idx="11">
                  <c:v>43548</c:v>
                </c:pt>
                <c:pt idx="12">
                  <c:v>43555</c:v>
                </c:pt>
                <c:pt idx="13">
                  <c:v>43562</c:v>
                </c:pt>
                <c:pt idx="14">
                  <c:v>43569</c:v>
                </c:pt>
                <c:pt idx="15">
                  <c:v>43576</c:v>
                </c:pt>
                <c:pt idx="16">
                  <c:v>43583</c:v>
                </c:pt>
                <c:pt idx="17">
                  <c:v>43590</c:v>
                </c:pt>
                <c:pt idx="18">
                  <c:v>43597</c:v>
                </c:pt>
                <c:pt idx="19">
                  <c:v>43604</c:v>
                </c:pt>
                <c:pt idx="20">
                  <c:v>43611</c:v>
                </c:pt>
                <c:pt idx="21">
                  <c:v>43618</c:v>
                </c:pt>
                <c:pt idx="22">
                  <c:v>43625</c:v>
                </c:pt>
                <c:pt idx="23">
                  <c:v>43632</c:v>
                </c:pt>
                <c:pt idx="24">
                  <c:v>43639</c:v>
                </c:pt>
                <c:pt idx="25">
                  <c:v>43646</c:v>
                </c:pt>
                <c:pt idx="26">
                  <c:v>43653</c:v>
                </c:pt>
                <c:pt idx="27">
                  <c:v>43660</c:v>
                </c:pt>
                <c:pt idx="28">
                  <c:v>43667</c:v>
                </c:pt>
                <c:pt idx="29">
                  <c:v>43674</c:v>
                </c:pt>
                <c:pt idx="30">
                  <c:v>43681</c:v>
                </c:pt>
                <c:pt idx="31">
                  <c:v>43688</c:v>
                </c:pt>
                <c:pt idx="32">
                  <c:v>43695</c:v>
                </c:pt>
                <c:pt idx="33">
                  <c:v>43702</c:v>
                </c:pt>
                <c:pt idx="34">
                  <c:v>43709</c:v>
                </c:pt>
                <c:pt idx="35">
                  <c:v>43716</c:v>
                </c:pt>
                <c:pt idx="36">
                  <c:v>43723</c:v>
                </c:pt>
                <c:pt idx="37">
                  <c:v>43730</c:v>
                </c:pt>
                <c:pt idx="38">
                  <c:v>43737</c:v>
                </c:pt>
                <c:pt idx="39">
                  <c:v>43744</c:v>
                </c:pt>
                <c:pt idx="40">
                  <c:v>43751</c:v>
                </c:pt>
                <c:pt idx="41">
                  <c:v>43758</c:v>
                </c:pt>
                <c:pt idx="42">
                  <c:v>43765</c:v>
                </c:pt>
                <c:pt idx="43">
                  <c:v>43772</c:v>
                </c:pt>
                <c:pt idx="44">
                  <c:v>43779</c:v>
                </c:pt>
                <c:pt idx="45">
                  <c:v>43786</c:v>
                </c:pt>
                <c:pt idx="46">
                  <c:v>43793</c:v>
                </c:pt>
                <c:pt idx="47">
                  <c:v>43800</c:v>
                </c:pt>
                <c:pt idx="48">
                  <c:v>43807</c:v>
                </c:pt>
                <c:pt idx="49">
                  <c:v>43814</c:v>
                </c:pt>
                <c:pt idx="50">
                  <c:v>43821</c:v>
                </c:pt>
                <c:pt idx="51">
                  <c:v>43828</c:v>
                </c:pt>
                <c:pt idx="52">
                  <c:v>43835</c:v>
                </c:pt>
                <c:pt idx="53">
                  <c:v>43842</c:v>
                </c:pt>
                <c:pt idx="54">
                  <c:v>43849</c:v>
                </c:pt>
                <c:pt idx="55">
                  <c:v>43856</c:v>
                </c:pt>
                <c:pt idx="56">
                  <c:v>43863</c:v>
                </c:pt>
                <c:pt idx="57">
                  <c:v>43870</c:v>
                </c:pt>
                <c:pt idx="58">
                  <c:v>43877</c:v>
                </c:pt>
                <c:pt idx="59">
                  <c:v>43884</c:v>
                </c:pt>
                <c:pt idx="60">
                  <c:v>43891</c:v>
                </c:pt>
                <c:pt idx="61">
                  <c:v>43898</c:v>
                </c:pt>
                <c:pt idx="62">
                  <c:v>43905</c:v>
                </c:pt>
                <c:pt idx="63">
                  <c:v>43912</c:v>
                </c:pt>
                <c:pt idx="64">
                  <c:v>43919</c:v>
                </c:pt>
                <c:pt idx="65">
                  <c:v>43926</c:v>
                </c:pt>
                <c:pt idx="66">
                  <c:v>43933</c:v>
                </c:pt>
                <c:pt idx="67">
                  <c:v>43940</c:v>
                </c:pt>
                <c:pt idx="68">
                  <c:v>43947</c:v>
                </c:pt>
                <c:pt idx="69">
                  <c:v>43954</c:v>
                </c:pt>
                <c:pt idx="70">
                  <c:v>43961</c:v>
                </c:pt>
                <c:pt idx="71">
                  <c:v>43968</c:v>
                </c:pt>
                <c:pt idx="72">
                  <c:v>43975</c:v>
                </c:pt>
                <c:pt idx="73">
                  <c:v>43982</c:v>
                </c:pt>
                <c:pt idx="74">
                  <c:v>43989</c:v>
                </c:pt>
                <c:pt idx="75">
                  <c:v>43996</c:v>
                </c:pt>
                <c:pt idx="76">
                  <c:v>44003</c:v>
                </c:pt>
                <c:pt idx="77">
                  <c:v>44010</c:v>
                </c:pt>
                <c:pt idx="78">
                  <c:v>44017</c:v>
                </c:pt>
                <c:pt idx="79">
                  <c:v>44024</c:v>
                </c:pt>
                <c:pt idx="80">
                  <c:v>44031</c:v>
                </c:pt>
                <c:pt idx="81">
                  <c:v>44038</c:v>
                </c:pt>
                <c:pt idx="82">
                  <c:v>44045</c:v>
                </c:pt>
                <c:pt idx="83">
                  <c:v>44052</c:v>
                </c:pt>
                <c:pt idx="84">
                  <c:v>44059</c:v>
                </c:pt>
                <c:pt idx="85">
                  <c:v>44066</c:v>
                </c:pt>
                <c:pt idx="86">
                  <c:v>44073</c:v>
                </c:pt>
                <c:pt idx="87">
                  <c:v>44080</c:v>
                </c:pt>
                <c:pt idx="88">
                  <c:v>44087</c:v>
                </c:pt>
                <c:pt idx="89">
                  <c:v>44094</c:v>
                </c:pt>
                <c:pt idx="90">
                  <c:v>44101</c:v>
                </c:pt>
                <c:pt idx="91">
                  <c:v>44108</c:v>
                </c:pt>
                <c:pt idx="92">
                  <c:v>44115</c:v>
                </c:pt>
                <c:pt idx="93">
                  <c:v>44122</c:v>
                </c:pt>
                <c:pt idx="94">
                  <c:v>44129</c:v>
                </c:pt>
                <c:pt idx="95">
                  <c:v>44136</c:v>
                </c:pt>
                <c:pt idx="96">
                  <c:v>44137</c:v>
                </c:pt>
                <c:pt idx="97">
                  <c:v>44138</c:v>
                </c:pt>
                <c:pt idx="98">
                  <c:v>44140</c:v>
                </c:pt>
                <c:pt idx="99">
                  <c:v>44141</c:v>
                </c:pt>
                <c:pt idx="100">
                  <c:v>44144</c:v>
                </c:pt>
                <c:pt idx="101">
                  <c:v>44145</c:v>
                </c:pt>
                <c:pt idx="102">
                  <c:v>44146</c:v>
                </c:pt>
                <c:pt idx="103">
                  <c:v>44147</c:v>
                </c:pt>
                <c:pt idx="104">
                  <c:v>44148</c:v>
                </c:pt>
                <c:pt idx="105">
                  <c:v>44151</c:v>
                </c:pt>
                <c:pt idx="106">
                  <c:v>44152</c:v>
                </c:pt>
                <c:pt idx="107">
                  <c:v>44153</c:v>
                </c:pt>
                <c:pt idx="108">
                  <c:v>44154</c:v>
                </c:pt>
                <c:pt idx="109">
                  <c:v>44155</c:v>
                </c:pt>
                <c:pt idx="110">
                  <c:v>44158</c:v>
                </c:pt>
                <c:pt idx="111">
                  <c:v>44159</c:v>
                </c:pt>
                <c:pt idx="112">
                  <c:v>44160</c:v>
                </c:pt>
                <c:pt idx="113">
                  <c:v>44162</c:v>
                </c:pt>
                <c:pt idx="114">
                  <c:v>44165</c:v>
                </c:pt>
                <c:pt idx="115">
                  <c:v>44166</c:v>
                </c:pt>
                <c:pt idx="116">
                  <c:v>44167</c:v>
                </c:pt>
                <c:pt idx="117">
                  <c:v>44168</c:v>
                </c:pt>
                <c:pt idx="118">
                  <c:v>44169</c:v>
                </c:pt>
                <c:pt idx="119">
                  <c:v>44172</c:v>
                </c:pt>
                <c:pt idx="120">
                  <c:v>44173</c:v>
                </c:pt>
                <c:pt idx="121">
                  <c:v>44174</c:v>
                </c:pt>
                <c:pt idx="122">
                  <c:v>44175</c:v>
                </c:pt>
                <c:pt idx="123">
                  <c:v>44176</c:v>
                </c:pt>
                <c:pt idx="124">
                  <c:v>44179</c:v>
                </c:pt>
                <c:pt idx="125">
                  <c:v>44180</c:v>
                </c:pt>
                <c:pt idx="126">
                  <c:v>44181</c:v>
                </c:pt>
                <c:pt idx="127">
                  <c:v>44182</c:v>
                </c:pt>
                <c:pt idx="128">
                  <c:v>44183</c:v>
                </c:pt>
                <c:pt idx="129">
                  <c:v>44186</c:v>
                </c:pt>
                <c:pt idx="130">
                  <c:v>44187</c:v>
                </c:pt>
                <c:pt idx="131">
                  <c:v>44188</c:v>
                </c:pt>
                <c:pt idx="132">
                  <c:v>44193</c:v>
                </c:pt>
                <c:pt idx="133">
                  <c:v>44194</c:v>
                </c:pt>
                <c:pt idx="134">
                  <c:v>44195</c:v>
                </c:pt>
                <c:pt idx="135">
                  <c:v>44200</c:v>
                </c:pt>
                <c:pt idx="136">
                  <c:v>44201</c:v>
                </c:pt>
                <c:pt idx="137">
                  <c:v>44202</c:v>
                </c:pt>
                <c:pt idx="138">
                  <c:v>44204</c:v>
                </c:pt>
                <c:pt idx="139">
                  <c:v>44207</c:v>
                </c:pt>
                <c:pt idx="140">
                  <c:v>44208</c:v>
                </c:pt>
                <c:pt idx="141">
                  <c:v>44209</c:v>
                </c:pt>
                <c:pt idx="142">
                  <c:v>44210</c:v>
                </c:pt>
                <c:pt idx="143">
                  <c:v>44211</c:v>
                </c:pt>
                <c:pt idx="144">
                  <c:v>44215</c:v>
                </c:pt>
                <c:pt idx="145">
                  <c:v>44216</c:v>
                </c:pt>
                <c:pt idx="146">
                  <c:v>44217</c:v>
                </c:pt>
                <c:pt idx="147">
                  <c:v>44218</c:v>
                </c:pt>
                <c:pt idx="148">
                  <c:v>44221</c:v>
                </c:pt>
                <c:pt idx="149">
                  <c:v>44222</c:v>
                </c:pt>
                <c:pt idx="150">
                  <c:v>44223</c:v>
                </c:pt>
                <c:pt idx="151">
                  <c:v>44224</c:v>
                </c:pt>
                <c:pt idx="152">
                  <c:v>44225</c:v>
                </c:pt>
                <c:pt idx="153">
                  <c:v>44228</c:v>
                </c:pt>
                <c:pt idx="154">
                  <c:v>44229</c:v>
                </c:pt>
                <c:pt idx="155">
                  <c:v>44230</c:v>
                </c:pt>
                <c:pt idx="156">
                  <c:v>44231</c:v>
                </c:pt>
                <c:pt idx="157">
                  <c:v>44232</c:v>
                </c:pt>
                <c:pt idx="158">
                  <c:v>44235</c:v>
                </c:pt>
                <c:pt idx="159">
                  <c:v>44236</c:v>
                </c:pt>
                <c:pt idx="160">
                  <c:v>44237</c:v>
                </c:pt>
                <c:pt idx="161">
                  <c:v>44238</c:v>
                </c:pt>
                <c:pt idx="162">
                  <c:v>44239</c:v>
                </c:pt>
                <c:pt idx="163">
                  <c:v>44243</c:v>
                </c:pt>
                <c:pt idx="164">
                  <c:v>44244</c:v>
                </c:pt>
                <c:pt idx="165">
                  <c:v>44245</c:v>
                </c:pt>
                <c:pt idx="166">
                  <c:v>44246</c:v>
                </c:pt>
                <c:pt idx="167">
                  <c:v>44249</c:v>
                </c:pt>
                <c:pt idx="168">
                  <c:v>44251</c:v>
                </c:pt>
                <c:pt idx="169">
                  <c:v>44252</c:v>
                </c:pt>
                <c:pt idx="170">
                  <c:v>44253</c:v>
                </c:pt>
                <c:pt idx="171">
                  <c:v>44256</c:v>
                </c:pt>
                <c:pt idx="172">
                  <c:v>44257</c:v>
                </c:pt>
                <c:pt idx="173">
                  <c:v>44258</c:v>
                </c:pt>
                <c:pt idx="174">
                  <c:v>44259</c:v>
                </c:pt>
                <c:pt idx="175">
                  <c:v>44260</c:v>
                </c:pt>
                <c:pt idx="176">
                  <c:v>44264</c:v>
                </c:pt>
                <c:pt idx="177">
                  <c:v>44265</c:v>
                </c:pt>
                <c:pt idx="178">
                  <c:v>44266</c:v>
                </c:pt>
                <c:pt idx="179">
                  <c:v>44267</c:v>
                </c:pt>
                <c:pt idx="180">
                  <c:v>44270</c:v>
                </c:pt>
                <c:pt idx="181">
                  <c:v>44271</c:v>
                </c:pt>
                <c:pt idx="182">
                  <c:v>44272</c:v>
                </c:pt>
                <c:pt idx="183">
                  <c:v>44273</c:v>
                </c:pt>
                <c:pt idx="184">
                  <c:v>44274</c:v>
                </c:pt>
                <c:pt idx="185">
                  <c:v>44277</c:v>
                </c:pt>
                <c:pt idx="186">
                  <c:v>44278</c:v>
                </c:pt>
                <c:pt idx="187">
                  <c:v>44279</c:v>
                </c:pt>
                <c:pt idx="188">
                  <c:v>44280</c:v>
                </c:pt>
                <c:pt idx="189">
                  <c:v>44281</c:v>
                </c:pt>
                <c:pt idx="190">
                  <c:v>44284</c:v>
                </c:pt>
                <c:pt idx="191">
                  <c:v>44285</c:v>
                </c:pt>
                <c:pt idx="192">
                  <c:v>44286</c:v>
                </c:pt>
                <c:pt idx="193">
                  <c:v>44287</c:v>
                </c:pt>
                <c:pt idx="194">
                  <c:v>44292</c:v>
                </c:pt>
                <c:pt idx="195">
                  <c:v>44293</c:v>
                </c:pt>
                <c:pt idx="196">
                  <c:v>44294</c:v>
                </c:pt>
                <c:pt idx="197">
                  <c:v>44295</c:v>
                </c:pt>
                <c:pt idx="198">
                  <c:v>44298</c:v>
                </c:pt>
                <c:pt idx="199">
                  <c:v>44299</c:v>
                </c:pt>
                <c:pt idx="200">
                  <c:v>44300</c:v>
                </c:pt>
                <c:pt idx="201">
                  <c:v>44301</c:v>
                </c:pt>
                <c:pt idx="202">
                  <c:v>44302</c:v>
                </c:pt>
                <c:pt idx="203">
                  <c:v>44305</c:v>
                </c:pt>
                <c:pt idx="204">
                  <c:v>44306</c:v>
                </c:pt>
                <c:pt idx="205">
                  <c:v>44307</c:v>
                </c:pt>
                <c:pt idx="206">
                  <c:v>44308</c:v>
                </c:pt>
                <c:pt idx="207">
                  <c:v>44309</c:v>
                </c:pt>
                <c:pt idx="208">
                  <c:v>44312</c:v>
                </c:pt>
                <c:pt idx="209">
                  <c:v>44313</c:v>
                </c:pt>
                <c:pt idx="210">
                  <c:v>44314</c:v>
                </c:pt>
                <c:pt idx="211">
                  <c:v>44315</c:v>
                </c:pt>
                <c:pt idx="212">
                  <c:v>44316</c:v>
                </c:pt>
                <c:pt idx="213">
                  <c:v>44320</c:v>
                </c:pt>
                <c:pt idx="214">
                  <c:v>44321</c:v>
                </c:pt>
                <c:pt idx="215">
                  <c:v>44322</c:v>
                </c:pt>
                <c:pt idx="216">
                  <c:v>44323</c:v>
                </c:pt>
                <c:pt idx="217">
                  <c:v>44326</c:v>
                </c:pt>
                <c:pt idx="218">
                  <c:v>44327</c:v>
                </c:pt>
                <c:pt idx="219">
                  <c:v>44328</c:v>
                </c:pt>
                <c:pt idx="220">
                  <c:v>44329</c:v>
                </c:pt>
                <c:pt idx="221">
                  <c:v>44330</c:v>
                </c:pt>
                <c:pt idx="222">
                  <c:v>44333</c:v>
                </c:pt>
                <c:pt idx="223">
                  <c:v>44334</c:v>
                </c:pt>
                <c:pt idx="224">
                  <c:v>44335</c:v>
                </c:pt>
                <c:pt idx="225">
                  <c:v>44336</c:v>
                </c:pt>
                <c:pt idx="226">
                  <c:v>44337</c:v>
                </c:pt>
                <c:pt idx="227">
                  <c:v>44341</c:v>
                </c:pt>
                <c:pt idx="228">
                  <c:v>44342</c:v>
                </c:pt>
                <c:pt idx="229">
                  <c:v>44343</c:v>
                </c:pt>
                <c:pt idx="230">
                  <c:v>44344</c:v>
                </c:pt>
                <c:pt idx="231">
                  <c:v>44348</c:v>
                </c:pt>
                <c:pt idx="232">
                  <c:v>44349</c:v>
                </c:pt>
                <c:pt idx="233">
                  <c:v>44350</c:v>
                </c:pt>
                <c:pt idx="234">
                  <c:v>44351</c:v>
                </c:pt>
                <c:pt idx="235">
                  <c:v>44354</c:v>
                </c:pt>
                <c:pt idx="236">
                  <c:v>44355</c:v>
                </c:pt>
                <c:pt idx="237">
                  <c:v>44356</c:v>
                </c:pt>
                <c:pt idx="238">
                  <c:v>44357</c:v>
                </c:pt>
                <c:pt idx="239">
                  <c:v>44358</c:v>
                </c:pt>
                <c:pt idx="240">
                  <c:v>44361</c:v>
                </c:pt>
                <c:pt idx="241">
                  <c:v>44362</c:v>
                </c:pt>
                <c:pt idx="242">
                  <c:v>44363</c:v>
                </c:pt>
                <c:pt idx="243">
                  <c:v>44364</c:v>
                </c:pt>
                <c:pt idx="244">
                  <c:v>44365</c:v>
                </c:pt>
                <c:pt idx="245">
                  <c:v>44368</c:v>
                </c:pt>
                <c:pt idx="246">
                  <c:v>44369</c:v>
                </c:pt>
                <c:pt idx="247">
                  <c:v>44370</c:v>
                </c:pt>
                <c:pt idx="248">
                  <c:v>44371</c:v>
                </c:pt>
                <c:pt idx="249">
                  <c:v>44372</c:v>
                </c:pt>
                <c:pt idx="250">
                  <c:v>44375</c:v>
                </c:pt>
                <c:pt idx="251">
                  <c:v>44376</c:v>
                </c:pt>
                <c:pt idx="252">
                  <c:v>44377</c:v>
                </c:pt>
                <c:pt idx="253">
                  <c:v>44378</c:v>
                </c:pt>
                <c:pt idx="254">
                  <c:v>44379</c:v>
                </c:pt>
                <c:pt idx="255">
                  <c:v>44383</c:v>
                </c:pt>
                <c:pt idx="256">
                  <c:v>44384</c:v>
                </c:pt>
                <c:pt idx="257">
                  <c:v>44385</c:v>
                </c:pt>
                <c:pt idx="258">
                  <c:v>44386</c:v>
                </c:pt>
                <c:pt idx="259">
                  <c:v>44389</c:v>
                </c:pt>
                <c:pt idx="260">
                  <c:v>44390</c:v>
                </c:pt>
              </c:numCache>
            </c:numRef>
          </c:cat>
          <c:val>
            <c:numRef>
              <c:f>Sheet1!$D$2:$D$262</c:f>
              <c:numCache>
                <c:formatCode>0</c:formatCode>
                <c:ptCount val="261"/>
                <c:pt idx="0">
                  <c:v>100</c:v>
                </c:pt>
                <c:pt idx="1">
                  <c:v>102.92152623293221</c:v>
                </c:pt>
                <c:pt idx="2">
                  <c:v>103.6218732376514</c:v>
                </c:pt>
                <c:pt idx="3">
                  <c:v>102.69300644962186</c:v>
                </c:pt>
                <c:pt idx="4">
                  <c:v>100.17745185745805</c:v>
                </c:pt>
                <c:pt idx="5">
                  <c:v>103.78729290394639</c:v>
                </c:pt>
                <c:pt idx="6">
                  <c:v>105.23758525863703</c:v>
                </c:pt>
                <c:pt idx="7">
                  <c:v>106.56002410112187</c:v>
                </c:pt>
                <c:pt idx="8">
                  <c:v>105.23887114166207</c:v>
                </c:pt>
                <c:pt idx="9">
                  <c:v>107.33164576494427</c:v>
                </c:pt>
                <c:pt idx="10">
                  <c:v>104.37852354911064</c:v>
                </c:pt>
                <c:pt idx="11">
                  <c:v>105.86527987244042</c:v>
                </c:pt>
                <c:pt idx="12">
                  <c:v>110.30809757280396</c:v>
                </c:pt>
                <c:pt idx="13">
                  <c:v>110.21790206347488</c:v>
                </c:pt>
                <c:pt idx="14">
                  <c:v>112.26117019029233</c:v>
                </c:pt>
                <c:pt idx="15">
                  <c:v>113.11343508954342</c:v>
                </c:pt>
                <c:pt idx="16">
                  <c:v>114.00960370922147</c:v>
                </c:pt>
                <c:pt idx="17">
                  <c:v>110.76807630062478</c:v>
                </c:pt>
                <c:pt idx="18">
                  <c:v>112.41317993361173</c:v>
                </c:pt>
                <c:pt idx="19">
                  <c:v>110.31994606639201</c:v>
                </c:pt>
                <c:pt idx="20">
                  <c:v>107.70960352552389</c:v>
                </c:pt>
                <c:pt idx="21">
                  <c:v>110.63535480268128</c:v>
                </c:pt>
                <c:pt idx="22">
                  <c:v>111.10396731652749</c:v>
                </c:pt>
                <c:pt idx="23">
                  <c:v>113.3406689898287</c:v>
                </c:pt>
                <c:pt idx="24">
                  <c:v>113.88147465065317</c:v>
                </c:pt>
                <c:pt idx="25">
                  <c:v>115.44042412096123</c:v>
                </c:pt>
                <c:pt idx="26">
                  <c:v>113.18820000257182</c:v>
                </c:pt>
                <c:pt idx="27">
                  <c:v>112.60725642160803</c:v>
                </c:pt>
                <c:pt idx="28">
                  <c:v>114.07527559228696</c:v>
                </c:pt>
                <c:pt idx="29">
                  <c:v>109.04692187158443</c:v>
                </c:pt>
                <c:pt idx="30">
                  <c:v>107.40613513161017</c:v>
                </c:pt>
                <c:pt idx="31">
                  <c:v>106.2023649225807</c:v>
                </c:pt>
                <c:pt idx="32">
                  <c:v>106.65031145923847</c:v>
                </c:pt>
                <c:pt idx="33">
                  <c:v>109.6608391672622</c:v>
                </c:pt>
                <c:pt idx="34">
                  <c:v>111.9795618078046</c:v>
                </c:pt>
                <c:pt idx="35">
                  <c:v>114.52193624591965</c:v>
                </c:pt>
                <c:pt idx="36">
                  <c:v>114.51716010896942</c:v>
                </c:pt>
                <c:pt idx="37">
                  <c:v>113.71743271617073</c:v>
                </c:pt>
                <c:pt idx="38">
                  <c:v>110.33620330178022</c:v>
                </c:pt>
                <c:pt idx="39">
                  <c:v>114.91798821763754</c:v>
                </c:pt>
                <c:pt idx="40">
                  <c:v>116.03808418125074</c:v>
                </c:pt>
                <c:pt idx="41">
                  <c:v>118.43451089602168</c:v>
                </c:pt>
                <c:pt idx="42">
                  <c:v>119.04567272807432</c:v>
                </c:pt>
                <c:pt idx="43">
                  <c:v>121.50271964259801</c:v>
                </c:pt>
                <c:pt idx="44">
                  <c:v>121.623868193316</c:v>
                </c:pt>
                <c:pt idx="45">
                  <c:v>120.90864168502112</c:v>
                </c:pt>
                <c:pt idx="46">
                  <c:v>121.57454539442627</c:v>
                </c:pt>
                <c:pt idx="47">
                  <c:v>120.93344085764726</c:v>
                </c:pt>
                <c:pt idx="48">
                  <c:v>122.00017267572052</c:v>
                </c:pt>
                <c:pt idx="49">
                  <c:v>122.33248158891055</c:v>
                </c:pt>
                <c:pt idx="50">
                  <c:v>122.49973823095563</c:v>
                </c:pt>
                <c:pt idx="51">
                  <c:v>121.41619808476909</c:v>
                </c:pt>
                <c:pt idx="52">
                  <c:v>123.84256750426638</c:v>
                </c:pt>
                <c:pt idx="53">
                  <c:v>124.23586401235919</c:v>
                </c:pt>
                <c:pt idx="54">
                  <c:v>124.70015963319271</c:v>
                </c:pt>
                <c:pt idx="55">
                  <c:v>119.23782039153303</c:v>
                </c:pt>
                <c:pt idx="56">
                  <c:v>124.12270630615409</c:v>
                </c:pt>
                <c:pt idx="57">
                  <c:v>126.23890237024983</c:v>
                </c:pt>
                <c:pt idx="58">
                  <c:v>124.7244995618813</c:v>
                </c:pt>
                <c:pt idx="59">
                  <c:v>109.21142305000433</c:v>
                </c:pt>
                <c:pt idx="60">
                  <c:v>106.0106765030595</c:v>
                </c:pt>
                <c:pt idx="61">
                  <c:v>84.795535414137007</c:v>
                </c:pt>
                <c:pt idx="62">
                  <c:v>82.011323118523521</c:v>
                </c:pt>
                <c:pt idx="63">
                  <c:v>88.473528260953429</c:v>
                </c:pt>
                <c:pt idx="64">
                  <c:v>87.493042454346565</c:v>
                </c:pt>
                <c:pt idx="65">
                  <c:v>97.035855929665871</c:v>
                </c:pt>
                <c:pt idx="66">
                  <c:v>97.596500928591254</c:v>
                </c:pt>
                <c:pt idx="67">
                  <c:v>94.935733403383352</c:v>
                </c:pt>
                <c:pt idx="68">
                  <c:v>99.762846430664283</c:v>
                </c:pt>
                <c:pt idx="69">
                  <c:v>100.1563266363321</c:v>
                </c:pt>
                <c:pt idx="70">
                  <c:v>96.121317552487014</c:v>
                </c:pt>
                <c:pt idx="71">
                  <c:v>101.71215324786502</c:v>
                </c:pt>
                <c:pt idx="72">
                  <c:v>106.42381234925321</c:v>
                </c:pt>
                <c:pt idx="73">
                  <c:v>118.00438302413974</c:v>
                </c:pt>
                <c:pt idx="74">
                  <c:v>109.75268795476636</c:v>
                </c:pt>
                <c:pt idx="75">
                  <c:v>113.2565355004749</c:v>
                </c:pt>
                <c:pt idx="76">
                  <c:v>111.03958131648707</c:v>
                </c:pt>
                <c:pt idx="77">
                  <c:v>115.06981426338194</c:v>
                </c:pt>
                <c:pt idx="78">
                  <c:v>116.03909451791328</c:v>
                </c:pt>
                <c:pt idx="79">
                  <c:v>118.66505135265712</c:v>
                </c:pt>
                <c:pt idx="80">
                  <c:v>117.91602449056072</c:v>
                </c:pt>
                <c:pt idx="81">
                  <c:v>113.09671861021765</c:v>
                </c:pt>
                <c:pt idx="82">
                  <c:v>116.4172359760679</c:v>
                </c:pt>
                <c:pt idx="83">
                  <c:v>118.49724361788704</c:v>
                </c:pt>
                <c:pt idx="84">
                  <c:v>117.24314027330529</c:v>
                </c:pt>
                <c:pt idx="85">
                  <c:v>119.70836172991686</c:v>
                </c:pt>
                <c:pt idx="86">
                  <c:v>117.95827493281266</c:v>
                </c:pt>
                <c:pt idx="87">
                  <c:v>121.26648456113735</c:v>
                </c:pt>
                <c:pt idx="88">
                  <c:v>120.47116591013885</c:v>
                </c:pt>
                <c:pt idx="89">
                  <c:v>114.52809011468244</c:v>
                </c:pt>
                <c:pt idx="90">
                  <c:v>116.54729385917381</c:v>
                </c:pt>
                <c:pt idx="91">
                  <c:v>119.87396509378682</c:v>
                </c:pt>
                <c:pt idx="92">
                  <c:v>118.5675079403277</c:v>
                </c:pt>
                <c:pt idx="93">
                  <c:v>116.1496804580683</c:v>
                </c:pt>
                <c:pt idx="94">
                  <c:v>106.14486758160308</c:v>
                </c:pt>
                <c:pt idx="95">
                  <c:v>114.62747050276194</c:v>
                </c:pt>
                <c:pt idx="96">
                  <c:v>108.23552968277269</c:v>
                </c:pt>
                <c:pt idx="97">
                  <c:v>111.03581551619941</c:v>
                </c:pt>
                <c:pt idx="98">
                  <c:v>115.43638277431104</c:v>
                </c:pt>
                <c:pt idx="99">
                  <c:v>114.62747050276195</c:v>
                </c:pt>
                <c:pt idx="100">
                  <c:v>120.28489656908044</c:v>
                </c:pt>
                <c:pt idx="101">
                  <c:v>120.90156932838336</c:v>
                </c:pt>
                <c:pt idx="102">
                  <c:v>121.3890108436679</c:v>
                </c:pt>
                <c:pt idx="103">
                  <c:v>119.88976308523756</c:v>
                </c:pt>
                <c:pt idx="104">
                  <c:v>120.10808765313493</c:v>
                </c:pt>
                <c:pt idx="105">
                  <c:v>120.67653979899818</c:v>
                </c:pt>
                <c:pt idx="106">
                  <c:v>120.62932952222103</c:v>
                </c:pt>
                <c:pt idx="107">
                  <c:v>121.25775892632447</c:v>
                </c:pt>
                <c:pt idx="108">
                  <c:v>120.19479290853887</c:v>
                </c:pt>
                <c:pt idx="109">
                  <c:v>120.66404836389762</c:v>
                </c:pt>
                <c:pt idx="110">
                  <c:v>120.56962781034333</c:v>
                </c:pt>
                <c:pt idx="111">
                  <c:v>122.08944969717462</c:v>
                </c:pt>
                <c:pt idx="112">
                  <c:v>122.0652016172735</c:v>
                </c:pt>
                <c:pt idx="113">
                  <c:v>122.48660385434259</c:v>
                </c:pt>
                <c:pt idx="114">
                  <c:v>122.07769305237409</c:v>
                </c:pt>
                <c:pt idx="115">
                  <c:v>122.91480290168695</c:v>
                </c:pt>
                <c:pt idx="116">
                  <c:v>122.28049517518325</c:v>
                </c:pt>
                <c:pt idx="117">
                  <c:v>121.72591219623317</c:v>
                </c:pt>
                <c:pt idx="118">
                  <c:v>122.1493351066273</c:v>
                </c:pt>
                <c:pt idx="119">
                  <c:v>121.89252589676569</c:v>
                </c:pt>
                <c:pt idx="120">
                  <c:v>121.9613206386063</c:v>
                </c:pt>
                <c:pt idx="121">
                  <c:v>122.52867059901946</c:v>
                </c:pt>
                <c:pt idx="122">
                  <c:v>122.11966794826346</c:v>
                </c:pt>
                <c:pt idx="123">
                  <c:v>120.45325539657554</c:v>
                </c:pt>
                <c:pt idx="124">
                  <c:v>121.45312129734579</c:v>
                </c:pt>
                <c:pt idx="125">
                  <c:v>122.73634070756636</c:v>
                </c:pt>
                <c:pt idx="126">
                  <c:v>124.60188143056327</c:v>
                </c:pt>
                <c:pt idx="127">
                  <c:v>125.53203410161785</c:v>
                </c:pt>
                <c:pt idx="128">
                  <c:v>125.19458165632759</c:v>
                </c:pt>
                <c:pt idx="129">
                  <c:v>121.6656593916304</c:v>
                </c:pt>
                <c:pt idx="130">
                  <c:v>123.24371340973933</c:v>
                </c:pt>
                <c:pt idx="131">
                  <c:v>124.79706010400962</c:v>
                </c:pt>
                <c:pt idx="132">
                  <c:v>126.66214158306903</c:v>
                </c:pt>
                <c:pt idx="133">
                  <c:v>126.3966067383945</c:v>
                </c:pt>
                <c:pt idx="134">
                  <c:v>126.0053309036268</c:v>
                </c:pt>
                <c:pt idx="135">
                  <c:v>126.0784425384801</c:v>
                </c:pt>
                <c:pt idx="136">
                  <c:v>125.38480049524873</c:v>
                </c:pt>
                <c:pt idx="137">
                  <c:v>127.59606005441128</c:v>
                </c:pt>
                <c:pt idx="138">
                  <c:v>129.04322955032677</c:v>
                </c:pt>
                <c:pt idx="139">
                  <c:v>128.00653228576735</c:v>
                </c:pt>
                <c:pt idx="140">
                  <c:v>127.89998769226251</c:v>
                </c:pt>
                <c:pt idx="141">
                  <c:v>128.0345461659561</c:v>
                </c:pt>
                <c:pt idx="142">
                  <c:v>128.48451337593897</c:v>
                </c:pt>
                <c:pt idx="143">
                  <c:v>126.63862829346793</c:v>
                </c:pt>
                <c:pt idx="144">
                  <c:v>126.8896510297168</c:v>
                </c:pt>
                <c:pt idx="145">
                  <c:v>127.8660954896735</c:v>
                </c:pt>
                <c:pt idx="146">
                  <c:v>127.73107777204238</c:v>
                </c:pt>
                <c:pt idx="147">
                  <c:v>127.43073223690378</c:v>
                </c:pt>
                <c:pt idx="148">
                  <c:v>125.31802642673318</c:v>
                </c:pt>
                <c:pt idx="149">
                  <c:v>127.40336129822754</c:v>
                </c:pt>
                <c:pt idx="150">
                  <c:v>125.1022736248859</c:v>
                </c:pt>
                <c:pt idx="151">
                  <c:v>125.5199100616673</c:v>
                </c:pt>
                <c:pt idx="152">
                  <c:v>123.37928222009545</c:v>
                </c:pt>
                <c:pt idx="153">
                  <c:v>125.11660203573655</c:v>
                </c:pt>
                <c:pt idx="154">
                  <c:v>127.07426709260012</c:v>
                </c:pt>
                <c:pt idx="155">
                  <c:v>127.97870210315354</c:v>
                </c:pt>
                <c:pt idx="156">
                  <c:v>129.14205884568119</c:v>
                </c:pt>
                <c:pt idx="157">
                  <c:v>129.10926882854218</c:v>
                </c:pt>
                <c:pt idx="158">
                  <c:v>129.13856859175601</c:v>
                </c:pt>
                <c:pt idx="159">
                  <c:v>128.69668407507351</c:v>
                </c:pt>
                <c:pt idx="160">
                  <c:v>127.97264008317825</c:v>
                </c:pt>
                <c:pt idx="161">
                  <c:v>128.96405589549812</c:v>
                </c:pt>
                <c:pt idx="162">
                  <c:v>129.04653610667685</c:v>
                </c:pt>
                <c:pt idx="163">
                  <c:v>129.18164567309549</c:v>
                </c:pt>
                <c:pt idx="164">
                  <c:v>127.75495845679343</c:v>
                </c:pt>
                <c:pt idx="165">
                  <c:v>127.54976826550914</c:v>
                </c:pt>
                <c:pt idx="166">
                  <c:v>128.52612087667831</c:v>
                </c:pt>
                <c:pt idx="167">
                  <c:v>128.12942596344786</c:v>
                </c:pt>
                <c:pt idx="168">
                  <c:v>128.36786541580864</c:v>
                </c:pt>
                <c:pt idx="169">
                  <c:v>127.47996318700596</c:v>
                </c:pt>
                <c:pt idx="170">
                  <c:v>126.6254020680673</c:v>
                </c:pt>
                <c:pt idx="171">
                  <c:v>128.70605265139895</c:v>
                </c:pt>
                <c:pt idx="172">
                  <c:v>128.95386068008514</c:v>
                </c:pt>
                <c:pt idx="173">
                  <c:v>129.32336835221437</c:v>
                </c:pt>
                <c:pt idx="174">
                  <c:v>129.10577857461703</c:v>
                </c:pt>
                <c:pt idx="175">
                  <c:v>127.85984977212316</c:v>
                </c:pt>
                <c:pt idx="176">
                  <c:v>132.61072830577564</c:v>
                </c:pt>
                <c:pt idx="177">
                  <c:v>133.55043325073066</c:v>
                </c:pt>
                <c:pt idx="178">
                  <c:v>133.81808061751778</c:v>
                </c:pt>
                <c:pt idx="179">
                  <c:v>133.20269374123993</c:v>
                </c:pt>
                <c:pt idx="180">
                  <c:v>132.82638925883541</c:v>
                </c:pt>
                <c:pt idx="181">
                  <c:v>133.70960719947536</c:v>
                </c:pt>
                <c:pt idx="182">
                  <c:v>134.06809301710408</c:v>
                </c:pt>
                <c:pt idx="183">
                  <c:v>135.71135967434094</c:v>
                </c:pt>
                <c:pt idx="184">
                  <c:v>134.29211220982671</c:v>
                </c:pt>
                <c:pt idx="185">
                  <c:v>134.62469666937926</c:v>
                </c:pt>
                <c:pt idx="186">
                  <c:v>134.66887593616877</c:v>
                </c:pt>
                <c:pt idx="187">
                  <c:v>134.1946606462848</c:v>
                </c:pt>
                <c:pt idx="188">
                  <c:v>134.29541876617688</c:v>
                </c:pt>
                <c:pt idx="189">
                  <c:v>135.46722559715491</c:v>
                </c:pt>
                <c:pt idx="190">
                  <c:v>136.09896155760848</c:v>
                </c:pt>
                <c:pt idx="191">
                  <c:v>137.85226306227531</c:v>
                </c:pt>
                <c:pt idx="192">
                  <c:v>137.84978314501271</c:v>
                </c:pt>
                <c:pt idx="193">
                  <c:v>138.75752471191629</c:v>
                </c:pt>
                <c:pt idx="194">
                  <c:v>139.72662126887263</c:v>
                </c:pt>
                <c:pt idx="195">
                  <c:v>139.39302647265757</c:v>
                </c:pt>
                <c:pt idx="196">
                  <c:v>139.63477248136851</c:v>
                </c:pt>
                <c:pt idx="197">
                  <c:v>139.9239124644316</c:v>
                </c:pt>
                <c:pt idx="198">
                  <c:v>139.74793018757364</c:v>
                </c:pt>
                <c:pt idx="199">
                  <c:v>139.92574944018168</c:v>
                </c:pt>
                <c:pt idx="200">
                  <c:v>139.69419864688368</c:v>
                </c:pt>
                <c:pt idx="201">
                  <c:v>140.11835634757787</c:v>
                </c:pt>
                <c:pt idx="202">
                  <c:v>141.99592926173784</c:v>
                </c:pt>
                <c:pt idx="203">
                  <c:v>141.15679873909988</c:v>
                </c:pt>
                <c:pt idx="204">
                  <c:v>138.96271490320061</c:v>
                </c:pt>
                <c:pt idx="205">
                  <c:v>139.57314194495322</c:v>
                </c:pt>
                <c:pt idx="206">
                  <c:v>140.71711859331751</c:v>
                </c:pt>
                <c:pt idx="207">
                  <c:v>140.34145705242554</c:v>
                </c:pt>
                <c:pt idx="208">
                  <c:v>140.49502822513247</c:v>
                </c:pt>
                <c:pt idx="209">
                  <c:v>140.06269598235042</c:v>
                </c:pt>
                <c:pt idx="210">
                  <c:v>140.45681912953074</c:v>
                </c:pt>
                <c:pt idx="211">
                  <c:v>139.18948955954841</c:v>
                </c:pt>
                <c:pt idx="212">
                  <c:v>139.0214981272033</c:v>
                </c:pt>
                <c:pt idx="213">
                  <c:v>136.45496745797467</c:v>
                </c:pt>
                <c:pt idx="214">
                  <c:v>139.34177484923032</c:v>
                </c:pt>
                <c:pt idx="215">
                  <c:v>139.5802143015911</c:v>
                </c:pt>
                <c:pt idx="216">
                  <c:v>141.44391804883793</c:v>
                </c:pt>
                <c:pt idx="217">
                  <c:v>141.45089855668823</c:v>
                </c:pt>
                <c:pt idx="218">
                  <c:v>138.87307048659659</c:v>
                </c:pt>
                <c:pt idx="219">
                  <c:v>139.15293374212175</c:v>
                </c:pt>
                <c:pt idx="220">
                  <c:v>139.6072178451173</c:v>
                </c:pt>
                <c:pt idx="221">
                  <c:v>141.5999691388075</c:v>
                </c:pt>
                <c:pt idx="222">
                  <c:v>141.41608786622419</c:v>
                </c:pt>
                <c:pt idx="223">
                  <c:v>141.32387168357002</c:v>
                </c:pt>
                <c:pt idx="224">
                  <c:v>138.81621608713155</c:v>
                </c:pt>
                <c:pt idx="225">
                  <c:v>141.17397446236325</c:v>
                </c:pt>
                <c:pt idx="226">
                  <c:v>141.79165755832869</c:v>
                </c:pt>
                <c:pt idx="227">
                  <c:v>142.04497651426516</c:v>
                </c:pt>
                <c:pt idx="228">
                  <c:v>141.91298980662168</c:v>
                </c:pt>
                <c:pt idx="229">
                  <c:v>141.50894699039091</c:v>
                </c:pt>
                <c:pt idx="230">
                  <c:v>142.54913450887548</c:v>
                </c:pt>
                <c:pt idx="231">
                  <c:v>142.98431406407019</c:v>
                </c:pt>
                <c:pt idx="232">
                  <c:v>143.30899952789736</c:v>
                </c:pt>
                <c:pt idx="233">
                  <c:v>143.58417849525981</c:v>
                </c:pt>
                <c:pt idx="234">
                  <c:v>144.13738374239733</c:v>
                </c:pt>
                <c:pt idx="235">
                  <c:v>143.99272190207827</c:v>
                </c:pt>
                <c:pt idx="236">
                  <c:v>143.65701458375057</c:v>
                </c:pt>
                <c:pt idx="237">
                  <c:v>143.11088169325083</c:v>
                </c:pt>
                <c:pt idx="238">
                  <c:v>143.0197676960467</c:v>
                </c:pt>
                <c:pt idx="239">
                  <c:v>144.14078214753494</c:v>
                </c:pt>
                <c:pt idx="240">
                  <c:v>143.96048297766427</c:v>
                </c:pt>
                <c:pt idx="241">
                  <c:v>144.47373400223751</c:v>
                </c:pt>
                <c:pt idx="242">
                  <c:v>144.29968054991713</c:v>
                </c:pt>
                <c:pt idx="243">
                  <c:v>144.45674197654924</c:v>
                </c:pt>
                <c:pt idx="244">
                  <c:v>141.88837433157053</c:v>
                </c:pt>
                <c:pt idx="245">
                  <c:v>143.31386751363502</c:v>
                </c:pt>
                <c:pt idx="246">
                  <c:v>143.61779515148629</c:v>
                </c:pt>
                <c:pt idx="247">
                  <c:v>141.96506806913649</c:v>
                </c:pt>
                <c:pt idx="248">
                  <c:v>143.18518736234171</c:v>
                </c:pt>
                <c:pt idx="249">
                  <c:v>143.35731199012451</c:v>
                </c:pt>
                <c:pt idx="250">
                  <c:v>142.86325736213968</c:v>
                </c:pt>
                <c:pt idx="251">
                  <c:v>144.11616667248387</c:v>
                </c:pt>
                <c:pt idx="252">
                  <c:v>142.65071926785507</c:v>
                </c:pt>
                <c:pt idx="253">
                  <c:v>143.31910289452281</c:v>
                </c:pt>
                <c:pt idx="254">
                  <c:v>143.74417908309204</c:v>
                </c:pt>
                <c:pt idx="255">
                  <c:v>142.4701445516219</c:v>
                </c:pt>
                <c:pt idx="256">
                  <c:v>144.13563861543477</c:v>
                </c:pt>
                <c:pt idx="257">
                  <c:v>141.63670865380919</c:v>
                </c:pt>
                <c:pt idx="258">
                  <c:v>144.09173489500779</c:v>
                </c:pt>
                <c:pt idx="259">
                  <c:v>145.03391975722542</c:v>
                </c:pt>
                <c:pt idx="260">
                  <c:v>145.02592891271254</c:v>
                </c:pt>
              </c:numCache>
            </c:numRef>
          </c:val>
          <c:smooth val="0"/>
          <c:extLst>
            <c:ext xmlns:c16="http://schemas.microsoft.com/office/drawing/2014/chart" uri="{C3380CC4-5D6E-409C-BE32-E72D297353CC}">
              <c16:uniqueId val="{00000001-E32C-4824-85F6-4515D8B4CE1E}"/>
            </c:ext>
          </c:extLst>
        </c:ser>
        <c:ser>
          <c:idx val="4"/>
          <c:order val="2"/>
          <c:tx>
            <c:strRef>
              <c:f>Sheet1!$F$1</c:f>
              <c:strCache>
                <c:ptCount val="1"/>
                <c:pt idx="0">
                  <c:v>MOEX (ՌԴ)</c:v>
                </c:pt>
              </c:strCache>
            </c:strRef>
          </c:tx>
          <c:spPr>
            <a:ln w="28575" cap="rnd">
              <a:solidFill>
                <a:schemeClr val="accent2">
                  <a:lumMod val="75000"/>
                </a:schemeClr>
              </a:solidFill>
              <a:round/>
            </a:ln>
            <a:effectLst/>
          </c:spPr>
          <c:marker>
            <c:symbol val="none"/>
          </c:marker>
          <c:cat>
            <c:numRef>
              <c:f>Sheet1!$A$2:$A$262</c:f>
              <c:numCache>
                <c:formatCode>dd\-mmm\-yy</c:formatCode>
                <c:ptCount val="261"/>
                <c:pt idx="0">
                  <c:v>43471</c:v>
                </c:pt>
                <c:pt idx="1">
                  <c:v>43478</c:v>
                </c:pt>
                <c:pt idx="2">
                  <c:v>43485</c:v>
                </c:pt>
                <c:pt idx="3">
                  <c:v>43492</c:v>
                </c:pt>
                <c:pt idx="4">
                  <c:v>43499</c:v>
                </c:pt>
                <c:pt idx="5">
                  <c:v>43506</c:v>
                </c:pt>
                <c:pt idx="6">
                  <c:v>43513</c:v>
                </c:pt>
                <c:pt idx="7">
                  <c:v>43520</c:v>
                </c:pt>
                <c:pt idx="8">
                  <c:v>43527</c:v>
                </c:pt>
                <c:pt idx="9">
                  <c:v>43534</c:v>
                </c:pt>
                <c:pt idx="10">
                  <c:v>43541</c:v>
                </c:pt>
                <c:pt idx="11">
                  <c:v>43548</c:v>
                </c:pt>
                <c:pt idx="12">
                  <c:v>43555</c:v>
                </c:pt>
                <c:pt idx="13">
                  <c:v>43562</c:v>
                </c:pt>
                <c:pt idx="14">
                  <c:v>43569</c:v>
                </c:pt>
                <c:pt idx="15">
                  <c:v>43576</c:v>
                </c:pt>
                <c:pt idx="16">
                  <c:v>43583</c:v>
                </c:pt>
                <c:pt idx="17">
                  <c:v>43590</c:v>
                </c:pt>
                <c:pt idx="18">
                  <c:v>43597</c:v>
                </c:pt>
                <c:pt idx="19">
                  <c:v>43604</c:v>
                </c:pt>
                <c:pt idx="20">
                  <c:v>43611</c:v>
                </c:pt>
                <c:pt idx="21">
                  <c:v>43618</c:v>
                </c:pt>
                <c:pt idx="22">
                  <c:v>43625</c:v>
                </c:pt>
                <c:pt idx="23">
                  <c:v>43632</c:v>
                </c:pt>
                <c:pt idx="24">
                  <c:v>43639</c:v>
                </c:pt>
                <c:pt idx="25">
                  <c:v>43646</c:v>
                </c:pt>
                <c:pt idx="26">
                  <c:v>43653</c:v>
                </c:pt>
                <c:pt idx="27">
                  <c:v>43660</c:v>
                </c:pt>
                <c:pt idx="28">
                  <c:v>43667</c:v>
                </c:pt>
                <c:pt idx="29">
                  <c:v>43674</c:v>
                </c:pt>
                <c:pt idx="30">
                  <c:v>43681</c:v>
                </c:pt>
                <c:pt idx="31">
                  <c:v>43688</c:v>
                </c:pt>
                <c:pt idx="32">
                  <c:v>43695</c:v>
                </c:pt>
                <c:pt idx="33">
                  <c:v>43702</c:v>
                </c:pt>
                <c:pt idx="34">
                  <c:v>43709</c:v>
                </c:pt>
                <c:pt idx="35">
                  <c:v>43716</c:v>
                </c:pt>
                <c:pt idx="36">
                  <c:v>43723</c:v>
                </c:pt>
                <c:pt idx="37">
                  <c:v>43730</c:v>
                </c:pt>
                <c:pt idx="38">
                  <c:v>43737</c:v>
                </c:pt>
                <c:pt idx="39">
                  <c:v>43744</c:v>
                </c:pt>
                <c:pt idx="40">
                  <c:v>43751</c:v>
                </c:pt>
                <c:pt idx="41">
                  <c:v>43758</c:v>
                </c:pt>
                <c:pt idx="42">
                  <c:v>43765</c:v>
                </c:pt>
                <c:pt idx="43">
                  <c:v>43772</c:v>
                </c:pt>
                <c:pt idx="44">
                  <c:v>43779</c:v>
                </c:pt>
                <c:pt idx="45">
                  <c:v>43786</c:v>
                </c:pt>
                <c:pt idx="46">
                  <c:v>43793</c:v>
                </c:pt>
                <c:pt idx="47">
                  <c:v>43800</c:v>
                </c:pt>
                <c:pt idx="48">
                  <c:v>43807</c:v>
                </c:pt>
                <c:pt idx="49">
                  <c:v>43814</c:v>
                </c:pt>
                <c:pt idx="50">
                  <c:v>43821</c:v>
                </c:pt>
                <c:pt idx="51">
                  <c:v>43828</c:v>
                </c:pt>
                <c:pt idx="52">
                  <c:v>43835</c:v>
                </c:pt>
                <c:pt idx="53">
                  <c:v>43842</c:v>
                </c:pt>
                <c:pt idx="54">
                  <c:v>43849</c:v>
                </c:pt>
                <c:pt idx="55">
                  <c:v>43856</c:v>
                </c:pt>
                <c:pt idx="56">
                  <c:v>43863</c:v>
                </c:pt>
                <c:pt idx="57">
                  <c:v>43870</c:v>
                </c:pt>
                <c:pt idx="58">
                  <c:v>43877</c:v>
                </c:pt>
                <c:pt idx="59">
                  <c:v>43884</c:v>
                </c:pt>
                <c:pt idx="60">
                  <c:v>43891</c:v>
                </c:pt>
                <c:pt idx="61">
                  <c:v>43898</c:v>
                </c:pt>
                <c:pt idx="62">
                  <c:v>43905</c:v>
                </c:pt>
                <c:pt idx="63">
                  <c:v>43912</c:v>
                </c:pt>
                <c:pt idx="64">
                  <c:v>43919</c:v>
                </c:pt>
                <c:pt idx="65">
                  <c:v>43926</c:v>
                </c:pt>
                <c:pt idx="66">
                  <c:v>43933</c:v>
                </c:pt>
                <c:pt idx="67">
                  <c:v>43940</c:v>
                </c:pt>
                <c:pt idx="68">
                  <c:v>43947</c:v>
                </c:pt>
                <c:pt idx="69">
                  <c:v>43954</c:v>
                </c:pt>
                <c:pt idx="70">
                  <c:v>43961</c:v>
                </c:pt>
                <c:pt idx="71">
                  <c:v>43968</c:v>
                </c:pt>
                <c:pt idx="72">
                  <c:v>43975</c:v>
                </c:pt>
                <c:pt idx="73">
                  <c:v>43982</c:v>
                </c:pt>
                <c:pt idx="74">
                  <c:v>43989</c:v>
                </c:pt>
                <c:pt idx="75">
                  <c:v>43996</c:v>
                </c:pt>
                <c:pt idx="76">
                  <c:v>44003</c:v>
                </c:pt>
                <c:pt idx="77">
                  <c:v>44010</c:v>
                </c:pt>
                <c:pt idx="78">
                  <c:v>44017</c:v>
                </c:pt>
                <c:pt idx="79">
                  <c:v>44024</c:v>
                </c:pt>
                <c:pt idx="80">
                  <c:v>44031</c:v>
                </c:pt>
                <c:pt idx="81">
                  <c:v>44038</c:v>
                </c:pt>
                <c:pt idx="82">
                  <c:v>44045</c:v>
                </c:pt>
                <c:pt idx="83">
                  <c:v>44052</c:v>
                </c:pt>
                <c:pt idx="84">
                  <c:v>44059</c:v>
                </c:pt>
                <c:pt idx="85">
                  <c:v>44066</c:v>
                </c:pt>
                <c:pt idx="86">
                  <c:v>44073</c:v>
                </c:pt>
                <c:pt idx="87">
                  <c:v>44080</c:v>
                </c:pt>
                <c:pt idx="88">
                  <c:v>44087</c:v>
                </c:pt>
                <c:pt idx="89">
                  <c:v>44094</c:v>
                </c:pt>
                <c:pt idx="90">
                  <c:v>44101</c:v>
                </c:pt>
                <c:pt idx="91">
                  <c:v>44108</c:v>
                </c:pt>
                <c:pt idx="92">
                  <c:v>44115</c:v>
                </c:pt>
                <c:pt idx="93">
                  <c:v>44122</c:v>
                </c:pt>
                <c:pt idx="94">
                  <c:v>44129</c:v>
                </c:pt>
                <c:pt idx="95">
                  <c:v>44136</c:v>
                </c:pt>
                <c:pt idx="96">
                  <c:v>44137</c:v>
                </c:pt>
                <c:pt idx="97">
                  <c:v>44138</c:v>
                </c:pt>
                <c:pt idx="98">
                  <c:v>44140</c:v>
                </c:pt>
                <c:pt idx="99">
                  <c:v>44141</c:v>
                </c:pt>
                <c:pt idx="100">
                  <c:v>44144</c:v>
                </c:pt>
                <c:pt idx="101">
                  <c:v>44145</c:v>
                </c:pt>
                <c:pt idx="102">
                  <c:v>44146</c:v>
                </c:pt>
                <c:pt idx="103">
                  <c:v>44147</c:v>
                </c:pt>
                <c:pt idx="104">
                  <c:v>44148</c:v>
                </c:pt>
                <c:pt idx="105">
                  <c:v>44151</c:v>
                </c:pt>
                <c:pt idx="106">
                  <c:v>44152</c:v>
                </c:pt>
                <c:pt idx="107">
                  <c:v>44153</c:v>
                </c:pt>
                <c:pt idx="108">
                  <c:v>44154</c:v>
                </c:pt>
                <c:pt idx="109">
                  <c:v>44155</c:v>
                </c:pt>
                <c:pt idx="110">
                  <c:v>44158</c:v>
                </c:pt>
                <c:pt idx="111">
                  <c:v>44159</c:v>
                </c:pt>
                <c:pt idx="112">
                  <c:v>44160</c:v>
                </c:pt>
                <c:pt idx="113">
                  <c:v>44162</c:v>
                </c:pt>
                <c:pt idx="114">
                  <c:v>44165</c:v>
                </c:pt>
                <c:pt idx="115">
                  <c:v>44166</c:v>
                </c:pt>
                <c:pt idx="116">
                  <c:v>44167</c:v>
                </c:pt>
                <c:pt idx="117">
                  <c:v>44168</c:v>
                </c:pt>
                <c:pt idx="118">
                  <c:v>44169</c:v>
                </c:pt>
                <c:pt idx="119">
                  <c:v>44172</c:v>
                </c:pt>
                <c:pt idx="120">
                  <c:v>44173</c:v>
                </c:pt>
                <c:pt idx="121">
                  <c:v>44174</c:v>
                </c:pt>
                <c:pt idx="122">
                  <c:v>44175</c:v>
                </c:pt>
                <c:pt idx="123">
                  <c:v>44176</c:v>
                </c:pt>
                <c:pt idx="124">
                  <c:v>44179</c:v>
                </c:pt>
                <c:pt idx="125">
                  <c:v>44180</c:v>
                </c:pt>
                <c:pt idx="126">
                  <c:v>44181</c:v>
                </c:pt>
                <c:pt idx="127">
                  <c:v>44182</c:v>
                </c:pt>
                <c:pt idx="128">
                  <c:v>44183</c:v>
                </c:pt>
                <c:pt idx="129">
                  <c:v>44186</c:v>
                </c:pt>
                <c:pt idx="130">
                  <c:v>44187</c:v>
                </c:pt>
                <c:pt idx="131">
                  <c:v>44188</c:v>
                </c:pt>
                <c:pt idx="132">
                  <c:v>44193</c:v>
                </c:pt>
                <c:pt idx="133">
                  <c:v>44194</c:v>
                </c:pt>
                <c:pt idx="134">
                  <c:v>44195</c:v>
                </c:pt>
                <c:pt idx="135">
                  <c:v>44200</c:v>
                </c:pt>
                <c:pt idx="136">
                  <c:v>44201</c:v>
                </c:pt>
                <c:pt idx="137">
                  <c:v>44202</c:v>
                </c:pt>
                <c:pt idx="138">
                  <c:v>44204</c:v>
                </c:pt>
                <c:pt idx="139">
                  <c:v>44207</c:v>
                </c:pt>
                <c:pt idx="140">
                  <c:v>44208</c:v>
                </c:pt>
                <c:pt idx="141">
                  <c:v>44209</c:v>
                </c:pt>
                <c:pt idx="142">
                  <c:v>44210</c:v>
                </c:pt>
                <c:pt idx="143">
                  <c:v>44211</c:v>
                </c:pt>
                <c:pt idx="144">
                  <c:v>44215</c:v>
                </c:pt>
                <c:pt idx="145">
                  <c:v>44216</c:v>
                </c:pt>
                <c:pt idx="146">
                  <c:v>44217</c:v>
                </c:pt>
                <c:pt idx="147">
                  <c:v>44218</c:v>
                </c:pt>
                <c:pt idx="148">
                  <c:v>44221</c:v>
                </c:pt>
                <c:pt idx="149">
                  <c:v>44222</c:v>
                </c:pt>
                <c:pt idx="150">
                  <c:v>44223</c:v>
                </c:pt>
                <c:pt idx="151">
                  <c:v>44224</c:v>
                </c:pt>
                <c:pt idx="152">
                  <c:v>44225</c:v>
                </c:pt>
                <c:pt idx="153">
                  <c:v>44228</c:v>
                </c:pt>
                <c:pt idx="154">
                  <c:v>44229</c:v>
                </c:pt>
                <c:pt idx="155">
                  <c:v>44230</c:v>
                </c:pt>
                <c:pt idx="156">
                  <c:v>44231</c:v>
                </c:pt>
                <c:pt idx="157">
                  <c:v>44232</c:v>
                </c:pt>
                <c:pt idx="158">
                  <c:v>44235</c:v>
                </c:pt>
                <c:pt idx="159">
                  <c:v>44236</c:v>
                </c:pt>
                <c:pt idx="160">
                  <c:v>44237</c:v>
                </c:pt>
                <c:pt idx="161">
                  <c:v>44238</c:v>
                </c:pt>
                <c:pt idx="162">
                  <c:v>44239</c:v>
                </c:pt>
                <c:pt idx="163">
                  <c:v>44243</c:v>
                </c:pt>
                <c:pt idx="164">
                  <c:v>44244</c:v>
                </c:pt>
                <c:pt idx="165">
                  <c:v>44245</c:v>
                </c:pt>
                <c:pt idx="166">
                  <c:v>44246</c:v>
                </c:pt>
                <c:pt idx="167">
                  <c:v>44249</c:v>
                </c:pt>
                <c:pt idx="168">
                  <c:v>44251</c:v>
                </c:pt>
                <c:pt idx="169">
                  <c:v>44252</c:v>
                </c:pt>
                <c:pt idx="170">
                  <c:v>44253</c:v>
                </c:pt>
                <c:pt idx="171">
                  <c:v>44256</c:v>
                </c:pt>
                <c:pt idx="172">
                  <c:v>44257</c:v>
                </c:pt>
                <c:pt idx="173">
                  <c:v>44258</c:v>
                </c:pt>
                <c:pt idx="174">
                  <c:v>44259</c:v>
                </c:pt>
                <c:pt idx="175">
                  <c:v>44260</c:v>
                </c:pt>
                <c:pt idx="176">
                  <c:v>44264</c:v>
                </c:pt>
                <c:pt idx="177">
                  <c:v>44265</c:v>
                </c:pt>
                <c:pt idx="178">
                  <c:v>44266</c:v>
                </c:pt>
                <c:pt idx="179">
                  <c:v>44267</c:v>
                </c:pt>
                <c:pt idx="180">
                  <c:v>44270</c:v>
                </c:pt>
                <c:pt idx="181">
                  <c:v>44271</c:v>
                </c:pt>
                <c:pt idx="182">
                  <c:v>44272</c:v>
                </c:pt>
                <c:pt idx="183">
                  <c:v>44273</c:v>
                </c:pt>
                <c:pt idx="184">
                  <c:v>44274</c:v>
                </c:pt>
                <c:pt idx="185">
                  <c:v>44277</c:v>
                </c:pt>
                <c:pt idx="186">
                  <c:v>44278</c:v>
                </c:pt>
                <c:pt idx="187">
                  <c:v>44279</c:v>
                </c:pt>
                <c:pt idx="188">
                  <c:v>44280</c:v>
                </c:pt>
                <c:pt idx="189">
                  <c:v>44281</c:v>
                </c:pt>
                <c:pt idx="190">
                  <c:v>44284</c:v>
                </c:pt>
                <c:pt idx="191">
                  <c:v>44285</c:v>
                </c:pt>
                <c:pt idx="192">
                  <c:v>44286</c:v>
                </c:pt>
                <c:pt idx="193">
                  <c:v>44287</c:v>
                </c:pt>
                <c:pt idx="194">
                  <c:v>44292</c:v>
                </c:pt>
                <c:pt idx="195">
                  <c:v>44293</c:v>
                </c:pt>
                <c:pt idx="196">
                  <c:v>44294</c:v>
                </c:pt>
                <c:pt idx="197">
                  <c:v>44295</c:v>
                </c:pt>
                <c:pt idx="198">
                  <c:v>44298</c:v>
                </c:pt>
                <c:pt idx="199">
                  <c:v>44299</c:v>
                </c:pt>
                <c:pt idx="200">
                  <c:v>44300</c:v>
                </c:pt>
                <c:pt idx="201">
                  <c:v>44301</c:v>
                </c:pt>
                <c:pt idx="202">
                  <c:v>44302</c:v>
                </c:pt>
                <c:pt idx="203">
                  <c:v>44305</c:v>
                </c:pt>
                <c:pt idx="204">
                  <c:v>44306</c:v>
                </c:pt>
                <c:pt idx="205">
                  <c:v>44307</c:v>
                </c:pt>
                <c:pt idx="206">
                  <c:v>44308</c:v>
                </c:pt>
                <c:pt idx="207">
                  <c:v>44309</c:v>
                </c:pt>
                <c:pt idx="208">
                  <c:v>44312</c:v>
                </c:pt>
                <c:pt idx="209">
                  <c:v>44313</c:v>
                </c:pt>
                <c:pt idx="210">
                  <c:v>44314</c:v>
                </c:pt>
                <c:pt idx="211">
                  <c:v>44315</c:v>
                </c:pt>
                <c:pt idx="212">
                  <c:v>44316</c:v>
                </c:pt>
                <c:pt idx="213">
                  <c:v>44320</c:v>
                </c:pt>
                <c:pt idx="214">
                  <c:v>44321</c:v>
                </c:pt>
                <c:pt idx="215">
                  <c:v>44322</c:v>
                </c:pt>
                <c:pt idx="216">
                  <c:v>44323</c:v>
                </c:pt>
                <c:pt idx="217">
                  <c:v>44326</c:v>
                </c:pt>
                <c:pt idx="218">
                  <c:v>44327</c:v>
                </c:pt>
                <c:pt idx="219">
                  <c:v>44328</c:v>
                </c:pt>
                <c:pt idx="220">
                  <c:v>44329</c:v>
                </c:pt>
                <c:pt idx="221">
                  <c:v>44330</c:v>
                </c:pt>
                <c:pt idx="222">
                  <c:v>44333</c:v>
                </c:pt>
                <c:pt idx="223">
                  <c:v>44334</c:v>
                </c:pt>
                <c:pt idx="224">
                  <c:v>44335</c:v>
                </c:pt>
                <c:pt idx="225">
                  <c:v>44336</c:v>
                </c:pt>
                <c:pt idx="226">
                  <c:v>44337</c:v>
                </c:pt>
                <c:pt idx="227">
                  <c:v>44341</c:v>
                </c:pt>
                <c:pt idx="228">
                  <c:v>44342</c:v>
                </c:pt>
                <c:pt idx="229">
                  <c:v>44343</c:v>
                </c:pt>
                <c:pt idx="230">
                  <c:v>44344</c:v>
                </c:pt>
                <c:pt idx="231">
                  <c:v>44348</c:v>
                </c:pt>
                <c:pt idx="232">
                  <c:v>44349</c:v>
                </c:pt>
                <c:pt idx="233">
                  <c:v>44350</c:v>
                </c:pt>
                <c:pt idx="234">
                  <c:v>44351</c:v>
                </c:pt>
                <c:pt idx="235">
                  <c:v>44354</c:v>
                </c:pt>
                <c:pt idx="236">
                  <c:v>44355</c:v>
                </c:pt>
                <c:pt idx="237">
                  <c:v>44356</c:v>
                </c:pt>
                <c:pt idx="238">
                  <c:v>44357</c:v>
                </c:pt>
                <c:pt idx="239">
                  <c:v>44358</c:v>
                </c:pt>
                <c:pt idx="240">
                  <c:v>44361</c:v>
                </c:pt>
                <c:pt idx="241">
                  <c:v>44362</c:v>
                </c:pt>
                <c:pt idx="242">
                  <c:v>44363</c:v>
                </c:pt>
                <c:pt idx="243">
                  <c:v>44364</c:v>
                </c:pt>
                <c:pt idx="244">
                  <c:v>44365</c:v>
                </c:pt>
                <c:pt idx="245">
                  <c:v>44368</c:v>
                </c:pt>
                <c:pt idx="246">
                  <c:v>44369</c:v>
                </c:pt>
                <c:pt idx="247">
                  <c:v>44370</c:v>
                </c:pt>
                <c:pt idx="248">
                  <c:v>44371</c:v>
                </c:pt>
                <c:pt idx="249">
                  <c:v>44372</c:v>
                </c:pt>
                <c:pt idx="250">
                  <c:v>44375</c:v>
                </c:pt>
                <c:pt idx="251">
                  <c:v>44376</c:v>
                </c:pt>
                <c:pt idx="252">
                  <c:v>44377</c:v>
                </c:pt>
                <c:pt idx="253">
                  <c:v>44378</c:v>
                </c:pt>
                <c:pt idx="254">
                  <c:v>44379</c:v>
                </c:pt>
                <c:pt idx="255">
                  <c:v>44383</c:v>
                </c:pt>
                <c:pt idx="256">
                  <c:v>44384</c:v>
                </c:pt>
                <c:pt idx="257">
                  <c:v>44385</c:v>
                </c:pt>
                <c:pt idx="258">
                  <c:v>44386</c:v>
                </c:pt>
                <c:pt idx="259">
                  <c:v>44389</c:v>
                </c:pt>
                <c:pt idx="260">
                  <c:v>44390</c:v>
                </c:pt>
              </c:numCache>
            </c:numRef>
          </c:cat>
          <c:val>
            <c:numRef>
              <c:f>Sheet1!$F$2:$F$262</c:f>
              <c:numCache>
                <c:formatCode>0</c:formatCode>
                <c:ptCount val="261"/>
                <c:pt idx="0">
                  <c:v>100</c:v>
                </c:pt>
                <c:pt idx="1">
                  <c:v>101.19290637975824</c:v>
                </c:pt>
                <c:pt idx="2">
                  <c:v>102.20008590889566</c:v>
                </c:pt>
                <c:pt idx="3">
                  <c:v>103.16022009040887</c:v>
                </c:pt>
                <c:pt idx="4">
                  <c:v>102.38785820941317</c:v>
                </c:pt>
                <c:pt idx="5">
                  <c:v>101.86995029556751</c:v>
                </c:pt>
                <c:pt idx="6">
                  <c:v>101.80735952872836</c:v>
                </c:pt>
                <c:pt idx="7">
                  <c:v>101.37290597066827</c:v>
                </c:pt>
                <c:pt idx="8">
                  <c:v>101.31686064349854</c:v>
                </c:pt>
                <c:pt idx="9">
                  <c:v>101.32054245331263</c:v>
                </c:pt>
                <c:pt idx="10">
                  <c:v>101.97385915032012</c:v>
                </c:pt>
                <c:pt idx="11">
                  <c:v>102.15385874123014</c:v>
                </c:pt>
                <c:pt idx="12">
                  <c:v>103.94935466055759</c:v>
                </c:pt>
                <c:pt idx="13">
                  <c:v>104.71558019186321</c:v>
                </c:pt>
                <c:pt idx="14">
                  <c:v>104.88657980322775</c:v>
                </c:pt>
                <c:pt idx="15">
                  <c:v>104.8792161835996</c:v>
                </c:pt>
                <c:pt idx="16">
                  <c:v>105.58407821800405</c:v>
                </c:pt>
                <c:pt idx="17">
                  <c:v>102.88081163451902</c:v>
                </c:pt>
                <c:pt idx="18">
                  <c:v>105.44212399517275</c:v>
                </c:pt>
                <c:pt idx="19">
                  <c:v>107.15048374890058</c:v>
                </c:pt>
                <c:pt idx="20">
                  <c:v>109.03597946368305</c:v>
                </c:pt>
                <c:pt idx="21">
                  <c:v>111.66560985088672</c:v>
                </c:pt>
                <c:pt idx="22">
                  <c:v>112.06119986090944</c:v>
                </c:pt>
                <c:pt idx="23">
                  <c:v>112.95915236556283</c:v>
                </c:pt>
                <c:pt idx="24">
                  <c:v>113.14815193601835</c:v>
                </c:pt>
                <c:pt idx="25">
                  <c:v>115.991327292438</c:v>
                </c:pt>
                <c:pt idx="26">
                  <c:v>113.6280144817853</c:v>
                </c:pt>
                <c:pt idx="27">
                  <c:v>110.47761255088059</c:v>
                </c:pt>
                <c:pt idx="28">
                  <c:v>111.09574750966478</c:v>
                </c:pt>
                <c:pt idx="29">
                  <c:v>109.42747857391237</c:v>
                </c:pt>
                <c:pt idx="30">
                  <c:v>109.62425085397535</c:v>
                </c:pt>
                <c:pt idx="31">
                  <c:v>106.98521139724684</c:v>
                </c:pt>
                <c:pt idx="32">
                  <c:v>108.84820716316555</c:v>
                </c:pt>
                <c:pt idx="33">
                  <c:v>112.09229069933934</c:v>
                </c:pt>
                <c:pt idx="34">
                  <c:v>114.44496717052918</c:v>
                </c:pt>
                <c:pt idx="35">
                  <c:v>114.20728589253208</c:v>
                </c:pt>
                <c:pt idx="36">
                  <c:v>114.3983309128843</c:v>
                </c:pt>
                <c:pt idx="37">
                  <c:v>112.82619812227701</c:v>
                </c:pt>
                <c:pt idx="38">
                  <c:v>110.14952238744912</c:v>
                </c:pt>
                <c:pt idx="39">
                  <c:v>110.78443003538628</c:v>
                </c:pt>
                <c:pt idx="40">
                  <c:v>112.61878950275111</c:v>
                </c:pt>
                <c:pt idx="41">
                  <c:v>117.54832375380963</c:v>
                </c:pt>
                <c:pt idx="42">
                  <c:v>119.87972754607374</c:v>
                </c:pt>
                <c:pt idx="43">
                  <c:v>121.63022356767368</c:v>
                </c:pt>
                <c:pt idx="44">
                  <c:v>120.06054531694244</c:v>
                </c:pt>
                <c:pt idx="45">
                  <c:v>120.58663503037491</c:v>
                </c:pt>
                <c:pt idx="46">
                  <c:v>120.08304526580619</c:v>
                </c:pt>
                <c:pt idx="47">
                  <c:v>119.81263678946183</c:v>
                </c:pt>
                <c:pt idx="48">
                  <c:v>122.58913047924889</c:v>
                </c:pt>
                <c:pt idx="49">
                  <c:v>123.37867413937693</c:v>
                </c:pt>
                <c:pt idx="50">
                  <c:v>124.79167092802058</c:v>
                </c:pt>
                <c:pt idx="51">
                  <c:v>125.85121397451367</c:v>
                </c:pt>
                <c:pt idx="52">
                  <c:v>127.78580048681705</c:v>
                </c:pt>
                <c:pt idx="53">
                  <c:v>130.78115731555155</c:v>
                </c:pt>
                <c:pt idx="54">
                  <c:v>128.70788930025157</c:v>
                </c:pt>
                <c:pt idx="55">
                  <c:v>125.86266849393523</c:v>
                </c:pt>
                <c:pt idx="56">
                  <c:v>126.3118492912516</c:v>
                </c:pt>
                <c:pt idx="57">
                  <c:v>126.69025752214199</c:v>
                </c:pt>
                <c:pt idx="58">
                  <c:v>127.06457485323897</c:v>
                </c:pt>
                <c:pt idx="59">
                  <c:v>113.93483196629096</c:v>
                </c:pt>
                <c:pt idx="60">
                  <c:v>111.25242897175232</c:v>
                </c:pt>
                <c:pt idx="61">
                  <c:v>94.760784634580361</c:v>
                </c:pt>
                <c:pt idx="62">
                  <c:v>95.383828673116639</c:v>
                </c:pt>
                <c:pt idx="63">
                  <c:v>98.227004029536275</c:v>
                </c:pt>
                <c:pt idx="64">
                  <c:v>105.22735175601871</c:v>
                </c:pt>
                <c:pt idx="65">
                  <c:v>109.54856920779723</c:v>
                </c:pt>
                <c:pt idx="66">
                  <c:v>103.7030824929943</c:v>
                </c:pt>
                <c:pt idx="67">
                  <c:v>104.81007997709095</c:v>
                </c:pt>
                <c:pt idx="68">
                  <c:v>108.43175356419641</c:v>
                </c:pt>
                <c:pt idx="69">
                  <c:v>108.06316349281023</c:v>
                </c:pt>
                <c:pt idx="70">
                  <c:v>106.11425883122989</c:v>
                </c:pt>
                <c:pt idx="71">
                  <c:v>110.83802082267991</c:v>
                </c:pt>
                <c:pt idx="72">
                  <c:v>111.87915482010264</c:v>
                </c:pt>
                <c:pt idx="73">
                  <c:v>114.24819489046611</c:v>
                </c:pt>
                <c:pt idx="74">
                  <c:v>112.24610853157149</c:v>
                </c:pt>
                <c:pt idx="75">
                  <c:v>112.8544253308515</c:v>
                </c:pt>
                <c:pt idx="76">
                  <c:v>112.98001595450917</c:v>
                </c:pt>
                <c:pt idx="77">
                  <c:v>114.61310315203828</c:v>
                </c:pt>
                <c:pt idx="78">
                  <c:v>114.58364867352574</c:v>
                </c:pt>
                <c:pt idx="79">
                  <c:v>113.51387837754913</c:v>
                </c:pt>
                <c:pt idx="80">
                  <c:v>117.12737016506779</c:v>
                </c:pt>
                <c:pt idx="81">
                  <c:v>119.10941111497473</c:v>
                </c:pt>
                <c:pt idx="82">
                  <c:v>121.59586000940907</c:v>
                </c:pt>
                <c:pt idx="83">
                  <c:v>125.26294258422139</c:v>
                </c:pt>
                <c:pt idx="84">
                  <c:v>122.54740330135614</c:v>
                </c:pt>
                <c:pt idx="85">
                  <c:v>121.91576837325371</c:v>
                </c:pt>
                <c:pt idx="86">
                  <c:v>119.51768291435704</c:v>
                </c:pt>
                <c:pt idx="87">
                  <c:v>119.06604757716462</c:v>
                </c:pt>
                <c:pt idx="88">
                  <c:v>120.75477101188407</c:v>
                </c:pt>
                <c:pt idx="89">
                  <c:v>118.50641248542618</c:v>
                </c:pt>
                <c:pt idx="90">
                  <c:v>116.68964388717299</c:v>
                </c:pt>
                <c:pt idx="91">
                  <c:v>115.93978195504101</c:v>
                </c:pt>
                <c:pt idx="92">
                  <c:v>114.526376076418</c:v>
                </c:pt>
                <c:pt idx="93">
                  <c:v>115.22837448096708</c:v>
                </c:pt>
                <c:pt idx="94">
                  <c:v>110.06934075149829</c:v>
                </c:pt>
                <c:pt idx="95">
                  <c:v>118.45691259792589</c:v>
                </c:pt>
                <c:pt idx="96">
                  <c:v>111.99001820450407</c:v>
                </c:pt>
                <c:pt idx="97">
                  <c:v>113.98965002352267</c:v>
                </c:pt>
                <c:pt idx="98">
                  <c:v>117.0565975986418</c:v>
                </c:pt>
                <c:pt idx="99">
                  <c:v>118.45691259792589</c:v>
                </c:pt>
                <c:pt idx="100">
                  <c:v>122.22585857759411</c:v>
                </c:pt>
                <c:pt idx="101">
                  <c:v>122.67013029515839</c:v>
                </c:pt>
                <c:pt idx="102">
                  <c:v>123.34185604123624</c:v>
                </c:pt>
                <c:pt idx="103">
                  <c:v>123.78367321892446</c:v>
                </c:pt>
                <c:pt idx="104">
                  <c:v>123.75871873018467</c:v>
                </c:pt>
                <c:pt idx="105">
                  <c:v>125.98907729755155</c:v>
                </c:pt>
                <c:pt idx="106">
                  <c:v>124.86326167440524</c:v>
                </c:pt>
                <c:pt idx="107">
                  <c:v>126.0275317556096</c:v>
                </c:pt>
                <c:pt idx="108">
                  <c:v>124.62885311624287</c:v>
                </c:pt>
                <c:pt idx="109">
                  <c:v>124.814989056843</c:v>
                </c:pt>
                <c:pt idx="110">
                  <c:v>124.6521712450653</c:v>
                </c:pt>
                <c:pt idx="111">
                  <c:v>126.6477121642905</c:v>
                </c:pt>
                <c:pt idx="112">
                  <c:v>128.23007220438132</c:v>
                </c:pt>
                <c:pt idx="113">
                  <c:v>128.56388962752354</c:v>
                </c:pt>
                <c:pt idx="114">
                  <c:v>127.12798380003679</c:v>
                </c:pt>
                <c:pt idx="115">
                  <c:v>128.77293460696677</c:v>
                </c:pt>
                <c:pt idx="116">
                  <c:v>130.48374890057065</c:v>
                </c:pt>
                <c:pt idx="117">
                  <c:v>129.38166049622612</c:v>
                </c:pt>
                <c:pt idx="118">
                  <c:v>130.28370390067292</c:v>
                </c:pt>
                <c:pt idx="119">
                  <c:v>130.70752111927015</c:v>
                </c:pt>
                <c:pt idx="120">
                  <c:v>130.07465892122968</c:v>
                </c:pt>
                <c:pt idx="121">
                  <c:v>131.38579230501745</c:v>
                </c:pt>
                <c:pt idx="122">
                  <c:v>133.29419705864299</c:v>
                </c:pt>
                <c:pt idx="123">
                  <c:v>134.04160445089892</c:v>
                </c:pt>
                <c:pt idx="124">
                  <c:v>133.15183374583233</c:v>
                </c:pt>
                <c:pt idx="125">
                  <c:v>132.87692527971524</c:v>
                </c:pt>
                <c:pt idx="126">
                  <c:v>133.77037779459587</c:v>
                </c:pt>
                <c:pt idx="127">
                  <c:v>134.29074024831758</c:v>
                </c:pt>
                <c:pt idx="128">
                  <c:v>133.92583198674544</c:v>
                </c:pt>
                <c:pt idx="129">
                  <c:v>130.35161283724352</c:v>
                </c:pt>
                <c:pt idx="130">
                  <c:v>132.40033545378301</c:v>
                </c:pt>
                <c:pt idx="131">
                  <c:v>133.04015218147225</c:v>
                </c:pt>
                <c:pt idx="132">
                  <c:v>133.3203788173208</c:v>
                </c:pt>
                <c:pt idx="133">
                  <c:v>133.96346826484478</c:v>
                </c:pt>
                <c:pt idx="134">
                  <c:v>134.55051238519906</c:v>
                </c:pt>
                <c:pt idx="135">
                  <c:v>137.06600666816661</c:v>
                </c:pt>
                <c:pt idx="136">
                  <c:v>137.41946041031719</c:v>
                </c:pt>
                <c:pt idx="137">
                  <c:v>137.90545930577426</c:v>
                </c:pt>
                <c:pt idx="138">
                  <c:v>141.33322424267212</c:v>
                </c:pt>
                <c:pt idx="139">
                  <c:v>142.46476712552919</c:v>
                </c:pt>
                <c:pt idx="140">
                  <c:v>142.02172267790294</c:v>
                </c:pt>
                <c:pt idx="141">
                  <c:v>141.96485917077456</c:v>
                </c:pt>
                <c:pt idx="142">
                  <c:v>142.80717543823758</c:v>
                </c:pt>
                <c:pt idx="143">
                  <c:v>141.17490642066716</c:v>
                </c:pt>
                <c:pt idx="144">
                  <c:v>140.85908895661595</c:v>
                </c:pt>
                <c:pt idx="145">
                  <c:v>141.82331403792259</c:v>
                </c:pt>
                <c:pt idx="146">
                  <c:v>140.01799995909096</c:v>
                </c:pt>
                <c:pt idx="147">
                  <c:v>138.39186729121064</c:v>
                </c:pt>
                <c:pt idx="148">
                  <c:v>138.98750230113109</c:v>
                </c:pt>
                <c:pt idx="149">
                  <c:v>138.71259383501396</c:v>
                </c:pt>
                <c:pt idx="150">
                  <c:v>136.78414367240069</c:v>
                </c:pt>
                <c:pt idx="151">
                  <c:v>136.7182801857268</c:v>
                </c:pt>
                <c:pt idx="152">
                  <c:v>134.06205894986596</c:v>
                </c:pt>
                <c:pt idx="153">
                  <c:v>134.63723946081933</c:v>
                </c:pt>
                <c:pt idx="154">
                  <c:v>137.46446030804466</c:v>
                </c:pt>
                <c:pt idx="155">
                  <c:v>136.77759823273121</c:v>
                </c:pt>
                <c:pt idx="156">
                  <c:v>137.94514103377028</c:v>
                </c:pt>
                <c:pt idx="157">
                  <c:v>138.7931845609441</c:v>
                </c:pt>
                <c:pt idx="158">
                  <c:v>140.96831598109995</c:v>
                </c:pt>
                <c:pt idx="159">
                  <c:v>140.18940866043476</c:v>
                </c:pt>
                <c:pt idx="160">
                  <c:v>139.07668391662736</c:v>
                </c:pt>
                <c:pt idx="161">
                  <c:v>139.6764098263412</c:v>
                </c:pt>
                <c:pt idx="162">
                  <c:v>140.19840863998024</c:v>
                </c:pt>
                <c:pt idx="163">
                  <c:v>142.98758411912689</c:v>
                </c:pt>
                <c:pt idx="164">
                  <c:v>140.59604409989967</c:v>
                </c:pt>
                <c:pt idx="165">
                  <c:v>139.09754750557374</c:v>
                </c:pt>
                <c:pt idx="166">
                  <c:v>141.45022397676357</c:v>
                </c:pt>
                <c:pt idx="167">
                  <c:v>140.47863527582879</c:v>
                </c:pt>
                <c:pt idx="168">
                  <c:v>138.49659432592188</c:v>
                </c:pt>
                <c:pt idx="169">
                  <c:v>139.48986479576172</c:v>
                </c:pt>
                <c:pt idx="170">
                  <c:v>136.90768884616159</c:v>
                </c:pt>
                <c:pt idx="171">
                  <c:v>138.52441244451705</c:v>
                </c:pt>
                <c:pt idx="172">
                  <c:v>139.50377385505931</c:v>
                </c:pt>
                <c:pt idx="173">
                  <c:v>139.74677330278783</c:v>
                </c:pt>
                <c:pt idx="174">
                  <c:v>138.99077502096574</c:v>
                </c:pt>
                <c:pt idx="175">
                  <c:v>139.66863711673372</c:v>
                </c:pt>
                <c:pt idx="176">
                  <c:v>142.31094929329694</c:v>
                </c:pt>
                <c:pt idx="177">
                  <c:v>141.67031438564902</c:v>
                </c:pt>
                <c:pt idx="178">
                  <c:v>143.52962834175366</c:v>
                </c:pt>
                <c:pt idx="179">
                  <c:v>144.79739818773129</c:v>
                </c:pt>
                <c:pt idx="180">
                  <c:v>146.63789400478623</c:v>
                </c:pt>
                <c:pt idx="181">
                  <c:v>146.85634805375429</c:v>
                </c:pt>
                <c:pt idx="182">
                  <c:v>143.50508294299317</c:v>
                </c:pt>
                <c:pt idx="183">
                  <c:v>143.37990140931484</c:v>
                </c:pt>
                <c:pt idx="184">
                  <c:v>142.16940416044497</c:v>
                </c:pt>
                <c:pt idx="185">
                  <c:v>142.73435742191484</c:v>
                </c:pt>
                <c:pt idx="186">
                  <c:v>141.84008672707552</c:v>
                </c:pt>
                <c:pt idx="187">
                  <c:v>142.58135776964133</c:v>
                </c:pt>
                <c:pt idx="188">
                  <c:v>140.69831659473493</c:v>
                </c:pt>
                <c:pt idx="189">
                  <c:v>142.76544826034478</c:v>
                </c:pt>
                <c:pt idx="190">
                  <c:v>144.38135367874156</c:v>
                </c:pt>
                <c:pt idx="191">
                  <c:v>144.21362678721178</c:v>
                </c:pt>
                <c:pt idx="192">
                  <c:v>144.88821616314502</c:v>
                </c:pt>
                <c:pt idx="193">
                  <c:v>144.30812657243953</c:v>
                </c:pt>
                <c:pt idx="194">
                  <c:v>142.93153879195722</c:v>
                </c:pt>
                <c:pt idx="195">
                  <c:v>143.19540182863216</c:v>
                </c:pt>
                <c:pt idx="196">
                  <c:v>143.50181022315851</c:v>
                </c:pt>
                <c:pt idx="197">
                  <c:v>142.60999406819525</c:v>
                </c:pt>
                <c:pt idx="198">
                  <c:v>144.10808157254183</c:v>
                </c:pt>
                <c:pt idx="199">
                  <c:v>144.25739941500129</c:v>
                </c:pt>
                <c:pt idx="200">
                  <c:v>146.32698562048716</c:v>
                </c:pt>
                <c:pt idx="201">
                  <c:v>145.98416821779946</c:v>
                </c:pt>
                <c:pt idx="202">
                  <c:v>147.20857452596692</c:v>
                </c:pt>
                <c:pt idx="203">
                  <c:v>146.21203133629237</c:v>
                </c:pt>
                <c:pt idx="204">
                  <c:v>145.3255333510605</c:v>
                </c:pt>
                <c:pt idx="205">
                  <c:v>145.70639612182691</c:v>
                </c:pt>
                <c:pt idx="206">
                  <c:v>147.28671071202103</c:v>
                </c:pt>
                <c:pt idx="207">
                  <c:v>147.15662009859062</c:v>
                </c:pt>
                <c:pt idx="208">
                  <c:v>147.72157336006049</c:v>
                </c:pt>
                <c:pt idx="209">
                  <c:v>147.29693796150457</c:v>
                </c:pt>
                <c:pt idx="210">
                  <c:v>146.3773036879461</c:v>
                </c:pt>
                <c:pt idx="211">
                  <c:v>146.08807707255207</c:v>
                </c:pt>
                <c:pt idx="212">
                  <c:v>144.98148867843477</c:v>
                </c:pt>
                <c:pt idx="213">
                  <c:v>146.3400764998261</c:v>
                </c:pt>
                <c:pt idx="214">
                  <c:v>149.05438851275335</c:v>
                </c:pt>
                <c:pt idx="215">
                  <c:v>149.6561598723639</c:v>
                </c:pt>
                <c:pt idx="216">
                  <c:v>150.65515760191451</c:v>
                </c:pt>
                <c:pt idx="217">
                  <c:v>151.14974738693775</c:v>
                </c:pt>
                <c:pt idx="218">
                  <c:v>149.40170590521384</c:v>
                </c:pt>
                <c:pt idx="219">
                  <c:v>149.48720571089609</c:v>
                </c:pt>
                <c:pt idx="220">
                  <c:v>148.80157090552066</c:v>
                </c:pt>
                <c:pt idx="221">
                  <c:v>148.81057088506617</c:v>
                </c:pt>
                <c:pt idx="222">
                  <c:v>148.8927979709137</c:v>
                </c:pt>
                <c:pt idx="223">
                  <c:v>150.87074802102723</c:v>
                </c:pt>
                <c:pt idx="224">
                  <c:v>148.69438933093335</c:v>
                </c:pt>
                <c:pt idx="225">
                  <c:v>148.75166192804107</c:v>
                </c:pt>
                <c:pt idx="226">
                  <c:v>149.74656875779826</c:v>
                </c:pt>
                <c:pt idx="227">
                  <c:v>150.82165722350632</c:v>
                </c:pt>
                <c:pt idx="228">
                  <c:v>151.81533678332551</c:v>
                </c:pt>
                <c:pt idx="229">
                  <c:v>152.94565239624455</c:v>
                </c:pt>
                <c:pt idx="230">
                  <c:v>152.61306224304036</c:v>
                </c:pt>
                <c:pt idx="231">
                  <c:v>154.00560453271697</c:v>
                </c:pt>
                <c:pt idx="232">
                  <c:v>156.17746323303811</c:v>
                </c:pt>
                <c:pt idx="233">
                  <c:v>155.67714618830414</c:v>
                </c:pt>
                <c:pt idx="234">
                  <c:v>155.75814600421364</c:v>
                </c:pt>
                <c:pt idx="235">
                  <c:v>156.36278099367959</c:v>
                </c:pt>
                <c:pt idx="236">
                  <c:v>155.75814600421367</c:v>
                </c:pt>
                <c:pt idx="237">
                  <c:v>157.22473358015102</c:v>
                </c:pt>
                <c:pt idx="238">
                  <c:v>156.58778048231716</c:v>
                </c:pt>
                <c:pt idx="239">
                  <c:v>157.15314283376637</c:v>
                </c:pt>
                <c:pt idx="240">
                  <c:v>157.91609564523725</c:v>
                </c:pt>
                <c:pt idx="241">
                  <c:v>156.37055370328713</c:v>
                </c:pt>
                <c:pt idx="242">
                  <c:v>156.66796211826801</c:v>
                </c:pt>
                <c:pt idx="243">
                  <c:v>156.23432674016658</c:v>
                </c:pt>
                <c:pt idx="244">
                  <c:v>155.57487369346896</c:v>
                </c:pt>
                <c:pt idx="245">
                  <c:v>156.00441817177696</c:v>
                </c:pt>
                <c:pt idx="246">
                  <c:v>156.34109922477458</c:v>
                </c:pt>
                <c:pt idx="247">
                  <c:v>156.97396142281505</c:v>
                </c:pt>
                <c:pt idx="248">
                  <c:v>156.41309906113861</c:v>
                </c:pt>
                <c:pt idx="249">
                  <c:v>156.75673464378499</c:v>
                </c:pt>
                <c:pt idx="250">
                  <c:v>156.50023522673823</c:v>
                </c:pt>
                <c:pt idx="251">
                  <c:v>155.07987481846641</c:v>
                </c:pt>
                <c:pt idx="252">
                  <c:v>157.1662337131053</c:v>
                </c:pt>
                <c:pt idx="253">
                  <c:v>157.84000490907985</c:v>
                </c:pt>
                <c:pt idx="254">
                  <c:v>158.13045879441194</c:v>
                </c:pt>
                <c:pt idx="255">
                  <c:v>158.90282067540767</c:v>
                </c:pt>
                <c:pt idx="256">
                  <c:v>159.34463785309589</c:v>
                </c:pt>
                <c:pt idx="257">
                  <c:v>157.95291374337793</c:v>
                </c:pt>
                <c:pt idx="258">
                  <c:v>157.71686882529818</c:v>
                </c:pt>
                <c:pt idx="259">
                  <c:v>158.54732148336032</c:v>
                </c:pt>
                <c:pt idx="260">
                  <c:v>158.60541226042673</c:v>
                </c:pt>
              </c:numCache>
            </c:numRef>
          </c:val>
          <c:smooth val="0"/>
          <c:extLst>
            <c:ext xmlns:c16="http://schemas.microsoft.com/office/drawing/2014/chart" uri="{C3380CC4-5D6E-409C-BE32-E72D297353CC}">
              <c16:uniqueId val="{00000002-E32C-4824-85F6-4515D8B4CE1E}"/>
            </c:ext>
          </c:extLst>
        </c:ser>
        <c:dLbls>
          <c:showLegendKey val="0"/>
          <c:showVal val="0"/>
          <c:showCatName val="0"/>
          <c:showSerName val="0"/>
          <c:showPercent val="0"/>
          <c:showBubbleSize val="0"/>
        </c:dLbls>
        <c:smooth val="0"/>
        <c:axId val="131066496"/>
        <c:axId val="131068288"/>
      </c:lineChart>
      <c:dateAx>
        <c:axId val="131066496"/>
        <c:scaling>
          <c:orientation val="minMax"/>
        </c:scaling>
        <c:delete val="0"/>
        <c:axPos val="b"/>
        <c:numFmt formatCode="d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31068288"/>
        <c:crosses val="autoZero"/>
        <c:auto val="1"/>
        <c:lblOffset val="100"/>
        <c:baseTimeUnit val="days"/>
      </c:dateAx>
      <c:valAx>
        <c:axId val="131068288"/>
        <c:scaling>
          <c:orientation val="minMax"/>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r>
                  <a:rPr lang="hy-AM" sz="500" b="0" i="0" u="none" strike="noStrike" baseline="0">
                    <a:effectLst/>
                  </a:rPr>
                  <a:t>Ինդեքս՝ 201</a:t>
                </a:r>
                <a:r>
                  <a:rPr lang="en-GB" sz="500" b="0" i="0" u="none" strike="noStrike" baseline="0">
                    <a:effectLst/>
                  </a:rPr>
                  <a:t>9 </a:t>
                </a:r>
                <a:r>
                  <a:rPr lang="hy-AM" sz="500" b="0" i="0" u="none" strike="noStrike" baseline="0">
                    <a:effectLst/>
                  </a:rPr>
                  <a:t>թ. հունվար</a:t>
                </a:r>
                <a:r>
                  <a:rPr lang="en-GB" sz="500" b="0" i="0" u="none" strike="noStrike" baseline="0">
                    <a:effectLst/>
                  </a:rPr>
                  <a:t>  </a:t>
                </a:r>
                <a:r>
                  <a:rPr lang="hy-AM" sz="500" b="0" i="0" u="none" strike="noStrike" baseline="0">
                    <a:effectLst/>
                  </a:rPr>
                  <a:t> =100</a:t>
                </a:r>
                <a:endParaRPr lang="en-US" sz="500"/>
              </a:p>
            </c:rich>
          </c:tx>
          <c:layout>
            <c:manualLayout>
              <c:xMode val="edge"/>
              <c:yMode val="edge"/>
              <c:x val="1.0471204188481676E-2"/>
              <c:y val="5.6737588652482303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066496"/>
        <c:crosses val="autoZero"/>
        <c:crossBetween val="between"/>
      </c:valAx>
      <c:spPr>
        <a:noFill/>
        <a:ln>
          <a:noFill/>
        </a:ln>
        <a:effectLst/>
      </c:spPr>
    </c:plotArea>
    <c:legend>
      <c:legendPos val="b"/>
      <c:layout>
        <c:manualLayout>
          <c:xMode val="edge"/>
          <c:yMode val="edge"/>
          <c:x val="1.5918499878236868E-2"/>
          <c:y val="0.8768571444381118"/>
          <c:w val="0.93723489460724629"/>
          <c:h val="0.1066821232728902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98E-2"/>
          <c:w val="0.84290099330804125"/>
          <c:h val="1.903084186548753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EBD7-45E6-BF65-A4FE79B6EF93}"/>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EBD7-45E6-BF65-A4FE79B6EF93}"/>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EBD7-45E6-BF65-A4FE79B6EF93}"/>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EBD7-45E6-BF65-A4FE79B6EF93}"/>
            </c:ext>
          </c:extLst>
        </c:ser>
        <c:dLbls>
          <c:showLegendKey val="0"/>
          <c:showVal val="0"/>
          <c:showCatName val="0"/>
          <c:showSerName val="0"/>
          <c:showPercent val="0"/>
          <c:showBubbleSize val="0"/>
        </c:dLbls>
        <c:gapWidth val="100"/>
        <c:overlap val="100"/>
        <c:axId val="150518016"/>
        <c:axId val="150208512"/>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EBD7-45E6-BF65-A4FE79B6EF93}"/>
            </c:ext>
          </c:extLst>
        </c:ser>
        <c:dLbls>
          <c:showLegendKey val="0"/>
          <c:showVal val="0"/>
          <c:showCatName val="0"/>
          <c:showSerName val="0"/>
          <c:showPercent val="0"/>
          <c:showBubbleSize val="0"/>
        </c:dLbls>
        <c:marker val="1"/>
        <c:smooth val="0"/>
        <c:axId val="150518016"/>
        <c:axId val="150208512"/>
      </c:lineChart>
      <c:catAx>
        <c:axId val="150518016"/>
        <c:scaling>
          <c:orientation val="minMax"/>
        </c:scaling>
        <c:delete val="1"/>
        <c:axPos val="b"/>
        <c:numFmt formatCode="General" sourceLinked="1"/>
        <c:majorTickMark val="out"/>
        <c:minorTickMark val="none"/>
        <c:tickLblPos val="none"/>
        <c:crossAx val="150208512"/>
        <c:crosses val="autoZero"/>
        <c:auto val="1"/>
        <c:lblAlgn val="ctr"/>
        <c:lblOffset val="100"/>
        <c:noMultiLvlLbl val="0"/>
      </c:catAx>
      <c:valAx>
        <c:axId val="150208512"/>
        <c:scaling>
          <c:orientation val="minMax"/>
        </c:scaling>
        <c:delete val="1"/>
        <c:axPos val="l"/>
        <c:numFmt formatCode="General" sourceLinked="1"/>
        <c:majorTickMark val="none"/>
        <c:minorTickMark val="none"/>
        <c:tickLblPos val="none"/>
        <c:crossAx val="150518016"/>
        <c:crosses val="autoZero"/>
        <c:crossBetween val="between"/>
      </c:valAx>
      <c:spPr>
        <a:noFill/>
        <a:ln>
          <a:noFill/>
        </a:ln>
        <a:effectLst/>
      </c:spPr>
    </c:plotArea>
    <c:legend>
      <c:legendPos val="b"/>
      <c:layout>
        <c:manualLayout>
          <c:xMode val="edge"/>
          <c:yMode val="edge"/>
          <c:x val="2.4091860941327401E-2"/>
          <c:y val="0.10991302557768533"/>
          <c:w val="0.95949541633383073"/>
          <c:h val="0.8769288604549443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hy-AM" sz="1100"/>
              <a:t>Գնաճի կանխատեսումները և նպատակային միջակայքը</a:t>
            </a:r>
            <a:r>
              <a:rPr lang="en-US" sz="1100"/>
              <a:t>, %</a:t>
            </a:r>
          </a:p>
        </c:rich>
      </c:tx>
      <c:layout>
        <c:manualLayout>
          <c:xMode val="edge"/>
          <c:yMode val="edge"/>
          <c:x val="0.21738990489660431"/>
          <c:y val="1.2091606196284284E-2"/>
        </c:manualLayout>
      </c:layout>
      <c:overlay val="0"/>
      <c:spPr>
        <a:noFill/>
        <a:ln>
          <a:noFill/>
        </a:ln>
        <a:effectLst/>
      </c:spPr>
    </c:title>
    <c:autoTitleDeleted val="0"/>
    <c:plotArea>
      <c:layout>
        <c:manualLayout>
          <c:layoutTarget val="inner"/>
          <c:xMode val="edge"/>
          <c:yMode val="edge"/>
          <c:x val="4.286978223573857E-2"/>
          <c:y val="0.15820767267105321"/>
          <c:w val="0.9349795935193983"/>
          <c:h val="0.6595433789954338"/>
        </c:manualLayout>
      </c:layout>
      <c:lineChart>
        <c:grouping val="standard"/>
        <c:varyColors val="0"/>
        <c:ser>
          <c:idx val="0"/>
          <c:order val="0"/>
          <c:tx>
            <c:strRef>
              <c:f>Sheet1!$B$1</c:f>
              <c:strCache>
                <c:ptCount val="1"/>
                <c:pt idx="0">
                  <c:v>12 ամսյա գնաճ</c:v>
                </c:pt>
              </c:strCache>
            </c:strRef>
          </c:tx>
          <c:spPr>
            <a:ln w="31750" cap="rnd">
              <a:solidFill>
                <a:schemeClr val="accent1"/>
              </a:solidFill>
              <a:round/>
            </a:ln>
            <a:effectLst/>
          </c:spPr>
          <c:marker>
            <c:symbol val="circle"/>
            <c:size val="7"/>
            <c:spPr>
              <a:solidFill>
                <a:schemeClr val="accent1"/>
              </a:solidFill>
              <a:ln w="15875">
                <a:solidFill>
                  <a:schemeClr val="accent1"/>
                </a:solidFill>
                <a:round/>
              </a:ln>
              <a:effectLst/>
            </c:spPr>
          </c:marker>
          <c:dLbls>
            <c:dLbl>
              <c:idx val="1"/>
              <c:layout>
                <c:manualLayout>
                  <c:x val="-3.435360451067259E-2"/>
                  <c:y val="5.90326797385622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43B-49E0-8522-AA43B2A2F5A8}"/>
                </c:ext>
              </c:extLst>
            </c:dLbl>
            <c:dLbl>
              <c:idx val="2"/>
              <c:layout>
                <c:manualLayout>
                  <c:x val="-3.3729359645589999E-2"/>
                  <c:y val="4.334640522875807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43B-49E0-8522-AA43B2A2F5A8}"/>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Sheet1!$B$2:$B$9</c:f>
              <c:numCache>
                <c:formatCode>0.0</c:formatCode>
                <c:ptCount val="8"/>
                <c:pt idx="0">
                  <c:v>2.6391820853362873</c:v>
                </c:pt>
                <c:pt idx="1">
                  <c:v>1.7710353790077846</c:v>
                </c:pt>
                <c:pt idx="2">
                  <c:v>0.74073867036182151</c:v>
                </c:pt>
                <c:pt idx="3">
                  <c:v>3.7</c:v>
                </c:pt>
                <c:pt idx="4">
                  <c:v>5.2</c:v>
                </c:pt>
                <c:pt idx="5">
                  <c:v>4</c:v>
                </c:pt>
                <c:pt idx="6">
                  <c:v>4</c:v>
                </c:pt>
                <c:pt idx="7">
                  <c:v>4</c:v>
                </c:pt>
              </c:numCache>
            </c:numRef>
          </c:val>
          <c:smooth val="0"/>
          <c:extLst>
            <c:ext xmlns:c16="http://schemas.microsoft.com/office/drawing/2014/chart" uri="{C3380CC4-5D6E-409C-BE32-E72D297353CC}">
              <c16:uniqueId val="{00000002-E43B-49E0-8522-AA43B2A2F5A8}"/>
            </c:ext>
          </c:extLst>
        </c:ser>
        <c:ser>
          <c:idx val="1"/>
          <c:order val="1"/>
          <c:tx>
            <c:strRef>
              <c:f>Sheet1!$C$1</c:f>
              <c:strCache>
                <c:ptCount val="1"/>
                <c:pt idx="0">
                  <c:v>Միջին գնաճ</c:v>
                </c:pt>
              </c:strCache>
            </c:strRef>
          </c:tx>
          <c:spPr>
            <a:ln w="28575" cap="rnd">
              <a:solidFill>
                <a:srgbClr val="FF0000"/>
              </a:solidFill>
              <a:round/>
            </a:ln>
            <a:effectLst/>
          </c:spPr>
          <c:marker>
            <c:symbol val="square"/>
            <c:size val="7"/>
            <c:spPr>
              <a:solidFill>
                <a:srgbClr val="FF0000"/>
              </a:solidFill>
              <a:ln w="15875">
                <a:solidFill>
                  <a:srgbClr val="FF0000"/>
                </a:solidFill>
                <a:round/>
              </a:ln>
              <a:effectLst/>
            </c:spPr>
          </c:marker>
          <c:dLbls>
            <c:dLbl>
              <c:idx val="1"/>
              <c:layout>
                <c:manualLayout>
                  <c:x val="-3.3296494905514985E-2"/>
                  <c:y val="-5.90326797385622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43B-49E0-8522-AA43B2A2F5A8}"/>
                </c:ext>
              </c:extLst>
            </c:dLbl>
            <c:dLbl>
              <c:idx val="2"/>
              <c:layout>
                <c:manualLayout>
                  <c:x val="-3.1735803463552245E-2"/>
                  <c:y val="-6.42614379084969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43B-49E0-8522-AA43B2A2F5A8}"/>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Sheet1!$C$2:$C$9</c:f>
              <c:numCache>
                <c:formatCode>0.0</c:formatCode>
                <c:ptCount val="8"/>
                <c:pt idx="0">
                  <c:v>0.96505083976387596</c:v>
                </c:pt>
                <c:pt idx="1">
                  <c:v>2.5490680730946309</c:v>
                </c:pt>
                <c:pt idx="2">
                  <c:v>1.4309835696169273</c:v>
                </c:pt>
                <c:pt idx="3">
                  <c:v>1.2</c:v>
                </c:pt>
                <c:pt idx="4">
                  <c:v>5.3</c:v>
                </c:pt>
                <c:pt idx="5">
                  <c:v>4.0999999999999996</c:v>
                </c:pt>
                <c:pt idx="6">
                  <c:v>4</c:v>
                </c:pt>
                <c:pt idx="7">
                  <c:v>4</c:v>
                </c:pt>
              </c:numCache>
            </c:numRef>
          </c:val>
          <c:smooth val="0"/>
          <c:extLst>
            <c:ext xmlns:c16="http://schemas.microsoft.com/office/drawing/2014/chart" uri="{C3380CC4-5D6E-409C-BE32-E72D297353CC}">
              <c16:uniqueId val="{00000005-E43B-49E0-8522-AA43B2A2F5A8}"/>
            </c:ext>
          </c:extLst>
        </c:ser>
        <c:ser>
          <c:idx val="2"/>
          <c:order val="2"/>
          <c:tx>
            <c:strRef>
              <c:f>Sheet1!$D$1</c:f>
              <c:strCache>
                <c:ptCount val="1"/>
                <c:pt idx="0">
                  <c:v>Column2</c:v>
                </c:pt>
              </c:strCache>
            </c:strRef>
          </c:tx>
          <c:spPr>
            <a:ln w="19050" cap="rnd">
              <a:solidFill>
                <a:srgbClr val="C00000"/>
              </a:solidFill>
              <a:prstDash val="dash"/>
              <a:round/>
            </a:ln>
            <a:effectLst/>
          </c:spPr>
          <c:marker>
            <c:symbol val="none"/>
          </c:marker>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Sheet1!$D$2:$D$9</c:f>
              <c:numCache>
                <c:formatCode>General</c:formatCode>
                <c:ptCount val="8"/>
                <c:pt idx="0">
                  <c:v>4</c:v>
                </c:pt>
                <c:pt idx="1">
                  <c:v>4</c:v>
                </c:pt>
                <c:pt idx="2">
                  <c:v>4</c:v>
                </c:pt>
                <c:pt idx="3">
                  <c:v>4</c:v>
                </c:pt>
                <c:pt idx="4">
                  <c:v>4</c:v>
                </c:pt>
                <c:pt idx="5">
                  <c:v>4</c:v>
                </c:pt>
                <c:pt idx="6">
                  <c:v>4</c:v>
                </c:pt>
                <c:pt idx="7">
                  <c:v>4</c:v>
                </c:pt>
              </c:numCache>
            </c:numRef>
          </c:val>
          <c:smooth val="0"/>
          <c:extLst>
            <c:ext xmlns:c16="http://schemas.microsoft.com/office/drawing/2014/chart" uri="{C3380CC4-5D6E-409C-BE32-E72D297353CC}">
              <c16:uniqueId val="{00000006-E43B-49E0-8522-AA43B2A2F5A8}"/>
            </c:ext>
          </c:extLst>
        </c:ser>
        <c:ser>
          <c:idx val="3"/>
          <c:order val="3"/>
          <c:tx>
            <c:strRef>
              <c:f>Sheet1!$E$1</c:f>
              <c:strCache>
                <c:ptCount val="1"/>
                <c:pt idx="0">
                  <c:v>Column3</c:v>
                </c:pt>
              </c:strCache>
            </c:strRef>
          </c:tx>
          <c:spPr>
            <a:ln w="12700" cap="rnd">
              <a:solidFill>
                <a:schemeClr val="accent2"/>
              </a:solidFill>
              <a:prstDash val="sysDash"/>
              <a:round/>
            </a:ln>
            <a:effectLst/>
          </c:spPr>
          <c:marker>
            <c:symbol val="none"/>
          </c:marker>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Sheet1!$E$2:$E$9</c:f>
              <c:numCache>
                <c:formatCode>General</c:formatCode>
                <c:ptCount val="8"/>
                <c:pt idx="0">
                  <c:v>5.5</c:v>
                </c:pt>
                <c:pt idx="1">
                  <c:v>5.5</c:v>
                </c:pt>
                <c:pt idx="2">
                  <c:v>5.5</c:v>
                </c:pt>
                <c:pt idx="3">
                  <c:v>5.5</c:v>
                </c:pt>
                <c:pt idx="4">
                  <c:v>5.5</c:v>
                </c:pt>
                <c:pt idx="5">
                  <c:v>5.5</c:v>
                </c:pt>
                <c:pt idx="6">
                  <c:v>5.5</c:v>
                </c:pt>
                <c:pt idx="7">
                  <c:v>5.5</c:v>
                </c:pt>
              </c:numCache>
            </c:numRef>
          </c:val>
          <c:smooth val="0"/>
          <c:extLst>
            <c:ext xmlns:c16="http://schemas.microsoft.com/office/drawing/2014/chart" uri="{C3380CC4-5D6E-409C-BE32-E72D297353CC}">
              <c16:uniqueId val="{00000007-E43B-49E0-8522-AA43B2A2F5A8}"/>
            </c:ext>
          </c:extLst>
        </c:ser>
        <c:ser>
          <c:idx val="4"/>
          <c:order val="4"/>
          <c:tx>
            <c:strRef>
              <c:f>Sheet1!$F$1</c:f>
              <c:strCache>
                <c:ptCount val="1"/>
                <c:pt idx="0">
                  <c:v>Column4</c:v>
                </c:pt>
              </c:strCache>
            </c:strRef>
          </c:tx>
          <c:spPr>
            <a:ln w="15875" cap="rnd">
              <a:solidFill>
                <a:schemeClr val="accent2"/>
              </a:solidFill>
              <a:prstDash val="sysDash"/>
              <a:round/>
            </a:ln>
            <a:effectLst/>
          </c:spPr>
          <c:marker>
            <c:symbol val="none"/>
          </c:marker>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Sheet1!$F$2:$F$9</c:f>
              <c:numCache>
                <c:formatCode>General</c:formatCode>
                <c:ptCount val="8"/>
                <c:pt idx="0">
                  <c:v>2.5</c:v>
                </c:pt>
                <c:pt idx="1">
                  <c:v>2.5</c:v>
                </c:pt>
                <c:pt idx="2">
                  <c:v>2.5</c:v>
                </c:pt>
                <c:pt idx="3">
                  <c:v>2.5</c:v>
                </c:pt>
                <c:pt idx="4">
                  <c:v>2.5</c:v>
                </c:pt>
                <c:pt idx="5">
                  <c:v>2.5</c:v>
                </c:pt>
                <c:pt idx="6">
                  <c:v>2.5</c:v>
                </c:pt>
                <c:pt idx="7">
                  <c:v>2.5</c:v>
                </c:pt>
              </c:numCache>
            </c:numRef>
          </c:val>
          <c:smooth val="0"/>
          <c:extLst>
            <c:ext xmlns:c16="http://schemas.microsoft.com/office/drawing/2014/chart" uri="{C3380CC4-5D6E-409C-BE32-E72D297353CC}">
              <c16:uniqueId val="{00000008-E43B-49E0-8522-AA43B2A2F5A8}"/>
            </c:ext>
          </c:extLst>
        </c:ser>
        <c:dLbls>
          <c:showLegendKey val="0"/>
          <c:showVal val="0"/>
          <c:showCatName val="0"/>
          <c:showSerName val="0"/>
          <c:showPercent val="0"/>
          <c:showBubbleSize val="0"/>
        </c:dLbls>
        <c:marker val="1"/>
        <c:smooth val="0"/>
        <c:axId val="150352256"/>
        <c:axId val="150353792"/>
      </c:lineChart>
      <c:catAx>
        <c:axId val="15035225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150353792"/>
        <c:crosses val="autoZero"/>
        <c:auto val="1"/>
        <c:lblAlgn val="ctr"/>
        <c:lblOffset val="100"/>
        <c:noMultiLvlLbl val="0"/>
      </c:catAx>
      <c:valAx>
        <c:axId val="15035379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50352256"/>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2"/>
        <c:delete val="1"/>
      </c:legendEntry>
      <c:legendEntry>
        <c:idx val="3"/>
        <c:delete val="1"/>
      </c:legendEntry>
      <c:legendEntry>
        <c:idx val="4"/>
        <c:delete val="1"/>
      </c:legendEntry>
      <c:layout>
        <c:manualLayout>
          <c:xMode val="edge"/>
          <c:yMode val="edge"/>
          <c:x val="0.3021062912846742"/>
          <c:y val="0.9088850537518427"/>
          <c:w val="0.39578741743065543"/>
          <c:h val="8.198252615683322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none" spc="0" normalizeH="0" baseline="0">
                <a:solidFill>
                  <a:schemeClr val="tx1"/>
                </a:solidFill>
                <a:latin typeface="GHEA Grapalat" panose="02000506050000020003" pitchFamily="50" charset="0"/>
                <a:ea typeface="+mj-ea"/>
                <a:cs typeface="+mj-cs"/>
              </a:defRPr>
            </a:pPr>
            <a:r>
              <a:rPr lang="hy-AM" sz="900" i="1"/>
              <a:t>Կարճաժամկետ տոկոսադրույքներ, </a:t>
            </a:r>
            <a:r>
              <a:rPr lang="en-US" sz="900" i="1"/>
              <a:t>%</a:t>
            </a:r>
          </a:p>
        </c:rich>
      </c:tx>
      <c:layout/>
      <c:overlay val="0"/>
      <c:spPr>
        <a:noFill/>
        <a:ln>
          <a:noFill/>
        </a:ln>
        <a:effectLst/>
      </c:spPr>
    </c:title>
    <c:autoTitleDeleted val="0"/>
    <c:plotArea>
      <c:layout>
        <c:manualLayout>
          <c:layoutTarget val="inner"/>
          <c:xMode val="edge"/>
          <c:yMode val="edge"/>
          <c:x val="0.11873660719946239"/>
          <c:y val="0.19546619172603474"/>
          <c:w val="0.83697997895190634"/>
          <c:h val="0.34204632060829027"/>
        </c:manualLayout>
      </c:layout>
      <c:lineChart>
        <c:grouping val="standard"/>
        <c:varyColors val="0"/>
        <c:ser>
          <c:idx val="0"/>
          <c:order val="0"/>
          <c:tx>
            <c:strRef>
              <c:f>Sheet1!$B$1</c:f>
              <c:strCache>
                <c:ptCount val="1"/>
                <c:pt idx="0">
                  <c:v>ԿԲ վերաֆինանսավորման տոկոսադրույք</c:v>
                </c:pt>
              </c:strCache>
            </c:strRef>
          </c:tx>
          <c:spPr>
            <a:ln w="22225" cap="rnd">
              <a:solidFill>
                <a:schemeClr val="accent1"/>
              </a:solidFill>
              <a:round/>
            </a:ln>
            <a:effectLst/>
          </c:spPr>
          <c:marker>
            <c:symbol val="none"/>
          </c:marker>
          <c:cat>
            <c:strRef>
              <c:f>Sheet1!$A$2:$A$54</c:f>
              <c:strCache>
                <c:ptCount val="53"/>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strCache>
            </c:strRef>
          </c:cat>
          <c:val>
            <c:numRef>
              <c:f>Sheet1!$B$2:$B$54</c:f>
              <c:numCache>
                <c:formatCode>0.0</c:formatCode>
                <c:ptCount val="53"/>
                <c:pt idx="0">
                  <c:v>6.25</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5.75</c:v>
                </c:pt>
                <c:pt idx="25">
                  <c:v>5.75</c:v>
                </c:pt>
                <c:pt idx="26">
                  <c:v>5.75</c:v>
                </c:pt>
                <c:pt idx="27">
                  <c:v>5.75</c:v>
                </c:pt>
                <c:pt idx="28">
                  <c:v>5.75</c:v>
                </c:pt>
                <c:pt idx="29">
                  <c:v>5.75</c:v>
                </c:pt>
                <c:pt idx="30">
                  <c:v>5.75</c:v>
                </c:pt>
                <c:pt idx="31">
                  <c:v>5.75</c:v>
                </c:pt>
                <c:pt idx="32">
                  <c:v>5.5</c:v>
                </c:pt>
                <c:pt idx="33">
                  <c:v>5.5</c:v>
                </c:pt>
                <c:pt idx="34">
                  <c:v>5.5</c:v>
                </c:pt>
                <c:pt idx="35">
                  <c:v>5.5</c:v>
                </c:pt>
                <c:pt idx="36">
                  <c:v>5.5</c:v>
                </c:pt>
                <c:pt idx="37">
                  <c:v>5.5</c:v>
                </c:pt>
                <c:pt idx="38">
                  <c:v>5.25</c:v>
                </c:pt>
                <c:pt idx="39">
                  <c:v>5</c:v>
                </c:pt>
                <c:pt idx="40">
                  <c:v>5</c:v>
                </c:pt>
                <c:pt idx="41">
                  <c:v>4.5</c:v>
                </c:pt>
                <c:pt idx="42">
                  <c:v>4.5</c:v>
                </c:pt>
                <c:pt idx="43">
                  <c:v>4.5</c:v>
                </c:pt>
                <c:pt idx="44">
                  <c:v>4.25</c:v>
                </c:pt>
                <c:pt idx="45">
                  <c:v>4.25</c:v>
                </c:pt>
                <c:pt idx="46">
                  <c:v>4.25</c:v>
                </c:pt>
                <c:pt idx="47">
                  <c:v>5.25</c:v>
                </c:pt>
                <c:pt idx="48">
                  <c:v>5.25</c:v>
                </c:pt>
                <c:pt idx="49">
                  <c:v>5.5</c:v>
                </c:pt>
                <c:pt idx="50">
                  <c:v>5.5</c:v>
                </c:pt>
                <c:pt idx="51">
                  <c:v>5.5</c:v>
                </c:pt>
                <c:pt idx="52">
                  <c:v>6</c:v>
                </c:pt>
              </c:numCache>
            </c:numRef>
          </c:val>
          <c:smooth val="0"/>
          <c:extLst>
            <c:ext xmlns:c16="http://schemas.microsoft.com/office/drawing/2014/chart" uri="{C3380CC4-5D6E-409C-BE32-E72D297353CC}">
              <c16:uniqueId val="{00000000-AB82-4F17-BD68-D6F092FF4BF0}"/>
            </c:ext>
          </c:extLst>
        </c:ser>
        <c:ser>
          <c:idx val="1"/>
          <c:order val="1"/>
          <c:tx>
            <c:strRef>
              <c:f>Sheet1!$C$1</c:f>
              <c:strCache>
                <c:ptCount val="1"/>
                <c:pt idx="0">
                  <c:v>Միջբանկային ռեպո տոկոսադրույք </c:v>
                </c:pt>
              </c:strCache>
            </c:strRef>
          </c:tx>
          <c:spPr>
            <a:ln w="22225" cap="rnd">
              <a:solidFill>
                <a:schemeClr val="accent2"/>
              </a:solidFill>
              <a:round/>
            </a:ln>
            <a:effectLst/>
          </c:spPr>
          <c:marker>
            <c:symbol val="none"/>
          </c:marker>
          <c:cat>
            <c:strRef>
              <c:f>Sheet1!$A$2:$A$54</c:f>
              <c:strCache>
                <c:ptCount val="53"/>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strCache>
            </c:strRef>
          </c:cat>
          <c:val>
            <c:numRef>
              <c:f>Sheet1!$C$2:$C$54</c:f>
              <c:numCache>
                <c:formatCode>0.0</c:formatCode>
                <c:ptCount val="53"/>
                <c:pt idx="0">
                  <c:v>6.02</c:v>
                </c:pt>
                <c:pt idx="1">
                  <c:v>6.12</c:v>
                </c:pt>
                <c:pt idx="2">
                  <c:v>6.03</c:v>
                </c:pt>
                <c:pt idx="3">
                  <c:v>6.04</c:v>
                </c:pt>
                <c:pt idx="4">
                  <c:v>5.89</c:v>
                </c:pt>
                <c:pt idx="5">
                  <c:v>5.64</c:v>
                </c:pt>
                <c:pt idx="6">
                  <c:v>5.6</c:v>
                </c:pt>
                <c:pt idx="7">
                  <c:v>5.24</c:v>
                </c:pt>
                <c:pt idx="8">
                  <c:v>5.19</c:v>
                </c:pt>
                <c:pt idx="9">
                  <c:v>5.7</c:v>
                </c:pt>
                <c:pt idx="10">
                  <c:v>5.86</c:v>
                </c:pt>
                <c:pt idx="11">
                  <c:v>6.12</c:v>
                </c:pt>
                <c:pt idx="12">
                  <c:v>6.03</c:v>
                </c:pt>
                <c:pt idx="13">
                  <c:v>5.85</c:v>
                </c:pt>
                <c:pt idx="14">
                  <c:v>5.99</c:v>
                </c:pt>
                <c:pt idx="15">
                  <c:v>5.93</c:v>
                </c:pt>
                <c:pt idx="16">
                  <c:v>6.23</c:v>
                </c:pt>
                <c:pt idx="17">
                  <c:v>6.45</c:v>
                </c:pt>
                <c:pt idx="18">
                  <c:v>6.22</c:v>
                </c:pt>
                <c:pt idx="19">
                  <c:v>6.17</c:v>
                </c:pt>
                <c:pt idx="20">
                  <c:v>6.14</c:v>
                </c:pt>
                <c:pt idx="21">
                  <c:v>6.1</c:v>
                </c:pt>
                <c:pt idx="22">
                  <c:v>6.16</c:v>
                </c:pt>
                <c:pt idx="23">
                  <c:v>6.22</c:v>
                </c:pt>
                <c:pt idx="24">
                  <c:v>6.15</c:v>
                </c:pt>
                <c:pt idx="25">
                  <c:v>5.8</c:v>
                </c:pt>
                <c:pt idx="26">
                  <c:v>5.84</c:v>
                </c:pt>
                <c:pt idx="27">
                  <c:v>5.95</c:v>
                </c:pt>
                <c:pt idx="28">
                  <c:v>5.83</c:v>
                </c:pt>
                <c:pt idx="29">
                  <c:v>5.84</c:v>
                </c:pt>
                <c:pt idx="30">
                  <c:v>5.81</c:v>
                </c:pt>
                <c:pt idx="31">
                  <c:v>5.83</c:v>
                </c:pt>
                <c:pt idx="32">
                  <c:v>5.68</c:v>
                </c:pt>
                <c:pt idx="33">
                  <c:v>5.59</c:v>
                </c:pt>
                <c:pt idx="34">
                  <c:v>5.5</c:v>
                </c:pt>
                <c:pt idx="35">
                  <c:v>5.56</c:v>
                </c:pt>
                <c:pt idx="36">
                  <c:v>5.55</c:v>
                </c:pt>
                <c:pt idx="37">
                  <c:v>5.54</c:v>
                </c:pt>
                <c:pt idx="38">
                  <c:v>5.33</c:v>
                </c:pt>
                <c:pt idx="39">
                  <c:v>5.27</c:v>
                </c:pt>
                <c:pt idx="40">
                  <c:v>5.1100000000000003</c:v>
                </c:pt>
                <c:pt idx="41">
                  <c:v>4.87</c:v>
                </c:pt>
                <c:pt idx="42">
                  <c:v>3.3</c:v>
                </c:pt>
                <c:pt idx="43">
                  <c:v>4.58</c:v>
                </c:pt>
                <c:pt idx="44">
                  <c:v>4.3899999999999997</c:v>
                </c:pt>
                <c:pt idx="45">
                  <c:v>4.28</c:v>
                </c:pt>
                <c:pt idx="46">
                  <c:v>4.3099999999999996</c:v>
                </c:pt>
                <c:pt idx="47">
                  <c:v>5.03</c:v>
                </c:pt>
                <c:pt idx="48">
                  <c:v>5.49</c:v>
                </c:pt>
                <c:pt idx="49">
                  <c:v>5.56</c:v>
                </c:pt>
                <c:pt idx="50">
                  <c:v>5.54</c:v>
                </c:pt>
                <c:pt idx="51">
                  <c:v>5.54</c:v>
                </c:pt>
                <c:pt idx="52">
                  <c:v>6.71</c:v>
                </c:pt>
              </c:numCache>
            </c:numRef>
          </c:val>
          <c:smooth val="0"/>
          <c:extLst>
            <c:ext xmlns:c16="http://schemas.microsoft.com/office/drawing/2014/chart" uri="{C3380CC4-5D6E-409C-BE32-E72D297353CC}">
              <c16:uniqueId val="{00000001-AB82-4F17-BD68-D6F092FF4BF0}"/>
            </c:ext>
          </c:extLst>
        </c:ser>
        <c:ser>
          <c:idx val="2"/>
          <c:order val="2"/>
          <c:tx>
            <c:strRef>
              <c:f>Sheet1!$D$1</c:f>
              <c:strCache>
                <c:ptCount val="1"/>
                <c:pt idx="0">
                  <c:v>1 տարի ժ․կ․ ՊՊ եկամտ․</c:v>
                </c:pt>
              </c:strCache>
            </c:strRef>
          </c:tx>
          <c:spPr>
            <a:ln w="22225" cap="rnd">
              <a:solidFill>
                <a:schemeClr val="accent3"/>
              </a:solidFill>
              <a:round/>
            </a:ln>
            <a:effectLst/>
          </c:spPr>
          <c:marker>
            <c:symbol val="none"/>
          </c:marker>
          <c:cat>
            <c:strRef>
              <c:f>Sheet1!$A$2:$A$54</c:f>
              <c:strCache>
                <c:ptCount val="53"/>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strCache>
            </c:strRef>
          </c:cat>
          <c:val>
            <c:numRef>
              <c:f>Sheet1!$D$2:$D$54</c:f>
              <c:numCache>
                <c:formatCode>#\,##0.0</c:formatCode>
                <c:ptCount val="53"/>
                <c:pt idx="0">
                  <c:v>7.7614999999999998</c:v>
                </c:pt>
                <c:pt idx="1">
                  <c:v>7.6989999999999998</c:v>
                </c:pt>
                <c:pt idx="2">
                  <c:v>7.2957999999999998</c:v>
                </c:pt>
                <c:pt idx="3">
                  <c:v>7.0052000000000003</c:v>
                </c:pt>
                <c:pt idx="4">
                  <c:v>6.7395000000000005</c:v>
                </c:pt>
                <c:pt idx="5">
                  <c:v>6.7240000000000002</c:v>
                </c:pt>
                <c:pt idx="6">
                  <c:v>6.4492000000000003</c:v>
                </c:pt>
                <c:pt idx="7">
                  <c:v>6.4047000000000001</c:v>
                </c:pt>
                <c:pt idx="8">
                  <c:v>6.2876000000000003</c:v>
                </c:pt>
                <c:pt idx="9">
                  <c:v>6.1492000000000004</c:v>
                </c:pt>
                <c:pt idx="10">
                  <c:v>6.0979999999999999</c:v>
                </c:pt>
                <c:pt idx="11">
                  <c:v>6.0979999999999999</c:v>
                </c:pt>
                <c:pt idx="12">
                  <c:v>6.1689999999999996</c:v>
                </c:pt>
                <c:pt idx="13">
                  <c:v>6.1475999999999997</c:v>
                </c:pt>
                <c:pt idx="14">
                  <c:v>6.1622000000000003</c:v>
                </c:pt>
                <c:pt idx="15">
                  <c:v>6.1551999999999998</c:v>
                </c:pt>
                <c:pt idx="16">
                  <c:v>6.2244999999999999</c:v>
                </c:pt>
                <c:pt idx="17">
                  <c:v>6.2295999999999996</c:v>
                </c:pt>
                <c:pt idx="18">
                  <c:v>6.2680999999999996</c:v>
                </c:pt>
                <c:pt idx="19">
                  <c:v>6.2766000000000002</c:v>
                </c:pt>
                <c:pt idx="20">
                  <c:v>6.2794999999999996</c:v>
                </c:pt>
                <c:pt idx="21">
                  <c:v>6.2557</c:v>
                </c:pt>
                <c:pt idx="22">
                  <c:v>6.2257999999999996</c:v>
                </c:pt>
                <c:pt idx="23">
                  <c:v>6.2268999999999997</c:v>
                </c:pt>
                <c:pt idx="24">
                  <c:v>6.2257999999999996</c:v>
                </c:pt>
                <c:pt idx="25">
                  <c:v>6.2496999999999998</c:v>
                </c:pt>
                <c:pt idx="26">
                  <c:v>6.1811999999999996</c:v>
                </c:pt>
                <c:pt idx="27">
                  <c:v>6.1741999999999999</c:v>
                </c:pt>
                <c:pt idx="28">
                  <c:v>6.0544000000000002</c:v>
                </c:pt>
                <c:pt idx="29">
                  <c:v>6.0544000000000002</c:v>
                </c:pt>
                <c:pt idx="30">
                  <c:v>6.1539999999999999</c:v>
                </c:pt>
                <c:pt idx="31">
                  <c:v>5.9701000000000004</c:v>
                </c:pt>
                <c:pt idx="32">
                  <c:v>5.9745999999999997</c:v>
                </c:pt>
                <c:pt idx="33">
                  <c:v>5.8437999999999999</c:v>
                </c:pt>
                <c:pt idx="34">
                  <c:v>5.7622</c:v>
                </c:pt>
                <c:pt idx="35">
                  <c:v>5.7070999999999996</c:v>
                </c:pt>
                <c:pt idx="36" formatCode="0.0">
                  <c:v>5.6117749999999997</c:v>
                </c:pt>
                <c:pt idx="37" formatCode="0.0">
                  <c:v>5.5589009999999996</c:v>
                </c:pt>
                <c:pt idx="38" formatCode="0.0">
                  <c:v>5.5941828200000003</c:v>
                </c:pt>
                <c:pt idx="39" formatCode="0.0">
                  <c:v>5.7322329999999999</c:v>
                </c:pt>
                <c:pt idx="40" formatCode="0.0">
                  <c:v>5.7526204545454549</c:v>
                </c:pt>
                <c:pt idx="41" formatCode="0.0">
                  <c:v>5.7470333333333334</c:v>
                </c:pt>
                <c:pt idx="42" formatCode="0.0">
                  <c:v>5.6</c:v>
                </c:pt>
                <c:pt idx="43" formatCode="0.0">
                  <c:v>5.6621024092801902</c:v>
                </c:pt>
                <c:pt idx="44" formatCode="0.0">
                  <c:v>5.6617125000000001</c:v>
                </c:pt>
                <c:pt idx="45" formatCode="0.0">
                  <c:v>5.7126151515151511</c:v>
                </c:pt>
                <c:pt idx="46" formatCode="0.0">
                  <c:v>5.9</c:v>
                </c:pt>
                <c:pt idx="47" formatCode="0.0">
                  <c:v>6.1296879687499999</c:v>
                </c:pt>
                <c:pt idx="48" formatCode="0.0">
                  <c:v>6.8925232558139538</c:v>
                </c:pt>
                <c:pt idx="49" formatCode="0.0">
                  <c:v>6.8010142857142855</c:v>
                </c:pt>
                <c:pt idx="50" formatCode="0.0">
                  <c:v>6.8712428571428568</c:v>
                </c:pt>
                <c:pt idx="51" formatCode="0.0">
                  <c:v>6.8708857142857145</c:v>
                </c:pt>
                <c:pt idx="52" formatCode="0.0">
                  <c:v>7.0861142857142854</c:v>
                </c:pt>
              </c:numCache>
            </c:numRef>
          </c:val>
          <c:smooth val="0"/>
          <c:extLst>
            <c:ext xmlns:c16="http://schemas.microsoft.com/office/drawing/2014/chart" uri="{C3380CC4-5D6E-409C-BE32-E72D297353CC}">
              <c16:uniqueId val="{00000002-AB82-4F17-BD68-D6F092FF4BF0}"/>
            </c:ext>
          </c:extLst>
        </c:ser>
        <c:dLbls>
          <c:showLegendKey val="0"/>
          <c:showVal val="0"/>
          <c:showCatName val="0"/>
          <c:showSerName val="0"/>
          <c:showPercent val="0"/>
          <c:showBubbleSize val="0"/>
        </c:dLbls>
        <c:smooth val="0"/>
        <c:axId val="150400384"/>
        <c:axId val="150418560"/>
      </c:lineChart>
      <c:catAx>
        <c:axId val="15040038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GHEA Grapalat" panose="02000506050000020003" pitchFamily="50" charset="0"/>
                <a:ea typeface="+mn-ea"/>
                <a:cs typeface="+mn-cs"/>
              </a:defRPr>
            </a:pPr>
            <a:endParaRPr lang="en-US"/>
          </a:p>
        </c:txPr>
        <c:crossAx val="150418560"/>
        <c:crosses val="autoZero"/>
        <c:auto val="1"/>
        <c:lblAlgn val="ctr"/>
        <c:lblOffset val="100"/>
        <c:noMultiLvlLbl val="0"/>
      </c:catAx>
      <c:valAx>
        <c:axId val="150418560"/>
        <c:scaling>
          <c:orientation val="minMax"/>
          <c:min val="3"/>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HEA Grapalat" panose="02000506050000020003" pitchFamily="50" charset="0"/>
                <a:ea typeface="+mn-ea"/>
                <a:cs typeface="+mn-cs"/>
              </a:defRPr>
            </a:pPr>
            <a:endParaRPr lang="en-US"/>
          </a:p>
        </c:txPr>
        <c:crossAx val="15040038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2.5422546819328741E-2"/>
          <c:y val="0.77057094314875862"/>
          <c:w val="0.95318035426731051"/>
          <c:h val="0.205850933155709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latin typeface="GHEA Grapalat" panose="02000506050000020003" pitchFamily="50" charset="0"/>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chemeClr val="tx1"/>
                </a:solidFill>
                <a:latin typeface="GHEA Grapalat" panose="02000506050000020003" pitchFamily="50" charset="0"/>
                <a:ea typeface="+mj-ea"/>
                <a:cs typeface="+mj-cs"/>
              </a:defRPr>
            </a:pPr>
            <a:r>
              <a:rPr lang="hy-AM" sz="900" b="1" i="1"/>
              <a:t>ԿԲ գործառնություններ, մլն դրամ</a:t>
            </a:r>
            <a:endParaRPr lang="en-US" sz="900" b="1" i="1"/>
          </a:p>
        </c:rich>
      </c:tx>
      <c:layout/>
      <c:overlay val="0"/>
      <c:spPr>
        <a:noFill/>
        <a:ln>
          <a:noFill/>
        </a:ln>
        <a:effectLst/>
      </c:spPr>
    </c:title>
    <c:autoTitleDeleted val="0"/>
    <c:plotArea>
      <c:layout>
        <c:manualLayout>
          <c:layoutTarget val="inner"/>
          <c:xMode val="edge"/>
          <c:yMode val="edge"/>
          <c:x val="0.19427659505524772"/>
          <c:y val="0.14718253968253969"/>
          <c:w val="0.76045591523281864"/>
          <c:h val="0.49661948506436793"/>
        </c:manualLayout>
      </c:layout>
      <c:areaChart>
        <c:grouping val="standard"/>
        <c:varyColors val="0"/>
        <c:ser>
          <c:idx val="0"/>
          <c:order val="0"/>
          <c:tx>
            <c:strRef>
              <c:f>Sheet1!$B$1</c:f>
              <c:strCache>
                <c:ptCount val="1"/>
                <c:pt idx="0">
                  <c:v>Ռեպո համաձայնագրեր</c:v>
                </c:pt>
              </c:strCache>
            </c:strRef>
          </c:tx>
          <c:spPr>
            <a:solidFill>
              <a:schemeClr val="accent1"/>
            </a:solidFill>
            <a:ln>
              <a:noFill/>
            </a:ln>
            <a:effectLst/>
          </c:spPr>
          <c:cat>
            <c:strRef>
              <c:f>Sheet1!$A$2:$A$54</c:f>
              <c:strCache>
                <c:ptCount val="53"/>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strCache>
            </c:strRef>
          </c:cat>
          <c:val>
            <c:numRef>
              <c:f>Sheet1!$B$2:$B$54</c:f>
              <c:numCache>
                <c:formatCode>#\,##0</c:formatCode>
                <c:ptCount val="53"/>
                <c:pt idx="0">
                  <c:v>10010.340092</c:v>
                </c:pt>
                <c:pt idx="1">
                  <c:v>10010.026423000001</c:v>
                </c:pt>
                <c:pt idx="2">
                  <c:v>30010.117534000001</c:v>
                </c:pt>
                <c:pt idx="3">
                  <c:v>4963.1806969999998</c:v>
                </c:pt>
                <c:pt idx="4">
                  <c:v>0</c:v>
                </c:pt>
                <c:pt idx="5">
                  <c:v>28708.224384000001</c:v>
                </c:pt>
                <c:pt idx="6">
                  <c:v>0</c:v>
                </c:pt>
                <c:pt idx="7">
                  <c:v>0</c:v>
                </c:pt>
                <c:pt idx="8">
                  <c:v>8003.984657</c:v>
                </c:pt>
                <c:pt idx="9">
                  <c:v>10009.918903999998</c:v>
                </c:pt>
                <c:pt idx="10">
                  <c:v>15002.515936</c:v>
                </c:pt>
                <c:pt idx="11">
                  <c:v>36918.863013999995</c:v>
                </c:pt>
                <c:pt idx="12">
                  <c:v>3100</c:v>
                </c:pt>
                <c:pt idx="13">
                  <c:v>0</c:v>
                </c:pt>
                <c:pt idx="14">
                  <c:v>23007.619178000001</c:v>
                </c:pt>
                <c:pt idx="15">
                  <c:v>31752.306124999999</c:v>
                </c:pt>
                <c:pt idx="16">
                  <c:v>9601.6037530000012</c:v>
                </c:pt>
                <c:pt idx="17">
                  <c:v>55427.193009000002</c:v>
                </c:pt>
                <c:pt idx="18">
                  <c:v>67770.798931999991</c:v>
                </c:pt>
                <c:pt idx="19">
                  <c:v>66187.783616999994</c:v>
                </c:pt>
                <c:pt idx="20">
                  <c:v>120590.769421</c:v>
                </c:pt>
                <c:pt idx="21">
                  <c:v>90000</c:v>
                </c:pt>
                <c:pt idx="22">
                  <c:v>120040.73906399999</c:v>
                </c:pt>
                <c:pt idx="23">
                  <c:v>163433.11258099999</c:v>
                </c:pt>
                <c:pt idx="24">
                  <c:v>180879.100263</c:v>
                </c:pt>
                <c:pt idx="25">
                  <c:v>180073.80962700001</c:v>
                </c:pt>
                <c:pt idx="26">
                  <c:v>220323.28971799999</c:v>
                </c:pt>
                <c:pt idx="27">
                  <c:v>260627.031609</c:v>
                </c:pt>
                <c:pt idx="28">
                  <c:v>190557.54955299999</c:v>
                </c:pt>
                <c:pt idx="29">
                  <c:v>190642.649512</c:v>
                </c:pt>
                <c:pt idx="30">
                  <c:v>170338.63131</c:v>
                </c:pt>
                <c:pt idx="31">
                  <c:v>150411.26994500001</c:v>
                </c:pt>
                <c:pt idx="32">
                  <c:v>150458.40972699999</c:v>
                </c:pt>
                <c:pt idx="33">
                  <c:v>108677.600792</c:v>
                </c:pt>
                <c:pt idx="34">
                  <c:v>65252.792568999997</c:v>
                </c:pt>
                <c:pt idx="35">
                  <c:v>126669.77420100001</c:v>
                </c:pt>
                <c:pt idx="36">
                  <c:v>130040.291826</c:v>
                </c:pt>
                <c:pt idx="37">
                  <c:v>70032.156334999992</c:v>
                </c:pt>
                <c:pt idx="38">
                  <c:v>150133.33468200002</c:v>
                </c:pt>
                <c:pt idx="39">
                  <c:v>195027.59827900003</c:v>
                </c:pt>
                <c:pt idx="40">
                  <c:v>196812.30303499999</c:v>
                </c:pt>
                <c:pt idx="41">
                  <c:v>211932.343544</c:v>
                </c:pt>
                <c:pt idx="42">
                  <c:v>188727.39449000001</c:v>
                </c:pt>
                <c:pt idx="43">
                  <c:v>180112.86072999999</c:v>
                </c:pt>
                <c:pt idx="44">
                  <c:v>227400</c:v>
                </c:pt>
                <c:pt idx="45">
                  <c:v>307708.74209200003</c:v>
                </c:pt>
                <c:pt idx="46">
                  <c:v>342952.311024</c:v>
                </c:pt>
                <c:pt idx="47">
                  <c:v>345952.76940399996</c:v>
                </c:pt>
                <c:pt idx="48">
                  <c:v>331195.47828699998</c:v>
                </c:pt>
                <c:pt idx="49">
                  <c:v>280172.25124100002</c:v>
                </c:pt>
                <c:pt idx="50">
                  <c:v>348800</c:v>
                </c:pt>
                <c:pt idx="51">
                  <c:v>325640.89985300007</c:v>
                </c:pt>
                <c:pt idx="52">
                  <c:v>511413.94006599998</c:v>
                </c:pt>
              </c:numCache>
            </c:numRef>
          </c:val>
          <c:extLst>
            <c:ext xmlns:c16="http://schemas.microsoft.com/office/drawing/2014/chart" uri="{C3380CC4-5D6E-409C-BE32-E72D297353CC}">
              <c16:uniqueId val="{00000000-92C6-471F-9BDB-FE9818265FB9}"/>
            </c:ext>
          </c:extLst>
        </c:ser>
        <c:ser>
          <c:idx val="1"/>
          <c:order val="1"/>
          <c:tx>
            <c:strRef>
              <c:f>Sheet1!$C$1</c:f>
              <c:strCache>
                <c:ptCount val="1"/>
                <c:pt idx="0">
                  <c:v>Արտարժույթի ներգրավման սվոփ</c:v>
                </c:pt>
              </c:strCache>
            </c:strRef>
          </c:tx>
          <c:spPr>
            <a:solidFill>
              <a:schemeClr val="accent2"/>
            </a:solidFill>
            <a:ln>
              <a:noFill/>
            </a:ln>
            <a:effectLst/>
          </c:spPr>
          <c:cat>
            <c:strRef>
              <c:f>Sheet1!$A$2:$A$54</c:f>
              <c:strCache>
                <c:ptCount val="53"/>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strCache>
            </c:strRef>
          </c:cat>
          <c:val>
            <c:numRef>
              <c:f>Sheet1!$C$2:$C$54</c:f>
              <c:numCache>
                <c:formatCode>#\,##0</c:formatCode>
                <c:ptCount val="5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10007.649315000001</c:v>
                </c:pt>
                <c:pt idx="15">
                  <c:v>25025.623835999999</c:v>
                </c:pt>
                <c:pt idx="16">
                  <c:v>9601.6037530000012</c:v>
                </c:pt>
                <c:pt idx="17">
                  <c:v>0</c:v>
                </c:pt>
                <c:pt idx="18">
                  <c:v>0</c:v>
                </c:pt>
                <c:pt idx="19">
                  <c:v>0</c:v>
                </c:pt>
                <c:pt idx="20">
                  <c:v>0</c:v>
                </c:pt>
                <c:pt idx="21">
                  <c:v>0</c:v>
                </c:pt>
                <c:pt idx="22">
                  <c:v>0</c:v>
                </c:pt>
                <c:pt idx="23">
                  <c:v>5351.1608176999998</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numCache>
            </c:numRef>
          </c:val>
          <c:extLst>
            <c:ext xmlns:c16="http://schemas.microsoft.com/office/drawing/2014/chart" uri="{C3380CC4-5D6E-409C-BE32-E72D297353CC}">
              <c16:uniqueId val="{00000001-92C6-471F-9BDB-FE9818265FB9}"/>
            </c:ext>
          </c:extLst>
        </c:ser>
        <c:ser>
          <c:idx val="2"/>
          <c:order val="2"/>
          <c:tx>
            <c:strRef>
              <c:f>Sheet1!$D$1</c:f>
              <c:strCache>
                <c:ptCount val="1"/>
                <c:pt idx="0">
                  <c:v>Ավանդներ </c:v>
                </c:pt>
              </c:strCache>
            </c:strRef>
          </c:tx>
          <c:spPr>
            <a:solidFill>
              <a:schemeClr val="accent3"/>
            </a:solidFill>
            <a:ln>
              <a:noFill/>
            </a:ln>
            <a:effectLst/>
          </c:spPr>
          <c:cat>
            <c:strRef>
              <c:f>Sheet1!$A$2:$A$54</c:f>
              <c:strCache>
                <c:ptCount val="53"/>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strCache>
            </c:strRef>
          </c:cat>
          <c:val>
            <c:numRef>
              <c:f>Sheet1!$D$2:$D$54</c:f>
              <c:numCache>
                <c:formatCode>#\,##0</c:formatCode>
                <c:ptCount val="53"/>
                <c:pt idx="0">
                  <c:v>0</c:v>
                </c:pt>
                <c:pt idx="1">
                  <c:v>0</c:v>
                </c:pt>
                <c:pt idx="2">
                  <c:v>-5300.6534247</c:v>
                </c:pt>
                <c:pt idx="3">
                  <c:v>-1500.5547945000001</c:v>
                </c:pt>
                <c:pt idx="4">
                  <c:v>-14001.7260274</c:v>
                </c:pt>
                <c:pt idx="5">
                  <c:v>-1200.1479451999999</c:v>
                </c:pt>
                <c:pt idx="6">
                  <c:v>-38004.6849315</c:v>
                </c:pt>
                <c:pt idx="7">
                  <c:v>-36504.500000100001</c:v>
                </c:pt>
                <c:pt idx="8">
                  <c:v>-3000.7397259999998</c:v>
                </c:pt>
                <c:pt idx="9">
                  <c:v>0</c:v>
                </c:pt>
                <c:pt idx="10">
                  <c:v>0</c:v>
                </c:pt>
                <c:pt idx="11">
                  <c:v>-66024.410958799999</c:v>
                </c:pt>
                <c:pt idx="12">
                  <c:v>0</c:v>
                </c:pt>
                <c:pt idx="13">
                  <c:v>-4000.4931507000001</c:v>
                </c:pt>
                <c:pt idx="14">
                  <c:v>0</c:v>
                </c:pt>
                <c:pt idx="15">
                  <c:v>0</c:v>
                </c:pt>
                <c:pt idx="16">
                  <c:v>0</c:v>
                </c:pt>
                <c:pt idx="17">
                  <c:v>0</c:v>
                </c:pt>
                <c:pt idx="18">
                  <c:v>0</c:v>
                </c:pt>
                <c:pt idx="19">
                  <c:v>0</c:v>
                </c:pt>
                <c:pt idx="20">
                  <c:v>0</c:v>
                </c:pt>
                <c:pt idx="21">
                  <c:v>0</c:v>
                </c:pt>
                <c:pt idx="22">
                  <c:v>0</c:v>
                </c:pt>
                <c:pt idx="23">
                  <c:v>-12306.0657534</c:v>
                </c:pt>
                <c:pt idx="24">
                  <c:v>0</c:v>
                </c:pt>
                <c:pt idx="25">
                  <c:v>0</c:v>
                </c:pt>
                <c:pt idx="26">
                  <c:v>0</c:v>
                </c:pt>
                <c:pt idx="27">
                  <c:v>0</c:v>
                </c:pt>
                <c:pt idx="28">
                  <c:v>-6000.6986300999997</c:v>
                </c:pt>
                <c:pt idx="29">
                  <c:v>-5001.7465752999997</c:v>
                </c:pt>
                <c:pt idx="30">
                  <c:v>-4400.5123288000004</c:v>
                </c:pt>
                <c:pt idx="31">
                  <c:v>0</c:v>
                </c:pt>
                <c:pt idx="32">
                  <c:v>-4000.4383561999998</c:v>
                </c:pt>
                <c:pt idx="33">
                  <c:v>-4000.4383561999998</c:v>
                </c:pt>
                <c:pt idx="34">
                  <c:v>-5501.2054795000004</c:v>
                </c:pt>
                <c:pt idx="35">
                  <c:v>-38508.4383561</c:v>
                </c:pt>
                <c:pt idx="36">
                  <c:v>0</c:v>
                </c:pt>
                <c:pt idx="37">
                  <c:v>-2200.4808742999999</c:v>
                </c:pt>
                <c:pt idx="38">
                  <c:v>0</c:v>
                </c:pt>
                <c:pt idx="39">
                  <c:v>0</c:v>
                </c:pt>
                <c:pt idx="40">
                  <c:v>0</c:v>
                </c:pt>
                <c:pt idx="41">
                  <c:v>-3000.2459015999998</c:v>
                </c:pt>
                <c:pt idx="42">
                  <c:v>-1000.0819672</c:v>
                </c:pt>
                <c:pt idx="43">
                  <c:v>0</c:v>
                </c:pt>
                <c:pt idx="44">
                  <c:v>0</c:v>
                </c:pt>
                <c:pt idx="45">
                  <c:v>0</c:v>
                </c:pt>
                <c:pt idx="46">
                  <c:v>0</c:v>
                </c:pt>
                <c:pt idx="47">
                  <c:v>-23404.795081999997</c:v>
                </c:pt>
                <c:pt idx="48">
                  <c:v>0</c:v>
                </c:pt>
                <c:pt idx="49">
                  <c:v>0</c:v>
                </c:pt>
                <c:pt idx="50">
                  <c:v>0</c:v>
                </c:pt>
                <c:pt idx="51">
                  <c:v>-6000.6575341999996</c:v>
                </c:pt>
                <c:pt idx="52">
                  <c:v>0</c:v>
                </c:pt>
              </c:numCache>
            </c:numRef>
          </c:val>
          <c:extLst>
            <c:ext xmlns:c16="http://schemas.microsoft.com/office/drawing/2014/chart" uri="{C3380CC4-5D6E-409C-BE32-E72D297353CC}">
              <c16:uniqueId val="{00000002-92C6-471F-9BDB-FE9818265FB9}"/>
            </c:ext>
          </c:extLst>
        </c:ser>
        <c:ser>
          <c:idx val="3"/>
          <c:order val="3"/>
          <c:tx>
            <c:strRef>
              <c:f>Sheet1!$E$1</c:f>
              <c:strCache>
                <c:ptCount val="1"/>
                <c:pt idx="0">
                  <c:v>Հակադարձ ռեպո</c:v>
                </c:pt>
              </c:strCache>
            </c:strRef>
          </c:tx>
          <c:spPr>
            <a:solidFill>
              <a:schemeClr val="accent4"/>
            </a:solidFill>
            <a:ln>
              <a:noFill/>
            </a:ln>
            <a:effectLst/>
          </c:spPr>
          <c:cat>
            <c:strRef>
              <c:f>Sheet1!$A$2:$A$54</c:f>
              <c:strCache>
                <c:ptCount val="53"/>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strCache>
            </c:strRef>
          </c:cat>
          <c:val>
            <c:numRef>
              <c:f>Sheet1!$E$2:$E$54</c:f>
              <c:numCache>
                <c:formatCode>#\,##0</c:formatCode>
                <c:ptCount val="5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numCache>
            </c:numRef>
          </c:val>
          <c:extLst>
            <c:ext xmlns:c16="http://schemas.microsoft.com/office/drawing/2014/chart" uri="{C3380CC4-5D6E-409C-BE32-E72D297353CC}">
              <c16:uniqueId val="{00000003-92C6-471F-9BDB-FE9818265FB9}"/>
            </c:ext>
          </c:extLst>
        </c:ser>
        <c:ser>
          <c:idx val="4"/>
          <c:order val="4"/>
          <c:tx>
            <c:strRef>
              <c:f>Sheet1!$F$1</c:f>
              <c:strCache>
                <c:ptCount val="1"/>
                <c:pt idx="0">
                  <c:v>Արտարժույթի տրամադրման սվոփ</c:v>
                </c:pt>
              </c:strCache>
            </c:strRef>
          </c:tx>
          <c:spPr>
            <a:solidFill>
              <a:schemeClr val="accent5"/>
            </a:solidFill>
            <a:ln>
              <a:noFill/>
            </a:ln>
            <a:effectLst/>
          </c:spPr>
          <c:cat>
            <c:strRef>
              <c:f>Sheet1!$A$2:$A$54</c:f>
              <c:strCache>
                <c:ptCount val="53"/>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strCache>
            </c:strRef>
          </c:cat>
          <c:val>
            <c:numRef>
              <c:f>Sheet1!$F$2:$F$54</c:f>
              <c:numCache>
                <c:formatCode>#\,##0</c:formatCode>
                <c:ptCount val="5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-17699.178399999997</c:v>
                </c:pt>
                <c:pt idx="17">
                  <c:v>-12087.536472600001</c:v>
                </c:pt>
                <c:pt idx="18">
                  <c:v>-8697.4428230000012</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-25957.6985981</c:v>
                </c:pt>
                <c:pt idx="39">
                  <c:v>-15287.9520557</c:v>
                </c:pt>
                <c:pt idx="40">
                  <c:v>-3415.8190572000003</c:v>
                </c:pt>
                <c:pt idx="41">
                  <c:v>0</c:v>
                </c:pt>
                <c:pt idx="42">
                  <c:v>0</c:v>
                </c:pt>
                <c:pt idx="43">
                  <c:v>0</c:v>
                </c:pt>
                <c:pt idx="44">
                  <c:v>0</c:v>
                </c:pt>
                <c:pt idx="45">
                  <c:v>-59722.940125399997</c:v>
                </c:pt>
                <c:pt idx="46">
                  <c:v>-57154.534907699999</c:v>
                </c:pt>
                <c:pt idx="47">
                  <c:v>-13919.4597567</c:v>
                </c:pt>
                <c:pt idx="48">
                  <c:v>-11299.9003046</c:v>
                </c:pt>
                <c:pt idx="49">
                  <c:v>-8625.1443165000001</c:v>
                </c:pt>
                <c:pt idx="50">
                  <c:v>-8707.7795429999987</c:v>
                </c:pt>
                <c:pt idx="51">
                  <c:v>-6234</c:v>
                </c:pt>
                <c:pt idx="52">
                  <c:v>-3133.0291233000003</c:v>
                </c:pt>
              </c:numCache>
            </c:numRef>
          </c:val>
          <c:extLst>
            <c:ext xmlns:c16="http://schemas.microsoft.com/office/drawing/2014/chart" uri="{C3380CC4-5D6E-409C-BE32-E72D297353CC}">
              <c16:uniqueId val="{00000004-92C6-471F-9BDB-FE9818265FB9}"/>
            </c:ext>
          </c:extLst>
        </c:ser>
        <c:dLbls>
          <c:showLegendKey val="0"/>
          <c:showVal val="0"/>
          <c:showCatName val="0"/>
          <c:showSerName val="0"/>
          <c:showPercent val="0"/>
          <c:showBubbleSize val="0"/>
        </c:dLbls>
        <c:axId val="151741568"/>
        <c:axId val="151743104"/>
      </c:areaChart>
      <c:lineChart>
        <c:grouping val="standard"/>
        <c:varyColors val="0"/>
        <c:ser>
          <c:idx val="5"/>
          <c:order val="5"/>
          <c:tx>
            <c:strRef>
              <c:f>Sheet1!$G$1</c:f>
              <c:strCache>
                <c:ptCount val="1"/>
                <c:pt idx="0">
                  <c:v>Զուտ իրացվելիության տրամադրում</c:v>
                </c:pt>
              </c:strCache>
            </c:strRef>
          </c:tx>
          <c:spPr>
            <a:ln w="28575" cap="rnd">
              <a:solidFill>
                <a:srgbClr val="C00000"/>
              </a:solidFill>
              <a:round/>
            </a:ln>
            <a:effectLst/>
          </c:spPr>
          <c:marker>
            <c:symbol val="none"/>
          </c:marker>
          <c:cat>
            <c:strRef>
              <c:f>Sheet1!$A$2:$A$54</c:f>
              <c:strCache>
                <c:ptCount val="53"/>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strCache>
            </c:strRef>
          </c:cat>
          <c:val>
            <c:numRef>
              <c:f>Sheet1!$G$2:$G$54</c:f>
              <c:numCache>
                <c:formatCode>#\,##0</c:formatCode>
                <c:ptCount val="53"/>
                <c:pt idx="0">
                  <c:v>10010.340092</c:v>
                </c:pt>
                <c:pt idx="1">
                  <c:v>10010.026423000001</c:v>
                </c:pt>
                <c:pt idx="2">
                  <c:v>24709.464109300003</c:v>
                </c:pt>
                <c:pt idx="3">
                  <c:v>3462.6259024999999</c:v>
                </c:pt>
                <c:pt idx="4">
                  <c:v>-14001.7260274</c:v>
                </c:pt>
                <c:pt idx="5">
                  <c:v>27508.076438800003</c:v>
                </c:pt>
                <c:pt idx="6">
                  <c:v>-38004.6849315</c:v>
                </c:pt>
                <c:pt idx="7">
                  <c:v>-36504.500000100001</c:v>
                </c:pt>
                <c:pt idx="8">
                  <c:v>5003.2449310000002</c:v>
                </c:pt>
                <c:pt idx="9">
                  <c:v>10009.918903999998</c:v>
                </c:pt>
                <c:pt idx="10">
                  <c:v>15002.515936</c:v>
                </c:pt>
                <c:pt idx="11">
                  <c:v>-29105.547944800004</c:v>
                </c:pt>
                <c:pt idx="12">
                  <c:v>3100</c:v>
                </c:pt>
                <c:pt idx="13">
                  <c:v>-4000.4931507000001</c:v>
                </c:pt>
                <c:pt idx="14">
                  <c:v>33015.268493000003</c:v>
                </c:pt>
                <c:pt idx="15">
                  <c:v>56777.929961000002</c:v>
                </c:pt>
                <c:pt idx="16">
                  <c:v>1504.0291060000054</c:v>
                </c:pt>
                <c:pt idx="17">
                  <c:v>43339.656536399998</c:v>
                </c:pt>
                <c:pt idx="18">
                  <c:v>59073.356108999986</c:v>
                </c:pt>
                <c:pt idx="19">
                  <c:v>66187.783616999994</c:v>
                </c:pt>
                <c:pt idx="20">
                  <c:v>120590.769421</c:v>
                </c:pt>
                <c:pt idx="21">
                  <c:v>90000</c:v>
                </c:pt>
                <c:pt idx="22">
                  <c:v>120040.73906399999</c:v>
                </c:pt>
                <c:pt idx="23">
                  <c:v>156478.20764529999</c:v>
                </c:pt>
                <c:pt idx="24">
                  <c:v>180879.100263</c:v>
                </c:pt>
                <c:pt idx="25">
                  <c:v>180073.80962700001</c:v>
                </c:pt>
                <c:pt idx="26">
                  <c:v>220323.28971799999</c:v>
                </c:pt>
                <c:pt idx="27">
                  <c:v>260627.031609</c:v>
                </c:pt>
                <c:pt idx="28">
                  <c:v>184556.85092289999</c:v>
                </c:pt>
                <c:pt idx="29">
                  <c:v>185640.9029367</c:v>
                </c:pt>
                <c:pt idx="30">
                  <c:v>165938.11898120001</c:v>
                </c:pt>
                <c:pt idx="31">
                  <c:v>150411.26994500001</c:v>
                </c:pt>
                <c:pt idx="32">
                  <c:v>146457.97137079999</c:v>
                </c:pt>
                <c:pt idx="33">
                  <c:v>104677.1624358</c:v>
                </c:pt>
                <c:pt idx="34">
                  <c:v>59751.587089499997</c:v>
                </c:pt>
                <c:pt idx="35">
                  <c:v>88161.335844899993</c:v>
                </c:pt>
                <c:pt idx="36">
                  <c:v>130040.291826</c:v>
                </c:pt>
                <c:pt idx="37">
                  <c:v>67831.675460699989</c:v>
                </c:pt>
                <c:pt idx="38">
                  <c:v>124175.63608390001</c:v>
                </c:pt>
                <c:pt idx="39">
                  <c:v>179739.64622330002</c:v>
                </c:pt>
                <c:pt idx="40">
                  <c:v>193396.4839778</c:v>
                </c:pt>
                <c:pt idx="41">
                  <c:v>208932.09764240001</c:v>
                </c:pt>
                <c:pt idx="42">
                  <c:v>187727.3125228</c:v>
                </c:pt>
                <c:pt idx="43">
                  <c:v>180112.86072999999</c:v>
                </c:pt>
                <c:pt idx="44">
                  <c:v>227400</c:v>
                </c:pt>
                <c:pt idx="45">
                  <c:v>247985.80196660003</c:v>
                </c:pt>
                <c:pt idx="46">
                  <c:v>285797.77611630003</c:v>
                </c:pt>
                <c:pt idx="47">
                  <c:v>308628.51456529996</c:v>
                </c:pt>
                <c:pt idx="48">
                  <c:v>319895.57798239996</c:v>
                </c:pt>
                <c:pt idx="49">
                  <c:v>271547.10692450003</c:v>
                </c:pt>
                <c:pt idx="50">
                  <c:v>340092.22045700002</c:v>
                </c:pt>
                <c:pt idx="51">
                  <c:v>313406.24231880007</c:v>
                </c:pt>
                <c:pt idx="52">
                  <c:v>508280.91094269999</c:v>
                </c:pt>
              </c:numCache>
            </c:numRef>
          </c:val>
          <c:smooth val="0"/>
          <c:extLst>
            <c:ext xmlns:c16="http://schemas.microsoft.com/office/drawing/2014/chart" uri="{C3380CC4-5D6E-409C-BE32-E72D297353CC}">
              <c16:uniqueId val="{00000005-92C6-471F-9BDB-FE9818265FB9}"/>
            </c:ext>
          </c:extLst>
        </c:ser>
        <c:dLbls>
          <c:showLegendKey val="0"/>
          <c:showVal val="0"/>
          <c:showCatName val="0"/>
          <c:showSerName val="0"/>
          <c:showPercent val="0"/>
          <c:showBubbleSize val="0"/>
        </c:dLbls>
        <c:marker val="1"/>
        <c:smooth val="0"/>
        <c:axId val="151741568"/>
        <c:axId val="151743104"/>
      </c:lineChart>
      <c:catAx>
        <c:axId val="1517415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GHEA Grapalat" panose="02000506050000020003" pitchFamily="50" charset="0"/>
                <a:ea typeface="+mn-ea"/>
                <a:cs typeface="+mn-cs"/>
              </a:defRPr>
            </a:pPr>
            <a:endParaRPr lang="en-US"/>
          </a:p>
        </c:txPr>
        <c:crossAx val="151743104"/>
        <c:crosses val="autoZero"/>
        <c:auto val="1"/>
        <c:lblAlgn val="ctr"/>
        <c:lblOffset val="100"/>
        <c:noMultiLvlLbl val="0"/>
      </c:catAx>
      <c:valAx>
        <c:axId val="15174310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HEA Grapalat" panose="02000506050000020003" pitchFamily="50" charset="0"/>
                <a:ea typeface="+mn-ea"/>
                <a:cs typeface="+mn-cs"/>
              </a:defRPr>
            </a:pPr>
            <a:endParaRPr lang="en-US"/>
          </a:p>
        </c:txPr>
        <c:crossAx val="15174156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2.3405268785846273E-2"/>
          <c:y val="0.69940194975627956"/>
          <c:w val="0.95318946242830893"/>
          <c:h val="0.2767885264341957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latin typeface="GHEA Grapalat" panose="02000506050000020003" pitchFamily="50" charset="0"/>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y-AM" sz="1000">
                <a:solidFill>
                  <a:sysClr val="windowText" lastClr="000000"/>
                </a:solidFill>
                <a:latin typeface="GHEA Grapalat" panose="02000506050000020003" pitchFamily="50" charset="0"/>
              </a:rPr>
              <a:t>Վերաֆինանսավորման</a:t>
            </a:r>
            <a:r>
              <a:rPr lang="hy-AM" sz="1000" baseline="0">
                <a:solidFill>
                  <a:sysClr val="windowText" lastClr="000000"/>
                </a:solidFill>
                <a:latin typeface="GHEA Grapalat" panose="02000506050000020003" pitchFamily="50" charset="0"/>
              </a:rPr>
              <a:t> </a:t>
            </a:r>
            <a:r>
              <a:rPr lang="en-US" sz="1000" b="0" i="0" u="none" strike="noStrike" kern="1200" spc="0" baseline="0">
                <a:solidFill>
                  <a:sysClr val="windowText" lastClr="000000"/>
                </a:solidFill>
                <a:latin typeface="GHEA Grapalat" panose="02000506050000020003" pitchFamily="50" charset="0"/>
                <a:ea typeface="+mn-ea"/>
                <a:cs typeface="+mn-cs"/>
              </a:rPr>
              <a:t>տոկոս</a:t>
            </a:r>
            <a:r>
              <a:rPr lang="hy-AM" sz="1000" baseline="0">
                <a:solidFill>
                  <a:sysClr val="windowText" lastClr="000000"/>
                </a:solidFill>
                <a:latin typeface="GHEA Grapalat" panose="02000506050000020003" pitchFamily="50" charset="0"/>
              </a:rPr>
              <a:t>ադրույքի նվազեցման չափը </a:t>
            </a:r>
            <a:r>
              <a:rPr lang="en-US" sz="1000" baseline="0">
                <a:solidFill>
                  <a:sysClr val="windowText" lastClr="000000"/>
                </a:solidFill>
                <a:latin typeface="GHEA Grapalat" panose="02000506050000020003" pitchFamily="50" charset="0"/>
              </a:rPr>
              <a:t>(</a:t>
            </a:r>
            <a:r>
              <a:rPr lang="ru-RU" sz="1000" baseline="0">
                <a:solidFill>
                  <a:sysClr val="windowText" lastClr="000000"/>
                </a:solidFill>
                <a:latin typeface="GHEA Grapalat" panose="02000506050000020003" pitchFamily="50" charset="0"/>
              </a:rPr>
              <a:t>+</a:t>
            </a:r>
            <a:r>
              <a:rPr lang="en-US" sz="1000" baseline="0">
                <a:solidFill>
                  <a:sysClr val="windowText" lastClr="000000"/>
                </a:solidFill>
                <a:latin typeface="GHEA Grapalat" panose="02000506050000020003" pitchFamily="50" charset="0"/>
              </a:rPr>
              <a:t>)</a:t>
            </a:r>
            <a:r>
              <a:rPr lang="ru-RU" sz="1000" baseline="0">
                <a:solidFill>
                  <a:sysClr val="windowText" lastClr="000000"/>
                </a:solidFill>
                <a:latin typeface="GHEA Grapalat" panose="02000506050000020003" pitchFamily="50" charset="0"/>
              </a:rPr>
              <a:t> </a:t>
            </a:r>
            <a:r>
              <a:rPr lang="hy-AM" sz="1000" baseline="0">
                <a:solidFill>
                  <a:sysClr val="windowText" lastClr="000000"/>
                </a:solidFill>
                <a:latin typeface="GHEA Grapalat" panose="02000506050000020003" pitchFamily="50" charset="0"/>
              </a:rPr>
              <a:t>առանձին երկրներում 2020թ-ին 2019 համեմատ, </a:t>
            </a:r>
            <a:r>
              <a:rPr lang="en-US" sz="1000" baseline="0">
                <a:solidFill>
                  <a:sysClr val="windowText" lastClr="000000"/>
                </a:solidFill>
                <a:latin typeface="GHEA Grapalat" panose="02000506050000020003" pitchFamily="50" charset="0"/>
              </a:rPr>
              <a:t>տոկոսայ</a:t>
            </a:r>
            <a:r>
              <a:rPr lang="hy-AM" sz="1000" baseline="0">
                <a:solidFill>
                  <a:sysClr val="windowText" lastClr="000000"/>
                </a:solidFill>
                <a:latin typeface="GHEA Grapalat" panose="02000506050000020003" pitchFamily="50" charset="0"/>
              </a:rPr>
              <a:t>ին կետ</a:t>
            </a:r>
            <a:endParaRPr lang="en-US" sz="1000">
              <a:solidFill>
                <a:sysClr val="windowText" lastClr="000000"/>
              </a:solidFill>
              <a:latin typeface="GHEA Grapalat" panose="02000506050000020003" pitchFamily="50" charset="0"/>
            </a:endParaRPr>
          </a:p>
        </c:rich>
      </c:tx>
      <c:layout/>
      <c:overlay val="0"/>
      <c:spPr>
        <a:noFill/>
        <a:ln>
          <a:noFill/>
        </a:ln>
        <a:effectLst/>
      </c:spPr>
    </c:title>
    <c:autoTitleDeleted val="0"/>
    <c:plotArea>
      <c:layout>
        <c:manualLayout>
          <c:layoutTarget val="inner"/>
          <c:xMode val="edge"/>
          <c:yMode val="edge"/>
          <c:x val="4.2591552013119337E-2"/>
          <c:y val="0.2350237435866272"/>
          <c:w val="0.93698986707825382"/>
          <c:h val="0.42554931460469314"/>
        </c:manualLayout>
      </c:layout>
      <c:barChart>
        <c:barDir val="col"/>
        <c:grouping val="clustered"/>
        <c:varyColors val="0"/>
        <c:ser>
          <c:idx val="0"/>
          <c:order val="0"/>
          <c:tx>
            <c:strRef>
              <c:f>Sheet1!$B$1</c:f>
              <c:strCache>
                <c:ptCount val="1"/>
                <c:pt idx="0">
                  <c:v>0.15</c:v>
                </c:pt>
              </c:strCache>
            </c:strRef>
          </c:tx>
          <c:spPr>
            <a:solidFill>
              <a:srgbClr val="1F497D">
                <a:lumMod val="60000"/>
                <a:lumOff val="40000"/>
              </a:srgbClr>
            </a:solidFill>
            <a:ln>
              <a:solidFill>
                <a:srgbClr val="1F497D">
                  <a:lumMod val="60000"/>
                  <a:lumOff val="40000"/>
                </a:srgbClr>
              </a:solidFill>
            </a:ln>
            <a:effectLst/>
          </c:spPr>
          <c:invertIfNegative val="0"/>
          <c:dPt>
            <c:idx val="0"/>
            <c:invertIfNegative val="0"/>
            <c:bubble3D val="0"/>
            <c:extLst>
              <c:ext xmlns:c16="http://schemas.microsoft.com/office/drawing/2014/chart" uri="{C3380CC4-5D6E-409C-BE32-E72D297353CC}">
                <c16:uniqueId val="{00000000-D9D3-4613-9A56-E3F6759A4FF4}"/>
              </c:ext>
            </c:extLst>
          </c:dPt>
          <c:dPt>
            <c:idx val="17"/>
            <c:invertIfNegative val="0"/>
            <c:bubble3D val="0"/>
            <c:extLst>
              <c:ext xmlns:c16="http://schemas.microsoft.com/office/drawing/2014/chart" uri="{C3380CC4-5D6E-409C-BE32-E72D297353CC}">
                <c16:uniqueId val="{00000001-D9D3-4613-9A56-E3F6759A4FF4}"/>
              </c:ext>
            </c:extLst>
          </c:dPt>
          <c:dPt>
            <c:idx val="23"/>
            <c:invertIfNegative val="0"/>
            <c:bubble3D val="0"/>
            <c:spPr>
              <a:solidFill>
                <a:srgbClr val="FF0000"/>
              </a:solidFill>
              <a:ln>
                <a:solidFill>
                  <a:srgbClr val="FF0000"/>
                </a:solidFill>
              </a:ln>
              <a:effectLst/>
            </c:spPr>
            <c:extLst>
              <c:ext xmlns:c16="http://schemas.microsoft.com/office/drawing/2014/chart" uri="{C3380CC4-5D6E-409C-BE32-E72D297353CC}">
                <c16:uniqueId val="{00000003-D9D3-4613-9A56-E3F6759A4FF4}"/>
              </c:ext>
            </c:extLst>
          </c:dPt>
          <c:dLbls>
            <c:dLbl>
              <c:idx val="23"/>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9D3-4613-9A56-E3F6759A4FF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Sheet1!$A$2:$A$76</c:f>
              <c:strCache>
                <c:ptCount val="75"/>
                <c:pt idx="0">
                  <c:v>ՂԱԶԱԽՍՏԱՆ</c:v>
                </c:pt>
                <c:pt idx="1">
                  <c:v>ԹԱՅՎԱՆ</c:v>
                </c:pt>
                <c:pt idx="2">
                  <c:v>ՉԻՆԱՍՏԱՆ</c:v>
                </c:pt>
                <c:pt idx="3">
                  <c:v>ՀՈՒՆԳԱՐԻԱ</c:v>
                </c:pt>
                <c:pt idx="4">
                  <c:v>ԱԼԲԱՆԻԱ</c:v>
                </c:pt>
                <c:pt idx="5">
                  <c:v>ՌՈՒԱՆԴԱ</c:v>
                </c:pt>
                <c:pt idx="6">
                  <c:v>ԱՐԵՎՄՏՅԱՆ ԱՖՐԻԿԱՅԻ ՊԵՏ.</c:v>
                </c:pt>
                <c:pt idx="7">
                  <c:v>ԱՎՍՏՐԱԼԻԱ</c:v>
                </c:pt>
                <c:pt idx="8">
                  <c:v>ՄԻԱՑՅԱԼ ԹԱԳ.</c:v>
                </c:pt>
                <c:pt idx="9">
                  <c:v>ՂՐՂԶՍՏԱՆ</c:v>
                </c:pt>
                <c:pt idx="10">
                  <c:v>ՄԱԿԵԴՈՆԻԱ</c:v>
                </c:pt>
                <c:pt idx="11">
                  <c:v>ՄԱՐՈԿԿՈ</c:v>
                </c:pt>
                <c:pt idx="12">
                  <c:v>ՆՈՐ ԶԵԼԱՆԴԻԱ</c:v>
                </c:pt>
                <c:pt idx="13">
                  <c:v>ՀԱՐԱՎԱՅԻՆ ԿՈՐԵԱ</c:v>
                </c:pt>
                <c:pt idx="14">
                  <c:v>ԹԱՅԼԱՆԴ</c:v>
                </c:pt>
                <c:pt idx="15">
                  <c:v>ԲՈԹՍՎԱՆԱ</c:v>
                </c:pt>
                <c:pt idx="16">
                  <c:v>ՎՐԱՍՏԱՆ</c:v>
                </c:pt>
                <c:pt idx="17">
                  <c:v>ԳՈՒԱՏԵՄԱԼԱ</c:v>
                </c:pt>
                <c:pt idx="18">
                  <c:v>ՌՈՒՄԻՆԻԱ</c:v>
                </c:pt>
                <c:pt idx="19">
                  <c:v>ԹՈՒՆԻՍ</c:v>
                </c:pt>
                <c:pt idx="20">
                  <c:v>ՀՈՆԳ ԿՈՆԳ</c:v>
                </c:pt>
                <c:pt idx="21">
                  <c:v>ՄԱԿՈՒ</c:v>
                </c:pt>
                <c:pt idx="22">
                  <c:v>ՀՆԴԿԱՍՏԱՆ</c:v>
                </c:pt>
                <c:pt idx="23">
                  <c:v>ՀԱՅԱՍՏԱՆ</c:v>
                </c:pt>
                <c:pt idx="24">
                  <c:v>ԱԴՐԲԵՋԱՆ</c:v>
                </c:pt>
                <c:pt idx="25">
                  <c:v>ԲԱՀՐԱՅՆ</c:v>
                </c:pt>
                <c:pt idx="26">
                  <c:v>ԲԱՆԳԼԱԴԵՇ</c:v>
                </c:pt>
                <c:pt idx="27">
                  <c:v>ԲԵԼԱՌՈՒՍ</c:v>
                </c:pt>
                <c:pt idx="28">
                  <c:v>ՉԻԼԻ</c:v>
                </c:pt>
                <c:pt idx="29">
                  <c:v>ԻՆԴՈՆԵՍԻԱ</c:v>
                </c:pt>
                <c:pt idx="30">
                  <c:v>ԿՈՒՎԵՅԹ</c:v>
                </c:pt>
                <c:pt idx="31">
                  <c:v>ՄԱԼԱԶԻԱ</c:v>
                </c:pt>
                <c:pt idx="32">
                  <c:v>ՍԱՈՒԴՅԱՆ ԱՐԱԲԻԱ</c:v>
                </c:pt>
                <c:pt idx="33">
                  <c:v>ՍԵՐԲԻԱ</c:v>
                </c:pt>
                <c:pt idx="34">
                  <c:v>ԱՄԷ</c:v>
                </c:pt>
                <c:pt idx="35">
                  <c:v>ԼԵՀԱՍՏԱՆ</c:v>
                </c:pt>
                <c:pt idx="36">
                  <c:v>ԿԱՆԱԴԱ</c:v>
                </c:pt>
                <c:pt idx="37">
                  <c:v>ԴՈՄԻՆԻԿԱԿԱՆ ՀԱՆ.</c:v>
                </c:pt>
                <c:pt idx="38">
                  <c:v>ԳԱՆԱ</c:v>
                </c:pt>
                <c:pt idx="39">
                  <c:v>ՀՈՐԴԱՆԱՆ</c:v>
                </c:pt>
                <c:pt idx="40">
                  <c:v>ԿԵՆՅԱ</c:v>
                </c:pt>
                <c:pt idx="41">
                  <c:v>ՆՈՐՎԵԳԻԱ</c:v>
                </c:pt>
                <c:pt idx="42">
                  <c:v>ՏԱՋԻԿԻՍՏԱՆ</c:v>
                </c:pt>
                <c:pt idx="43">
                  <c:v>ԱՄՆ</c:v>
                </c:pt>
                <c:pt idx="44">
                  <c:v>ՉԵԽԻԱՅԻ ՀԱՆ.</c:v>
                </c:pt>
                <c:pt idx="45">
                  <c:v>ՔԱՏԱՐ</c:v>
                </c:pt>
                <c:pt idx="46">
                  <c:v>ԿՈՍՏԱ ՌԻԿԱ</c:v>
                </c:pt>
                <c:pt idx="47">
                  <c:v>ՆԻԳԵՐԻԱ</c:v>
                </c:pt>
                <c:pt idx="48">
                  <c:v>ՊԱՊՈՒԱ ՆՈՐ ԳՎԻՆԵԱ</c:v>
                </c:pt>
                <c:pt idx="49">
                  <c:v>ՊԵՐՈՒ</c:v>
                </c:pt>
                <c:pt idx="50">
                  <c:v>ՖԻԼԻՊԻՆԵՐ</c:v>
                </c:pt>
                <c:pt idx="51">
                  <c:v>ՌՈՒՍԱՍՏԱՆ</c:v>
                </c:pt>
                <c:pt idx="52">
                  <c:v>ՈՒԳԱՆԴԱ</c:v>
                </c:pt>
                <c:pt idx="53">
                  <c:v>ՈՒԶԲԵԿՍՏԱՆ</c:v>
                </c:pt>
                <c:pt idx="54">
                  <c:v>ՎԻԵՏՆԱՄ</c:v>
                </c:pt>
                <c:pt idx="55">
                  <c:v>ԻՍԼԱՆԴԻԱ</c:v>
                </c:pt>
                <c:pt idx="56">
                  <c:v>ԲՐԱԶԻԼԻԱ</c:v>
                </c:pt>
                <c:pt idx="57">
                  <c:v>ԿՈԼՈՄԲԻԱ</c:v>
                </c:pt>
                <c:pt idx="58">
                  <c:v>ԳԱՄԲԻԱ</c:v>
                </c:pt>
                <c:pt idx="59">
                  <c:v>ՀՈՆԴՈՒՐԱՍ</c:v>
                </c:pt>
                <c:pt idx="60">
                  <c:v>ՄՈԶԱՄԲԻԿ</c:v>
                </c:pt>
                <c:pt idx="61">
                  <c:v>ՍԻԵՐԱ ԼԵՈՆԵ</c:v>
                </c:pt>
                <c:pt idx="62">
                  <c:v>ՇՐԻ ԼԱՆԿԱ </c:v>
                </c:pt>
                <c:pt idx="63">
                  <c:v>ՆԱՄԻԲԻԱ</c:v>
                </c:pt>
                <c:pt idx="64">
                  <c:v>ՄՈԼԴՈՎԱ</c:v>
                </c:pt>
                <c:pt idx="65">
                  <c:v>ՄԵՔՍԻԿԱ</c:v>
                </c:pt>
                <c:pt idx="66">
                  <c:v>ՀԱՐԱՎԱՅԻՆ ԱՖՐԻԿԱ</c:v>
                </c:pt>
                <c:pt idx="67">
                  <c:v>ՊԱՐԱԳՎԱՅ</c:v>
                </c:pt>
                <c:pt idx="68">
                  <c:v>ԵԳԻՊՏՈՍ</c:v>
                </c:pt>
                <c:pt idx="69">
                  <c:v>ԲԱՐԲԱԴՈՍ</c:v>
                </c:pt>
                <c:pt idx="70">
                  <c:v>ԼԻԲԵՐԻԱ</c:v>
                </c:pt>
                <c:pt idx="71">
                  <c:v>ՄՈՆԳՈԼԻԱ</c:v>
                </c:pt>
                <c:pt idx="72">
                  <c:v>ՊԱԿԻՍՏԱՆ</c:v>
                </c:pt>
                <c:pt idx="73">
                  <c:v>ՈՒԿՐԱԻՆԱ</c:v>
                </c:pt>
                <c:pt idx="74">
                  <c:v>ԱՐԳԵՆՏԻՆԱ</c:v>
                </c:pt>
              </c:strCache>
            </c:strRef>
          </c:cat>
          <c:val>
            <c:numRef>
              <c:f>Sheet1!$B$2:$B$76</c:f>
              <c:numCache>
                <c:formatCode>General</c:formatCode>
                <c:ptCount val="75"/>
                <c:pt idx="0">
                  <c:v>0.25</c:v>
                </c:pt>
                <c:pt idx="1">
                  <c:v>0.25</c:v>
                </c:pt>
                <c:pt idx="2">
                  <c:v>0.3</c:v>
                </c:pt>
                <c:pt idx="3">
                  <c:v>0.3</c:v>
                </c:pt>
                <c:pt idx="4">
                  <c:v>0.5</c:v>
                </c:pt>
                <c:pt idx="5">
                  <c:v>0.5</c:v>
                </c:pt>
                <c:pt idx="6">
                  <c:v>0.5</c:v>
                </c:pt>
                <c:pt idx="7">
                  <c:v>0.65</c:v>
                </c:pt>
                <c:pt idx="8">
                  <c:v>0.65</c:v>
                </c:pt>
                <c:pt idx="9">
                  <c:v>0.75</c:v>
                </c:pt>
                <c:pt idx="10">
                  <c:v>0.75</c:v>
                </c:pt>
                <c:pt idx="11">
                  <c:v>0.75</c:v>
                </c:pt>
                <c:pt idx="12">
                  <c:v>0.75</c:v>
                </c:pt>
                <c:pt idx="13">
                  <c:v>0.75</c:v>
                </c:pt>
                <c:pt idx="14">
                  <c:v>0.75</c:v>
                </c:pt>
                <c:pt idx="15">
                  <c:v>1</c:v>
                </c:pt>
                <c:pt idx="16">
                  <c:v>1</c:v>
                </c:pt>
                <c:pt idx="17">
                  <c:v>1</c:v>
                </c:pt>
                <c:pt idx="18">
                  <c:v>1</c:v>
                </c:pt>
                <c:pt idx="19">
                  <c:v>1</c:v>
                </c:pt>
                <c:pt idx="20">
                  <c:v>1.1399999999999999</c:v>
                </c:pt>
                <c:pt idx="21">
                  <c:v>1.1399999999999999</c:v>
                </c:pt>
                <c:pt idx="22">
                  <c:v>1.1499999999999999</c:v>
                </c:pt>
                <c:pt idx="23">
                  <c:v>1.25</c:v>
                </c:pt>
                <c:pt idx="24">
                  <c:v>1.25</c:v>
                </c:pt>
                <c:pt idx="25">
                  <c:v>1.25</c:v>
                </c:pt>
                <c:pt idx="26">
                  <c:v>1.25</c:v>
                </c:pt>
                <c:pt idx="27">
                  <c:v>1.25</c:v>
                </c:pt>
                <c:pt idx="28">
                  <c:v>1.25</c:v>
                </c:pt>
                <c:pt idx="29">
                  <c:v>1.25</c:v>
                </c:pt>
                <c:pt idx="30">
                  <c:v>1.25</c:v>
                </c:pt>
                <c:pt idx="31">
                  <c:v>1.25</c:v>
                </c:pt>
                <c:pt idx="32">
                  <c:v>1.25</c:v>
                </c:pt>
                <c:pt idx="33">
                  <c:v>1.25</c:v>
                </c:pt>
                <c:pt idx="34">
                  <c:v>1.25</c:v>
                </c:pt>
                <c:pt idx="35">
                  <c:v>1.4</c:v>
                </c:pt>
                <c:pt idx="36">
                  <c:v>1.5</c:v>
                </c:pt>
                <c:pt idx="37">
                  <c:v>1.5</c:v>
                </c:pt>
                <c:pt idx="38">
                  <c:v>1.5</c:v>
                </c:pt>
                <c:pt idx="39">
                  <c:v>1.5</c:v>
                </c:pt>
                <c:pt idx="40">
                  <c:v>1.5</c:v>
                </c:pt>
                <c:pt idx="41">
                  <c:v>1.5</c:v>
                </c:pt>
                <c:pt idx="42">
                  <c:v>1.5</c:v>
                </c:pt>
                <c:pt idx="43">
                  <c:v>1.5</c:v>
                </c:pt>
                <c:pt idx="44">
                  <c:v>1.75</c:v>
                </c:pt>
                <c:pt idx="45">
                  <c:v>1.75</c:v>
                </c:pt>
                <c:pt idx="46">
                  <c:v>2</c:v>
                </c:pt>
                <c:pt idx="47">
                  <c:v>2</c:v>
                </c:pt>
                <c:pt idx="48">
                  <c:v>2</c:v>
                </c:pt>
                <c:pt idx="49">
                  <c:v>2</c:v>
                </c:pt>
                <c:pt idx="50">
                  <c:v>2</c:v>
                </c:pt>
                <c:pt idx="51">
                  <c:v>2</c:v>
                </c:pt>
                <c:pt idx="52">
                  <c:v>2</c:v>
                </c:pt>
                <c:pt idx="53">
                  <c:v>2</c:v>
                </c:pt>
                <c:pt idx="54">
                  <c:v>2</c:v>
                </c:pt>
                <c:pt idx="55">
                  <c:v>2.25</c:v>
                </c:pt>
                <c:pt idx="56">
                  <c:v>2.5</c:v>
                </c:pt>
                <c:pt idx="57">
                  <c:v>2.5</c:v>
                </c:pt>
                <c:pt idx="58">
                  <c:v>2.5</c:v>
                </c:pt>
                <c:pt idx="59">
                  <c:v>2.5</c:v>
                </c:pt>
                <c:pt idx="60">
                  <c:v>2.5</c:v>
                </c:pt>
                <c:pt idx="61">
                  <c:v>2.5</c:v>
                </c:pt>
                <c:pt idx="62">
                  <c:v>2.5</c:v>
                </c:pt>
                <c:pt idx="63">
                  <c:v>2.75</c:v>
                </c:pt>
                <c:pt idx="64">
                  <c:v>2.85</c:v>
                </c:pt>
                <c:pt idx="65">
                  <c:v>3</c:v>
                </c:pt>
                <c:pt idx="66">
                  <c:v>3</c:v>
                </c:pt>
                <c:pt idx="67">
                  <c:v>3.25</c:v>
                </c:pt>
                <c:pt idx="68">
                  <c:v>4</c:v>
                </c:pt>
                <c:pt idx="69">
                  <c:v>5</c:v>
                </c:pt>
                <c:pt idx="70">
                  <c:v>5</c:v>
                </c:pt>
                <c:pt idx="71">
                  <c:v>5</c:v>
                </c:pt>
                <c:pt idx="72">
                  <c:v>6.25</c:v>
                </c:pt>
                <c:pt idx="73">
                  <c:v>7.5</c:v>
                </c:pt>
                <c:pt idx="74">
                  <c:v>17</c:v>
                </c:pt>
              </c:numCache>
            </c:numRef>
          </c:val>
          <c:extLst>
            <c:ext xmlns:c16="http://schemas.microsoft.com/office/drawing/2014/chart" uri="{C3380CC4-5D6E-409C-BE32-E72D297353CC}">
              <c16:uniqueId val="{00000004-D9D3-4613-9A56-E3F6759A4FF4}"/>
            </c:ext>
          </c:extLst>
        </c:ser>
        <c:dLbls>
          <c:showLegendKey val="0"/>
          <c:showVal val="0"/>
          <c:showCatName val="0"/>
          <c:showSerName val="0"/>
          <c:showPercent val="0"/>
          <c:showBubbleSize val="0"/>
        </c:dLbls>
        <c:gapWidth val="29"/>
        <c:overlap val="-27"/>
        <c:axId val="151829504"/>
        <c:axId val="151913216"/>
      </c:barChart>
      <c:catAx>
        <c:axId val="15182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en-US"/>
          </a:p>
        </c:txPr>
        <c:crossAx val="151913216"/>
        <c:crosses val="autoZero"/>
        <c:auto val="1"/>
        <c:lblAlgn val="ctr"/>
        <c:lblOffset val="100"/>
        <c:noMultiLvlLbl val="0"/>
      </c:catAx>
      <c:valAx>
        <c:axId val="151913216"/>
        <c:scaling>
          <c:orientation val="minMax"/>
          <c:max val="1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829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'[FanChart_MTEF_2022-2024_5.xlsx]Sheet2'!$B$3</c:f>
              <c:strCache>
                <c:ptCount val="1"/>
              </c:strCache>
            </c:strRef>
          </c:tx>
          <c:spPr>
            <a:noFill/>
          </c:spPr>
          <c:cat>
            <c:strRef>
              <c:f>'[FanChart_MTEF_2022-2024_5.xlsx]Sheet2'!$A$4:$A$103</c:f>
              <c:strCache>
                <c:ptCount val="7"/>
                <c:pt idx="0">
                  <c:v>2018/4</c:v>
                </c:pt>
                <c:pt idx="1">
                  <c:v>2019/4</c:v>
                </c:pt>
                <c:pt idx="2">
                  <c:v>2020/4</c:v>
                </c:pt>
                <c:pt idx="3">
                  <c:v>2021/4*</c:v>
                </c:pt>
                <c:pt idx="4">
                  <c:v>2022/4*</c:v>
                </c:pt>
                <c:pt idx="5">
                  <c:v>2023/4*</c:v>
                </c:pt>
                <c:pt idx="6">
                  <c:v>2024/4*</c:v>
                </c:pt>
              </c:strCache>
            </c:strRef>
          </c:cat>
          <c:val>
            <c:numRef>
              <c:f>'[FanChart_MTEF_2022-2024_5.xlsx]Sheet2'!$B$4:$B$103</c:f>
              <c:numCache>
                <c:formatCode>General</c:formatCode>
                <c:ptCount val="7"/>
                <c:pt idx="0">
                  <c:v>5.1738939407217828</c:v>
                </c:pt>
                <c:pt idx="1">
                  <c:v>7.6277404285831381</c:v>
                </c:pt>
                <c:pt idx="2">
                  <c:v>-7.4254086121228227</c:v>
                </c:pt>
                <c:pt idx="3">
                  <c:v>2.1495499895371033</c:v>
                </c:pt>
                <c:pt idx="4">
                  <c:v>0.67483183548472692</c:v>
                </c:pt>
                <c:pt idx="5">
                  <c:v>-0.96854608933228281</c:v>
                </c:pt>
                <c:pt idx="6">
                  <c:v>-0.66219484965051389</c:v>
                </c:pt>
              </c:numCache>
            </c:numRef>
          </c:val>
          <c:extLst>
            <c:ext xmlns:c16="http://schemas.microsoft.com/office/drawing/2014/chart" uri="{C3380CC4-5D6E-409C-BE32-E72D297353CC}">
              <c16:uniqueId val="{00000000-EC93-46B7-8968-67F13ED4F636}"/>
            </c:ext>
          </c:extLst>
        </c:ser>
        <c:ser>
          <c:idx val="1"/>
          <c:order val="1"/>
          <c:tx>
            <c:strRef>
              <c:f>'[FanChart_MTEF_2022-2024_5.xlsx]Sheet2'!$C$3</c:f>
              <c:strCache>
                <c:ptCount val="1"/>
              </c:strCache>
            </c:strRef>
          </c:tx>
          <c:spPr>
            <a:solidFill>
              <a:srgbClr val="FF0000">
                <a:alpha val="20000"/>
              </a:srgbClr>
            </a:solidFill>
          </c:spPr>
          <c:cat>
            <c:strRef>
              <c:f>'[FanChart_MTEF_2022-2024_5.xlsx]Sheet2'!$A$4:$A$103</c:f>
              <c:strCache>
                <c:ptCount val="7"/>
                <c:pt idx="0">
                  <c:v>2018/4</c:v>
                </c:pt>
                <c:pt idx="1">
                  <c:v>2019/4</c:v>
                </c:pt>
                <c:pt idx="2">
                  <c:v>2020/4</c:v>
                </c:pt>
                <c:pt idx="3">
                  <c:v>2021/4*</c:v>
                </c:pt>
                <c:pt idx="4">
                  <c:v>2022/4*</c:v>
                </c:pt>
                <c:pt idx="5">
                  <c:v>2023/4*</c:v>
                </c:pt>
                <c:pt idx="6">
                  <c:v>2024/4*</c:v>
                </c:pt>
              </c:strCache>
            </c:strRef>
          </c:cat>
          <c:val>
            <c:numRef>
              <c:f>'[FanChart_MTEF_2022-2024_5.xlsx]Sheet2'!$C$4:$C$103</c:f>
              <c:numCache>
                <c:formatCode>General</c:formatCode>
                <c:ptCount val="7"/>
                <c:pt idx="3">
                  <c:v>0.84696318066603338</c:v>
                </c:pt>
                <c:pt idx="4">
                  <c:v>0.99651646567700558</c:v>
                </c:pt>
                <c:pt idx="5">
                  <c:v>1.0279799142452308</c:v>
                </c:pt>
                <c:pt idx="6">
                  <c:v>1.0351132637974962</c:v>
                </c:pt>
              </c:numCache>
            </c:numRef>
          </c:val>
          <c:extLst>
            <c:ext xmlns:c16="http://schemas.microsoft.com/office/drawing/2014/chart" uri="{C3380CC4-5D6E-409C-BE32-E72D297353CC}">
              <c16:uniqueId val="{00000001-EC93-46B7-8968-67F13ED4F636}"/>
            </c:ext>
          </c:extLst>
        </c:ser>
        <c:ser>
          <c:idx val="2"/>
          <c:order val="2"/>
          <c:tx>
            <c:strRef>
              <c:f>'[FanChart_MTEF_2022-2024_5.xlsx]Sheet2'!$D$3</c:f>
              <c:strCache>
                <c:ptCount val="1"/>
              </c:strCache>
            </c:strRef>
          </c:tx>
          <c:spPr>
            <a:solidFill>
              <a:srgbClr val="FF0000">
                <a:alpha val="30000"/>
              </a:srgbClr>
            </a:solidFill>
          </c:spPr>
          <c:cat>
            <c:strRef>
              <c:f>'[FanChart_MTEF_2022-2024_5.xlsx]Sheet2'!$A$4:$A$103</c:f>
              <c:strCache>
                <c:ptCount val="7"/>
                <c:pt idx="0">
                  <c:v>2018/4</c:v>
                </c:pt>
                <c:pt idx="1">
                  <c:v>2019/4</c:v>
                </c:pt>
                <c:pt idx="2">
                  <c:v>2020/4</c:v>
                </c:pt>
                <c:pt idx="3">
                  <c:v>2021/4*</c:v>
                </c:pt>
                <c:pt idx="4">
                  <c:v>2022/4*</c:v>
                </c:pt>
                <c:pt idx="5">
                  <c:v>2023/4*</c:v>
                </c:pt>
                <c:pt idx="6">
                  <c:v>2024/4*</c:v>
                </c:pt>
              </c:strCache>
            </c:strRef>
          </c:cat>
          <c:val>
            <c:numRef>
              <c:f>'[FanChart_MTEF_2022-2024_5.xlsx]Sheet2'!$D$4:$D$103</c:f>
              <c:numCache>
                <c:formatCode>General</c:formatCode>
                <c:ptCount val="7"/>
                <c:pt idx="3">
                  <c:v>0.5714420370286537</c:v>
                </c:pt>
                <c:pt idx="4">
                  <c:v>0.67234492841974358</c:v>
                </c:pt>
                <c:pt idx="5">
                  <c:v>0.69357316779566736</c:v>
                </c:pt>
                <c:pt idx="6">
                  <c:v>0.6983860048729289</c:v>
                </c:pt>
              </c:numCache>
            </c:numRef>
          </c:val>
          <c:extLst>
            <c:ext xmlns:c16="http://schemas.microsoft.com/office/drawing/2014/chart" uri="{C3380CC4-5D6E-409C-BE32-E72D297353CC}">
              <c16:uniqueId val="{00000002-EC93-46B7-8968-67F13ED4F636}"/>
            </c:ext>
          </c:extLst>
        </c:ser>
        <c:ser>
          <c:idx val="3"/>
          <c:order val="3"/>
          <c:tx>
            <c:strRef>
              <c:f>'[FanChart_MTEF_2022-2024_5.xlsx]Sheet2'!$E$3</c:f>
              <c:strCache>
                <c:ptCount val="1"/>
              </c:strCache>
            </c:strRef>
          </c:tx>
          <c:spPr>
            <a:solidFill>
              <a:srgbClr val="FF0000">
                <a:alpha val="40000"/>
              </a:srgbClr>
            </a:solidFill>
          </c:spPr>
          <c:cat>
            <c:strRef>
              <c:f>'[FanChart_MTEF_2022-2024_5.xlsx]Sheet2'!$A$4:$A$103</c:f>
              <c:strCache>
                <c:ptCount val="7"/>
                <c:pt idx="0">
                  <c:v>2018/4</c:v>
                </c:pt>
                <c:pt idx="1">
                  <c:v>2019/4</c:v>
                </c:pt>
                <c:pt idx="2">
                  <c:v>2020/4</c:v>
                </c:pt>
                <c:pt idx="3">
                  <c:v>2021/4*</c:v>
                </c:pt>
                <c:pt idx="4">
                  <c:v>2022/4*</c:v>
                </c:pt>
                <c:pt idx="5">
                  <c:v>2023/4*</c:v>
                </c:pt>
                <c:pt idx="6">
                  <c:v>2024/4*</c:v>
                </c:pt>
              </c:strCache>
            </c:strRef>
          </c:cat>
          <c:val>
            <c:numRef>
              <c:f>'[FanChart_MTEF_2022-2024_5.xlsx]Sheet2'!$E$4:$E$103</c:f>
              <c:numCache>
                <c:formatCode>General</c:formatCode>
                <c:ptCount val="7"/>
                <c:pt idx="3">
                  <c:v>0.45416401594915534</c:v>
                </c:pt>
                <c:pt idx="4">
                  <c:v>0.53435843534004279</c:v>
                </c:pt>
                <c:pt idx="5">
                  <c:v>0.55122996704714478</c:v>
                </c:pt>
                <c:pt idx="6">
                  <c:v>0.55505505738611127</c:v>
                </c:pt>
              </c:numCache>
            </c:numRef>
          </c:val>
          <c:extLst>
            <c:ext xmlns:c16="http://schemas.microsoft.com/office/drawing/2014/chart" uri="{C3380CC4-5D6E-409C-BE32-E72D297353CC}">
              <c16:uniqueId val="{00000003-EC93-46B7-8968-67F13ED4F636}"/>
            </c:ext>
          </c:extLst>
        </c:ser>
        <c:ser>
          <c:idx val="4"/>
          <c:order val="4"/>
          <c:tx>
            <c:strRef>
              <c:f>'[FanChart_MTEF_2022-2024_5.xlsx]Sheet2'!$F$3</c:f>
              <c:strCache>
                <c:ptCount val="1"/>
              </c:strCache>
            </c:strRef>
          </c:tx>
          <c:spPr>
            <a:solidFill>
              <a:srgbClr val="FF0000">
                <a:alpha val="50000"/>
              </a:srgbClr>
            </a:solidFill>
          </c:spPr>
          <c:cat>
            <c:strRef>
              <c:f>'[FanChart_MTEF_2022-2024_5.xlsx]Sheet2'!$A$4:$A$103</c:f>
              <c:strCache>
                <c:ptCount val="7"/>
                <c:pt idx="0">
                  <c:v>2018/4</c:v>
                </c:pt>
                <c:pt idx="1">
                  <c:v>2019/4</c:v>
                </c:pt>
                <c:pt idx="2">
                  <c:v>2020/4</c:v>
                </c:pt>
                <c:pt idx="3">
                  <c:v>2021/4*</c:v>
                </c:pt>
                <c:pt idx="4">
                  <c:v>2022/4*</c:v>
                </c:pt>
                <c:pt idx="5">
                  <c:v>2023/4*</c:v>
                </c:pt>
                <c:pt idx="6">
                  <c:v>2024/4*</c:v>
                </c:pt>
              </c:strCache>
            </c:strRef>
          </c:cat>
          <c:val>
            <c:numRef>
              <c:f>'[FanChart_MTEF_2022-2024_5.xlsx]Sheet2'!$F$4:$F$103</c:f>
              <c:numCache>
                <c:formatCode>General</c:formatCode>
                <c:ptCount val="7"/>
                <c:pt idx="3">
                  <c:v>0.38963228615359835</c:v>
                </c:pt>
                <c:pt idx="4">
                  <c:v>0.45843195734447839</c:v>
                </c:pt>
                <c:pt idx="5">
                  <c:v>0.47290622927950321</c:v>
                </c:pt>
                <c:pt idx="6">
                  <c:v>0.47618781619783501</c:v>
                </c:pt>
              </c:numCache>
            </c:numRef>
          </c:val>
          <c:extLst>
            <c:ext xmlns:c16="http://schemas.microsoft.com/office/drawing/2014/chart" uri="{C3380CC4-5D6E-409C-BE32-E72D297353CC}">
              <c16:uniqueId val="{00000004-EC93-46B7-8968-67F13ED4F636}"/>
            </c:ext>
          </c:extLst>
        </c:ser>
        <c:ser>
          <c:idx val="5"/>
          <c:order val="5"/>
          <c:tx>
            <c:strRef>
              <c:f>'[FanChart_MTEF_2022-2024_5.xlsx]Sheet2'!$G$3</c:f>
              <c:strCache>
                <c:ptCount val="1"/>
              </c:strCache>
            </c:strRef>
          </c:tx>
          <c:spPr>
            <a:solidFill>
              <a:srgbClr val="FF0000">
                <a:alpha val="60000"/>
              </a:srgbClr>
            </a:solidFill>
          </c:spPr>
          <c:cat>
            <c:strRef>
              <c:f>'[FanChart_MTEF_2022-2024_5.xlsx]Sheet2'!$A$4:$A$103</c:f>
              <c:strCache>
                <c:ptCount val="7"/>
                <c:pt idx="0">
                  <c:v>2018/4</c:v>
                </c:pt>
                <c:pt idx="1">
                  <c:v>2019/4</c:v>
                </c:pt>
                <c:pt idx="2">
                  <c:v>2020/4</c:v>
                </c:pt>
                <c:pt idx="3">
                  <c:v>2021/4*</c:v>
                </c:pt>
                <c:pt idx="4">
                  <c:v>2022/4*</c:v>
                </c:pt>
                <c:pt idx="5">
                  <c:v>2023/4*</c:v>
                </c:pt>
                <c:pt idx="6">
                  <c:v>2024/4*</c:v>
                </c:pt>
              </c:strCache>
            </c:strRef>
          </c:cat>
          <c:val>
            <c:numRef>
              <c:f>'[FanChart_MTEF_2022-2024_5.xlsx]Sheet2'!$G$4:$G$103</c:f>
              <c:numCache>
                <c:formatCode>General</c:formatCode>
                <c:ptCount val="7"/>
                <c:pt idx="3">
                  <c:v>0.34990183505797834</c:v>
                </c:pt>
                <c:pt idx="4">
                  <c:v>0.41168606613061787</c:v>
                </c:pt>
                <c:pt idx="5">
                  <c:v>0.4246844096744502</c:v>
                </c:pt>
                <c:pt idx="6">
                  <c:v>0.42763137614881952</c:v>
                </c:pt>
              </c:numCache>
            </c:numRef>
          </c:val>
          <c:extLst>
            <c:ext xmlns:c16="http://schemas.microsoft.com/office/drawing/2014/chart" uri="{C3380CC4-5D6E-409C-BE32-E72D297353CC}">
              <c16:uniqueId val="{00000005-EC93-46B7-8968-67F13ED4F636}"/>
            </c:ext>
          </c:extLst>
        </c:ser>
        <c:ser>
          <c:idx val="6"/>
          <c:order val="6"/>
          <c:tx>
            <c:strRef>
              <c:f>'[FanChart_MTEF_2022-2024_5.xlsx]Sheet2'!$H$3</c:f>
              <c:strCache>
                <c:ptCount val="1"/>
              </c:strCache>
            </c:strRef>
          </c:tx>
          <c:spPr>
            <a:solidFill>
              <a:srgbClr val="FF0000">
                <a:alpha val="70000"/>
              </a:srgbClr>
            </a:solidFill>
          </c:spPr>
          <c:cat>
            <c:strRef>
              <c:f>'[FanChart_MTEF_2022-2024_5.xlsx]Sheet2'!$A$4:$A$103</c:f>
              <c:strCache>
                <c:ptCount val="7"/>
                <c:pt idx="0">
                  <c:v>2018/4</c:v>
                </c:pt>
                <c:pt idx="1">
                  <c:v>2019/4</c:v>
                </c:pt>
                <c:pt idx="2">
                  <c:v>2020/4</c:v>
                </c:pt>
                <c:pt idx="3">
                  <c:v>2021/4*</c:v>
                </c:pt>
                <c:pt idx="4">
                  <c:v>2022/4*</c:v>
                </c:pt>
                <c:pt idx="5">
                  <c:v>2023/4*</c:v>
                </c:pt>
                <c:pt idx="6">
                  <c:v>2024/4*</c:v>
                </c:pt>
              </c:strCache>
            </c:strRef>
          </c:cat>
          <c:val>
            <c:numRef>
              <c:f>'[FanChart_MTEF_2022-2024_5.xlsx]Sheet2'!$H$4:$H$103</c:f>
              <c:numCache>
                <c:formatCode>General</c:formatCode>
                <c:ptCount val="7"/>
                <c:pt idx="3">
                  <c:v>0.32423619597881981</c:v>
                </c:pt>
                <c:pt idx="4">
                  <c:v>0.38148849375870952</c:v>
                </c:pt>
                <c:pt idx="5">
                  <c:v>0.39353339619250072</c:v>
                </c:pt>
                <c:pt idx="6">
                  <c:v>0.39626419981680394</c:v>
                </c:pt>
              </c:numCache>
            </c:numRef>
          </c:val>
          <c:extLst>
            <c:ext xmlns:c16="http://schemas.microsoft.com/office/drawing/2014/chart" uri="{C3380CC4-5D6E-409C-BE32-E72D297353CC}">
              <c16:uniqueId val="{00000006-EC93-46B7-8968-67F13ED4F636}"/>
            </c:ext>
          </c:extLst>
        </c:ser>
        <c:ser>
          <c:idx val="7"/>
          <c:order val="7"/>
          <c:tx>
            <c:strRef>
              <c:f>'[FanChart_MTEF_2022-2024_5.xlsx]Sheet2'!$I$3</c:f>
              <c:strCache>
                <c:ptCount val="1"/>
              </c:strCache>
            </c:strRef>
          </c:tx>
          <c:spPr>
            <a:solidFill>
              <a:srgbClr val="FF0000">
                <a:alpha val="80000"/>
              </a:srgbClr>
            </a:solidFill>
          </c:spPr>
          <c:cat>
            <c:strRef>
              <c:f>'[FanChart_MTEF_2022-2024_5.xlsx]Sheet2'!$A$4:$A$103</c:f>
              <c:strCache>
                <c:ptCount val="7"/>
                <c:pt idx="0">
                  <c:v>2018/4</c:v>
                </c:pt>
                <c:pt idx="1">
                  <c:v>2019/4</c:v>
                </c:pt>
                <c:pt idx="2">
                  <c:v>2020/4</c:v>
                </c:pt>
                <c:pt idx="3">
                  <c:v>2021/4*</c:v>
                </c:pt>
                <c:pt idx="4">
                  <c:v>2022/4*</c:v>
                </c:pt>
                <c:pt idx="5">
                  <c:v>2023/4*</c:v>
                </c:pt>
                <c:pt idx="6">
                  <c:v>2024/4*</c:v>
                </c:pt>
              </c:strCache>
            </c:strRef>
          </c:cat>
          <c:val>
            <c:numRef>
              <c:f>'[FanChart_MTEF_2022-2024_5.xlsx]Sheet2'!$I$4:$I$103</c:f>
              <c:numCache>
                <c:formatCode>General</c:formatCode>
                <c:ptCount val="7"/>
                <c:pt idx="3">
                  <c:v>0.30766844285716477</c:v>
                </c:pt>
                <c:pt idx="4">
                  <c:v>0.36199527473587345</c:v>
                </c:pt>
                <c:pt idx="5">
                  <c:v>0.37342470927196558</c:v>
                </c:pt>
                <c:pt idx="6">
                  <c:v>0.37601597486556004</c:v>
                </c:pt>
              </c:numCache>
            </c:numRef>
          </c:val>
          <c:extLst>
            <c:ext xmlns:c16="http://schemas.microsoft.com/office/drawing/2014/chart" uri="{C3380CC4-5D6E-409C-BE32-E72D297353CC}">
              <c16:uniqueId val="{00000007-EC93-46B7-8968-67F13ED4F636}"/>
            </c:ext>
          </c:extLst>
        </c:ser>
        <c:ser>
          <c:idx val="8"/>
          <c:order val="8"/>
          <c:tx>
            <c:strRef>
              <c:f>'[FanChart_MTEF_2022-2024_5.xlsx]Sheet2'!$J$3</c:f>
              <c:strCache>
                <c:ptCount val="1"/>
              </c:strCache>
            </c:strRef>
          </c:tx>
          <c:spPr>
            <a:solidFill>
              <a:srgbClr val="FF0000">
                <a:alpha val="90000"/>
              </a:srgbClr>
            </a:solidFill>
          </c:spPr>
          <c:cat>
            <c:strRef>
              <c:f>'[FanChart_MTEF_2022-2024_5.xlsx]Sheet2'!$A$4:$A$103</c:f>
              <c:strCache>
                <c:ptCount val="7"/>
                <c:pt idx="0">
                  <c:v>2018/4</c:v>
                </c:pt>
                <c:pt idx="1">
                  <c:v>2019/4</c:v>
                </c:pt>
                <c:pt idx="2">
                  <c:v>2020/4</c:v>
                </c:pt>
                <c:pt idx="3">
                  <c:v>2021/4*</c:v>
                </c:pt>
                <c:pt idx="4">
                  <c:v>2022/4*</c:v>
                </c:pt>
                <c:pt idx="5">
                  <c:v>2023/4*</c:v>
                </c:pt>
                <c:pt idx="6">
                  <c:v>2024/4*</c:v>
                </c:pt>
              </c:strCache>
            </c:strRef>
          </c:cat>
          <c:val>
            <c:numRef>
              <c:f>'[FanChart_MTEF_2022-2024_5.xlsx]Sheet2'!$J$4:$J$103</c:f>
              <c:numCache>
                <c:formatCode>General</c:formatCode>
                <c:ptCount val="7"/>
                <c:pt idx="3">
                  <c:v>0.29767277908218759</c:v>
                </c:pt>
                <c:pt idx="4">
                  <c:v>0.35023461764414066</c:v>
                </c:pt>
                <c:pt idx="5">
                  <c:v>0.36129272782957722</c:v>
                </c:pt>
                <c:pt idx="6">
                  <c:v>0.36379980727985251</c:v>
                </c:pt>
              </c:numCache>
            </c:numRef>
          </c:val>
          <c:extLst>
            <c:ext xmlns:c16="http://schemas.microsoft.com/office/drawing/2014/chart" uri="{C3380CC4-5D6E-409C-BE32-E72D297353CC}">
              <c16:uniqueId val="{00000008-EC93-46B7-8968-67F13ED4F636}"/>
            </c:ext>
          </c:extLst>
        </c:ser>
        <c:ser>
          <c:idx val="9"/>
          <c:order val="9"/>
          <c:tx>
            <c:strRef>
              <c:f>'[FanChart_MTEF_2022-2024_5.xlsx]Sheet2'!$K$3</c:f>
              <c:strCache>
                <c:ptCount val="1"/>
              </c:strCache>
            </c:strRef>
          </c:tx>
          <c:spPr>
            <a:solidFill>
              <a:srgbClr val="FF0000"/>
            </a:solidFill>
            <a:ln>
              <a:solidFill>
                <a:srgbClr val="FF0000"/>
              </a:solidFill>
              <a:prstDash val="solid"/>
            </a:ln>
          </c:spPr>
          <c:cat>
            <c:strRef>
              <c:f>'[FanChart_MTEF_2022-2024_5.xlsx]Sheet2'!$A$4:$A$103</c:f>
              <c:strCache>
                <c:ptCount val="7"/>
                <c:pt idx="0">
                  <c:v>2018/4</c:v>
                </c:pt>
                <c:pt idx="1">
                  <c:v>2019/4</c:v>
                </c:pt>
                <c:pt idx="2">
                  <c:v>2020/4</c:v>
                </c:pt>
                <c:pt idx="3">
                  <c:v>2021/4*</c:v>
                </c:pt>
                <c:pt idx="4">
                  <c:v>2022/4*</c:v>
                </c:pt>
                <c:pt idx="5">
                  <c:v>2023/4*</c:v>
                </c:pt>
                <c:pt idx="6">
                  <c:v>2024/4*</c:v>
                </c:pt>
              </c:strCache>
            </c:strRef>
          </c:cat>
          <c:val>
            <c:numRef>
              <c:f>'[FanChart_MTEF_2022-2024_5.xlsx]Sheet2'!$K$4:$K$103</c:f>
              <c:numCache>
                <c:formatCode>General</c:formatCode>
                <c:ptCount val="7"/>
                <c:pt idx="3">
                  <c:v>0.58590657926356648</c:v>
                </c:pt>
                <c:pt idx="4">
                  <c:v>0.68936356020281053</c:v>
                </c:pt>
                <c:pt idx="5">
                  <c:v>0.71112913625529872</c:v>
                </c:pt>
                <c:pt idx="6">
                  <c:v>0.71606379756085126</c:v>
                </c:pt>
              </c:numCache>
            </c:numRef>
          </c:val>
          <c:extLst>
            <c:ext xmlns:c16="http://schemas.microsoft.com/office/drawing/2014/chart" uri="{C3380CC4-5D6E-409C-BE32-E72D297353CC}">
              <c16:uniqueId val="{00000009-EC93-46B7-8968-67F13ED4F636}"/>
            </c:ext>
          </c:extLst>
        </c:ser>
        <c:ser>
          <c:idx val="10"/>
          <c:order val="10"/>
          <c:tx>
            <c:strRef>
              <c:f>'[FanChart_MTEF_2022-2024_5.xlsx]Sheet2'!$L$3</c:f>
              <c:strCache>
                <c:ptCount val="1"/>
              </c:strCache>
            </c:strRef>
          </c:tx>
          <c:spPr>
            <a:solidFill>
              <a:srgbClr val="FF0000">
                <a:alpha val="90000"/>
              </a:srgbClr>
            </a:solidFill>
          </c:spPr>
          <c:cat>
            <c:strRef>
              <c:f>'[FanChart_MTEF_2022-2024_5.xlsx]Sheet2'!$A$4:$A$103</c:f>
              <c:strCache>
                <c:ptCount val="7"/>
                <c:pt idx="0">
                  <c:v>2018/4</c:v>
                </c:pt>
                <c:pt idx="1">
                  <c:v>2019/4</c:v>
                </c:pt>
                <c:pt idx="2">
                  <c:v>2020/4</c:v>
                </c:pt>
                <c:pt idx="3">
                  <c:v>2021/4*</c:v>
                </c:pt>
                <c:pt idx="4">
                  <c:v>2022/4*</c:v>
                </c:pt>
                <c:pt idx="5">
                  <c:v>2023/4*</c:v>
                </c:pt>
                <c:pt idx="6">
                  <c:v>2024/4*</c:v>
                </c:pt>
              </c:strCache>
            </c:strRef>
          </c:cat>
          <c:val>
            <c:numRef>
              <c:f>'[FanChart_MTEF_2022-2024_5.xlsx]Sheet2'!$L$4:$L$103</c:f>
              <c:numCache>
                <c:formatCode>General</c:formatCode>
                <c:ptCount val="7"/>
                <c:pt idx="3">
                  <c:v>0.29767277908218848</c:v>
                </c:pt>
                <c:pt idx="4">
                  <c:v>0.35023461764414243</c:v>
                </c:pt>
                <c:pt idx="5">
                  <c:v>0.36129272782957944</c:v>
                </c:pt>
                <c:pt idx="6">
                  <c:v>0.36379980727985384</c:v>
                </c:pt>
              </c:numCache>
            </c:numRef>
          </c:val>
          <c:extLst>
            <c:ext xmlns:c16="http://schemas.microsoft.com/office/drawing/2014/chart" uri="{C3380CC4-5D6E-409C-BE32-E72D297353CC}">
              <c16:uniqueId val="{0000000A-EC93-46B7-8968-67F13ED4F636}"/>
            </c:ext>
          </c:extLst>
        </c:ser>
        <c:ser>
          <c:idx val="11"/>
          <c:order val="11"/>
          <c:tx>
            <c:strRef>
              <c:f>'[FanChart_MTEF_2022-2024_5.xlsx]Sheet2'!$M$3</c:f>
              <c:strCache>
                <c:ptCount val="1"/>
              </c:strCache>
            </c:strRef>
          </c:tx>
          <c:spPr>
            <a:solidFill>
              <a:srgbClr val="FF0000">
                <a:alpha val="80000"/>
              </a:srgbClr>
            </a:solidFill>
          </c:spPr>
          <c:cat>
            <c:strRef>
              <c:f>'[FanChart_MTEF_2022-2024_5.xlsx]Sheet2'!$A$4:$A$103</c:f>
              <c:strCache>
                <c:ptCount val="7"/>
                <c:pt idx="0">
                  <c:v>2018/4</c:v>
                </c:pt>
                <c:pt idx="1">
                  <c:v>2019/4</c:v>
                </c:pt>
                <c:pt idx="2">
                  <c:v>2020/4</c:v>
                </c:pt>
                <c:pt idx="3">
                  <c:v>2021/4*</c:v>
                </c:pt>
                <c:pt idx="4">
                  <c:v>2022/4*</c:v>
                </c:pt>
                <c:pt idx="5">
                  <c:v>2023/4*</c:v>
                </c:pt>
                <c:pt idx="6">
                  <c:v>2024/4*</c:v>
                </c:pt>
              </c:strCache>
            </c:strRef>
          </c:cat>
          <c:val>
            <c:numRef>
              <c:f>'[FanChart_MTEF_2022-2024_5.xlsx]Sheet2'!$M$4:$M$103</c:f>
              <c:numCache>
                <c:formatCode>General</c:formatCode>
                <c:ptCount val="7"/>
                <c:pt idx="3">
                  <c:v>0.30766844285716388</c:v>
                </c:pt>
                <c:pt idx="4">
                  <c:v>0.36199527473587167</c:v>
                </c:pt>
                <c:pt idx="5">
                  <c:v>0.37342470927196292</c:v>
                </c:pt>
                <c:pt idx="6">
                  <c:v>0.37601597486555871</c:v>
                </c:pt>
              </c:numCache>
            </c:numRef>
          </c:val>
          <c:extLst>
            <c:ext xmlns:c16="http://schemas.microsoft.com/office/drawing/2014/chart" uri="{C3380CC4-5D6E-409C-BE32-E72D297353CC}">
              <c16:uniqueId val="{0000000B-EC93-46B7-8968-67F13ED4F636}"/>
            </c:ext>
          </c:extLst>
        </c:ser>
        <c:ser>
          <c:idx val="12"/>
          <c:order val="12"/>
          <c:tx>
            <c:strRef>
              <c:f>'[FanChart_MTEF_2022-2024_5.xlsx]Sheet2'!$N$3</c:f>
              <c:strCache>
                <c:ptCount val="1"/>
              </c:strCache>
            </c:strRef>
          </c:tx>
          <c:spPr>
            <a:solidFill>
              <a:srgbClr val="FF0000">
                <a:alpha val="70000"/>
              </a:srgbClr>
            </a:solidFill>
          </c:spPr>
          <c:cat>
            <c:strRef>
              <c:f>'[FanChart_MTEF_2022-2024_5.xlsx]Sheet2'!$A$4:$A$103</c:f>
              <c:strCache>
                <c:ptCount val="7"/>
                <c:pt idx="0">
                  <c:v>2018/4</c:v>
                </c:pt>
                <c:pt idx="1">
                  <c:v>2019/4</c:v>
                </c:pt>
                <c:pt idx="2">
                  <c:v>2020/4</c:v>
                </c:pt>
                <c:pt idx="3">
                  <c:v>2021/4*</c:v>
                </c:pt>
                <c:pt idx="4">
                  <c:v>2022/4*</c:v>
                </c:pt>
                <c:pt idx="5">
                  <c:v>2023/4*</c:v>
                </c:pt>
                <c:pt idx="6">
                  <c:v>2024/4*</c:v>
                </c:pt>
              </c:strCache>
            </c:strRef>
          </c:cat>
          <c:val>
            <c:numRef>
              <c:f>'[FanChart_MTEF_2022-2024_5.xlsx]Sheet2'!$N$4:$N$103</c:f>
              <c:numCache>
                <c:formatCode>General</c:formatCode>
                <c:ptCount val="7"/>
                <c:pt idx="3">
                  <c:v>0.3242361959788207</c:v>
                </c:pt>
                <c:pt idx="4">
                  <c:v>0.38148849375870952</c:v>
                </c:pt>
                <c:pt idx="5">
                  <c:v>0.39353339619250249</c:v>
                </c:pt>
                <c:pt idx="6">
                  <c:v>0.39626419981680439</c:v>
                </c:pt>
              </c:numCache>
            </c:numRef>
          </c:val>
          <c:extLst>
            <c:ext xmlns:c16="http://schemas.microsoft.com/office/drawing/2014/chart" uri="{C3380CC4-5D6E-409C-BE32-E72D297353CC}">
              <c16:uniqueId val="{0000000C-EC93-46B7-8968-67F13ED4F636}"/>
            </c:ext>
          </c:extLst>
        </c:ser>
        <c:ser>
          <c:idx val="13"/>
          <c:order val="13"/>
          <c:tx>
            <c:strRef>
              <c:f>'[FanChart_MTEF_2022-2024_5.xlsx]Sheet2'!$O$3</c:f>
              <c:strCache>
                <c:ptCount val="1"/>
              </c:strCache>
            </c:strRef>
          </c:tx>
          <c:spPr>
            <a:solidFill>
              <a:srgbClr val="FF0000">
                <a:alpha val="60000"/>
              </a:srgbClr>
            </a:solidFill>
          </c:spPr>
          <c:cat>
            <c:strRef>
              <c:f>'[FanChart_MTEF_2022-2024_5.xlsx]Sheet2'!$A$4:$A$103</c:f>
              <c:strCache>
                <c:ptCount val="7"/>
                <c:pt idx="0">
                  <c:v>2018/4</c:v>
                </c:pt>
                <c:pt idx="1">
                  <c:v>2019/4</c:v>
                </c:pt>
                <c:pt idx="2">
                  <c:v>2020/4</c:v>
                </c:pt>
                <c:pt idx="3">
                  <c:v>2021/4*</c:v>
                </c:pt>
                <c:pt idx="4">
                  <c:v>2022/4*</c:v>
                </c:pt>
                <c:pt idx="5">
                  <c:v>2023/4*</c:v>
                </c:pt>
                <c:pt idx="6">
                  <c:v>2024/4*</c:v>
                </c:pt>
              </c:strCache>
            </c:strRef>
          </c:cat>
          <c:val>
            <c:numRef>
              <c:f>'[FanChart_MTEF_2022-2024_5.xlsx]Sheet2'!$O$4:$O$103</c:f>
              <c:numCache>
                <c:formatCode>General</c:formatCode>
                <c:ptCount val="7"/>
                <c:pt idx="3">
                  <c:v>0.34990183505797745</c:v>
                </c:pt>
                <c:pt idx="4">
                  <c:v>0.41168606613061787</c:v>
                </c:pt>
                <c:pt idx="5">
                  <c:v>0.42468440967444909</c:v>
                </c:pt>
                <c:pt idx="6">
                  <c:v>0.42763137614881952</c:v>
                </c:pt>
              </c:numCache>
            </c:numRef>
          </c:val>
          <c:extLst>
            <c:ext xmlns:c16="http://schemas.microsoft.com/office/drawing/2014/chart" uri="{C3380CC4-5D6E-409C-BE32-E72D297353CC}">
              <c16:uniqueId val="{0000000D-EC93-46B7-8968-67F13ED4F636}"/>
            </c:ext>
          </c:extLst>
        </c:ser>
        <c:ser>
          <c:idx val="14"/>
          <c:order val="14"/>
          <c:tx>
            <c:strRef>
              <c:f>'[FanChart_MTEF_2022-2024_5.xlsx]Sheet2'!$P$3</c:f>
              <c:strCache>
                <c:ptCount val="1"/>
              </c:strCache>
            </c:strRef>
          </c:tx>
          <c:spPr>
            <a:solidFill>
              <a:srgbClr val="FF0000">
                <a:alpha val="50000"/>
              </a:srgbClr>
            </a:solidFill>
          </c:spPr>
          <c:cat>
            <c:strRef>
              <c:f>'[FanChart_MTEF_2022-2024_5.xlsx]Sheet2'!$A$4:$A$103</c:f>
              <c:strCache>
                <c:ptCount val="7"/>
                <c:pt idx="0">
                  <c:v>2018/4</c:v>
                </c:pt>
                <c:pt idx="1">
                  <c:v>2019/4</c:v>
                </c:pt>
                <c:pt idx="2">
                  <c:v>2020/4</c:v>
                </c:pt>
                <c:pt idx="3">
                  <c:v>2021/4*</c:v>
                </c:pt>
                <c:pt idx="4">
                  <c:v>2022/4*</c:v>
                </c:pt>
                <c:pt idx="5">
                  <c:v>2023/4*</c:v>
                </c:pt>
                <c:pt idx="6">
                  <c:v>2024/4*</c:v>
                </c:pt>
              </c:strCache>
            </c:strRef>
          </c:cat>
          <c:val>
            <c:numRef>
              <c:f>'[FanChart_MTEF_2022-2024_5.xlsx]Sheet2'!$P$4:$P$103</c:f>
              <c:numCache>
                <c:formatCode>General</c:formatCode>
                <c:ptCount val="7"/>
                <c:pt idx="3">
                  <c:v>0.38963228615359924</c:v>
                </c:pt>
                <c:pt idx="4">
                  <c:v>0.45843195734447928</c:v>
                </c:pt>
                <c:pt idx="5">
                  <c:v>0.47290622927950476</c:v>
                </c:pt>
                <c:pt idx="6">
                  <c:v>0.4761878161978359</c:v>
                </c:pt>
              </c:numCache>
            </c:numRef>
          </c:val>
          <c:extLst>
            <c:ext xmlns:c16="http://schemas.microsoft.com/office/drawing/2014/chart" uri="{C3380CC4-5D6E-409C-BE32-E72D297353CC}">
              <c16:uniqueId val="{0000000E-EC93-46B7-8968-67F13ED4F636}"/>
            </c:ext>
          </c:extLst>
        </c:ser>
        <c:ser>
          <c:idx val="15"/>
          <c:order val="15"/>
          <c:tx>
            <c:strRef>
              <c:f>'[FanChart_MTEF_2022-2024_5.xlsx]Sheet2'!$Q$3</c:f>
              <c:strCache>
                <c:ptCount val="1"/>
              </c:strCache>
            </c:strRef>
          </c:tx>
          <c:spPr>
            <a:solidFill>
              <a:srgbClr val="FF0000">
                <a:alpha val="40000"/>
              </a:srgbClr>
            </a:solidFill>
          </c:spPr>
          <c:cat>
            <c:strRef>
              <c:f>'[FanChart_MTEF_2022-2024_5.xlsx]Sheet2'!$A$4:$A$103</c:f>
              <c:strCache>
                <c:ptCount val="7"/>
                <c:pt idx="0">
                  <c:v>2018/4</c:v>
                </c:pt>
                <c:pt idx="1">
                  <c:v>2019/4</c:v>
                </c:pt>
                <c:pt idx="2">
                  <c:v>2020/4</c:v>
                </c:pt>
                <c:pt idx="3">
                  <c:v>2021/4*</c:v>
                </c:pt>
                <c:pt idx="4">
                  <c:v>2022/4*</c:v>
                </c:pt>
                <c:pt idx="5">
                  <c:v>2023/4*</c:v>
                </c:pt>
                <c:pt idx="6">
                  <c:v>2024/4*</c:v>
                </c:pt>
              </c:strCache>
            </c:strRef>
          </c:cat>
          <c:val>
            <c:numRef>
              <c:f>'[FanChart_MTEF_2022-2024_5.xlsx]Sheet2'!$Q$4:$Q$103</c:f>
              <c:numCache>
                <c:formatCode>General</c:formatCode>
                <c:ptCount val="7"/>
                <c:pt idx="3">
                  <c:v>0.45416401594915623</c:v>
                </c:pt>
                <c:pt idx="4">
                  <c:v>0.53435843534004235</c:v>
                </c:pt>
                <c:pt idx="5">
                  <c:v>0.55122996704714478</c:v>
                </c:pt>
                <c:pt idx="6">
                  <c:v>0.55505505738611127</c:v>
                </c:pt>
              </c:numCache>
            </c:numRef>
          </c:val>
          <c:extLst>
            <c:ext xmlns:c16="http://schemas.microsoft.com/office/drawing/2014/chart" uri="{C3380CC4-5D6E-409C-BE32-E72D297353CC}">
              <c16:uniqueId val="{0000000F-EC93-46B7-8968-67F13ED4F636}"/>
            </c:ext>
          </c:extLst>
        </c:ser>
        <c:ser>
          <c:idx val="16"/>
          <c:order val="16"/>
          <c:tx>
            <c:strRef>
              <c:f>'[FanChart_MTEF_2022-2024_5.xlsx]Sheet2'!$R$3</c:f>
              <c:strCache>
                <c:ptCount val="1"/>
              </c:strCache>
            </c:strRef>
          </c:tx>
          <c:spPr>
            <a:solidFill>
              <a:srgbClr val="FF0000">
                <a:alpha val="30000"/>
              </a:srgbClr>
            </a:solidFill>
          </c:spPr>
          <c:cat>
            <c:strRef>
              <c:f>'[FanChart_MTEF_2022-2024_5.xlsx]Sheet2'!$A$4:$A$103</c:f>
              <c:strCache>
                <c:ptCount val="7"/>
                <c:pt idx="0">
                  <c:v>2018/4</c:v>
                </c:pt>
                <c:pt idx="1">
                  <c:v>2019/4</c:v>
                </c:pt>
                <c:pt idx="2">
                  <c:v>2020/4</c:v>
                </c:pt>
                <c:pt idx="3">
                  <c:v>2021/4*</c:v>
                </c:pt>
                <c:pt idx="4">
                  <c:v>2022/4*</c:v>
                </c:pt>
                <c:pt idx="5">
                  <c:v>2023/4*</c:v>
                </c:pt>
                <c:pt idx="6">
                  <c:v>2024/4*</c:v>
                </c:pt>
              </c:strCache>
            </c:strRef>
          </c:cat>
          <c:val>
            <c:numRef>
              <c:f>'[FanChart_MTEF_2022-2024_5.xlsx]Sheet2'!$R$4:$R$103</c:f>
              <c:numCache>
                <c:formatCode>General</c:formatCode>
                <c:ptCount val="7"/>
                <c:pt idx="3">
                  <c:v>0.57144203702865326</c:v>
                </c:pt>
                <c:pt idx="4">
                  <c:v>0.67234492841974358</c:v>
                </c:pt>
                <c:pt idx="5">
                  <c:v>0.69357316779566691</c:v>
                </c:pt>
                <c:pt idx="6">
                  <c:v>0.69838600487292801</c:v>
                </c:pt>
              </c:numCache>
            </c:numRef>
          </c:val>
          <c:extLst>
            <c:ext xmlns:c16="http://schemas.microsoft.com/office/drawing/2014/chart" uri="{C3380CC4-5D6E-409C-BE32-E72D297353CC}">
              <c16:uniqueId val="{00000010-EC93-46B7-8968-67F13ED4F636}"/>
            </c:ext>
          </c:extLst>
        </c:ser>
        <c:ser>
          <c:idx val="17"/>
          <c:order val="17"/>
          <c:tx>
            <c:strRef>
              <c:f>'[FanChart_MTEF_2022-2024_5.xlsx]Sheet2'!$S$3</c:f>
              <c:strCache>
                <c:ptCount val="1"/>
              </c:strCache>
            </c:strRef>
          </c:tx>
          <c:spPr>
            <a:solidFill>
              <a:srgbClr val="FF0000">
                <a:alpha val="20000"/>
              </a:srgbClr>
            </a:solidFill>
          </c:spPr>
          <c:cat>
            <c:strRef>
              <c:f>'[FanChart_MTEF_2022-2024_5.xlsx]Sheet2'!$A$4:$A$103</c:f>
              <c:strCache>
                <c:ptCount val="7"/>
                <c:pt idx="0">
                  <c:v>2018/4</c:v>
                </c:pt>
                <c:pt idx="1">
                  <c:v>2019/4</c:v>
                </c:pt>
                <c:pt idx="2">
                  <c:v>2020/4</c:v>
                </c:pt>
                <c:pt idx="3">
                  <c:v>2021/4*</c:v>
                </c:pt>
                <c:pt idx="4">
                  <c:v>2022/4*</c:v>
                </c:pt>
                <c:pt idx="5">
                  <c:v>2023/4*</c:v>
                </c:pt>
                <c:pt idx="6">
                  <c:v>2024/4*</c:v>
                </c:pt>
              </c:strCache>
            </c:strRef>
          </c:cat>
          <c:val>
            <c:numRef>
              <c:f>'[FanChart_MTEF_2022-2024_5.xlsx]Sheet2'!$S$4:$S$103</c:f>
              <c:numCache>
                <c:formatCode>General</c:formatCode>
                <c:ptCount val="7"/>
                <c:pt idx="3">
                  <c:v>0.84696318066603382</c:v>
                </c:pt>
                <c:pt idx="4">
                  <c:v>0.9965164656770078</c:v>
                </c:pt>
                <c:pt idx="5">
                  <c:v>1.0279799142452326</c:v>
                </c:pt>
                <c:pt idx="6">
                  <c:v>1.0351132637974985</c:v>
                </c:pt>
              </c:numCache>
            </c:numRef>
          </c:val>
          <c:extLst>
            <c:ext xmlns:c16="http://schemas.microsoft.com/office/drawing/2014/chart" uri="{C3380CC4-5D6E-409C-BE32-E72D297353CC}">
              <c16:uniqueId val="{00000011-EC93-46B7-8968-67F13ED4F636}"/>
            </c:ext>
          </c:extLst>
        </c:ser>
        <c:dLbls>
          <c:showLegendKey val="0"/>
          <c:showVal val="0"/>
          <c:showCatName val="0"/>
          <c:showSerName val="0"/>
          <c:showPercent val="0"/>
          <c:showBubbleSize val="0"/>
        </c:dLbls>
        <c:axId val="115763072"/>
        <c:axId val="115764608"/>
      </c:areaChart>
      <c:catAx>
        <c:axId val="115763072"/>
        <c:scaling>
          <c:orientation val="minMax"/>
        </c:scaling>
        <c:delete val="0"/>
        <c:axPos val="b"/>
        <c:numFmt formatCode="General" sourceLinked="1"/>
        <c:majorTickMark val="out"/>
        <c:minorTickMark val="none"/>
        <c:tickLblPos val="nextTo"/>
        <c:crossAx val="115764608"/>
        <c:crosses val="autoZero"/>
        <c:auto val="1"/>
        <c:lblAlgn val="ctr"/>
        <c:lblOffset val="100"/>
        <c:noMultiLvlLbl val="0"/>
      </c:catAx>
      <c:valAx>
        <c:axId val="115764608"/>
        <c:scaling>
          <c:orientation val="minMax"/>
        </c:scaling>
        <c:delete val="0"/>
        <c:axPos val="l"/>
        <c:majorGridlines/>
        <c:numFmt formatCode="General" sourceLinked="1"/>
        <c:majorTickMark val="out"/>
        <c:minorTickMark val="none"/>
        <c:tickLblPos val="nextTo"/>
        <c:crossAx val="115763072"/>
        <c:crosses val="autoZero"/>
        <c:crossBetween val="between"/>
      </c:valAx>
    </c:plotArea>
    <c:legend>
      <c:legendPos val="r"/>
      <c:layout/>
      <c:overlay val="0"/>
    </c:legend>
    <c:plotVisOnly val="1"/>
    <c:dispBlanksAs val="gap"/>
    <c:showDLblsOverMax val="0"/>
    <c:extLs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41695869968373"/>
          <c:y val="5.587624951136428E-2"/>
          <c:w val="0.81956564821662481"/>
          <c:h val="0.665637348522924"/>
        </c:manualLayout>
      </c:layout>
      <c:lineChart>
        <c:grouping val="standard"/>
        <c:varyColors val="0"/>
        <c:ser>
          <c:idx val="0"/>
          <c:order val="0"/>
          <c:tx>
            <c:strRef>
              <c:f>Sheet1!$B$1</c:f>
              <c:strCache>
                <c:ptCount val="1"/>
                <c:pt idx="0">
                  <c:v>Հայաստան (2025թ.)</c:v>
                </c:pt>
              </c:strCache>
            </c:strRef>
          </c:tx>
          <c:spPr>
            <a:ln w="28575" cap="rnd">
              <a:solidFill>
                <a:schemeClr val="accent1"/>
              </a:solidFill>
              <a:round/>
            </a:ln>
            <a:effectLst/>
          </c:spPr>
          <c:marker>
            <c:symbol val="none"/>
          </c:marker>
          <c:cat>
            <c:numRef>
              <c:f>Sheet1!$A$2:$A$625</c:f>
              <c:numCache>
                <c:formatCode>m\/d\/yyyy</c:formatCode>
                <c:ptCount val="624"/>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numCache>
            </c:numRef>
          </c:cat>
          <c:val>
            <c:numRef>
              <c:f>Sheet1!$B$2:$B$625</c:f>
              <c:numCache>
                <c:formatCode>0</c:formatCode>
                <c:ptCount val="624"/>
                <c:pt idx="0">
                  <c:v>349.47500000000002</c:v>
                </c:pt>
                <c:pt idx="1">
                  <c:v>352.94799999999998</c:v>
                </c:pt>
                <c:pt idx="2">
                  <c:v>360.71100000000001</c:v>
                </c:pt>
                <c:pt idx="3">
                  <c:v>346.64499999999998</c:v>
                </c:pt>
                <c:pt idx="4">
                  <c:v>333.41800000000001</c:v>
                </c:pt>
                <c:pt idx="5">
                  <c:v>327.08300000000003</c:v>
                </c:pt>
                <c:pt idx="6">
                  <c:v>328.05900000000003</c:v>
                </c:pt>
                <c:pt idx="7">
                  <c:v>327.00799999999998</c:v>
                </c:pt>
                <c:pt idx="8">
                  <c:v>328.87900000000002</c:v>
                </c:pt>
                <c:pt idx="9">
                  <c:v>327.29500000000002</c:v>
                </c:pt>
                <c:pt idx="10">
                  <c:v>323.40800000000002</c:v>
                </c:pt>
                <c:pt idx="11">
                  <c:v>317.42200000000003</c:v>
                </c:pt>
                <c:pt idx="12">
                  <c:v>312.34699999999998</c:v>
                </c:pt>
                <c:pt idx="13">
                  <c:v>284.11</c:v>
                </c:pt>
                <c:pt idx="14">
                  <c:v>288.69499999999999</c:v>
                </c:pt>
                <c:pt idx="15">
                  <c:v>285.29399999999998</c:v>
                </c:pt>
                <c:pt idx="16">
                  <c:v>284.07600000000002</c:v>
                </c:pt>
                <c:pt idx="17">
                  <c:v>279.541</c:v>
                </c:pt>
                <c:pt idx="18">
                  <c:v>280.17700000000002</c:v>
                </c:pt>
                <c:pt idx="19">
                  <c:v>285.596</c:v>
                </c:pt>
                <c:pt idx="20">
                  <c:v>292.20100000000002</c:v>
                </c:pt>
                <c:pt idx="21">
                  <c:v>295.45499999999998</c:v>
                </c:pt>
                <c:pt idx="22">
                  <c:v>291.26400000000001</c:v>
                </c:pt>
                <c:pt idx="23">
                  <c:v>284.47000000000003</c:v>
                </c:pt>
                <c:pt idx="24">
                  <c:v>281.05799999999999</c:v>
                </c:pt>
                <c:pt idx="25">
                  <c:v>272.69</c:v>
                </c:pt>
                <c:pt idx="26">
                  <c:v>274.69900000000001</c:v>
                </c:pt>
                <c:pt idx="27">
                  <c:v>274.39999999999998</c:v>
                </c:pt>
                <c:pt idx="28">
                  <c:v>277.911</c:v>
                </c:pt>
                <c:pt idx="29">
                  <c:v>277.22300000000001</c:v>
                </c:pt>
                <c:pt idx="30">
                  <c:v>271.29500000000002</c:v>
                </c:pt>
                <c:pt idx="31">
                  <c:v>264.51299999999998</c:v>
                </c:pt>
                <c:pt idx="32">
                  <c:v>269.43</c:v>
                </c:pt>
                <c:pt idx="33">
                  <c:v>268.61900000000003</c:v>
                </c:pt>
                <c:pt idx="34">
                  <c:v>268.214</c:v>
                </c:pt>
                <c:pt idx="35">
                  <c:v>268.15199999999999</c:v>
                </c:pt>
                <c:pt idx="36">
                  <c:v>265.80200000000002</c:v>
                </c:pt>
                <c:pt idx="37">
                  <c:v>266.00299999999999</c:v>
                </c:pt>
                <c:pt idx="38">
                  <c:v>267.53199999999998</c:v>
                </c:pt>
                <c:pt idx="39">
                  <c:v>265.25</c:v>
                </c:pt>
                <c:pt idx="40">
                  <c:v>267.57799999999997</c:v>
                </c:pt>
                <c:pt idx="41">
                  <c:v>257.74599999999998</c:v>
                </c:pt>
                <c:pt idx="42">
                  <c:v>251.11</c:v>
                </c:pt>
                <c:pt idx="43">
                  <c:v>250.22499999999999</c:v>
                </c:pt>
                <c:pt idx="44">
                  <c:v>251.34700000000001</c:v>
                </c:pt>
                <c:pt idx="45">
                  <c:v>253.07</c:v>
                </c:pt>
                <c:pt idx="46">
                  <c:v>253.52</c:v>
                </c:pt>
                <c:pt idx="47">
                  <c:v>255.77099999999999</c:v>
                </c:pt>
                <c:pt idx="48">
                  <c:v>254.97800000000001</c:v>
                </c:pt>
                <c:pt idx="49">
                  <c:v>253.73599999999999</c:v>
                </c:pt>
                <c:pt idx="50">
                  <c:v>255.499</c:v>
                </c:pt>
                <c:pt idx="51">
                  <c:v>254.63200000000001</c:v>
                </c:pt>
                <c:pt idx="52">
                  <c:v>255.214</c:v>
                </c:pt>
                <c:pt idx="53">
                  <c:v>256.41399999999999</c:v>
                </c:pt>
                <c:pt idx="54">
                  <c:v>254.30799999999999</c:v>
                </c:pt>
                <c:pt idx="55">
                  <c:v>257.048</c:v>
                </c:pt>
                <c:pt idx="56">
                  <c:v>262.00799999999998</c:v>
                </c:pt>
                <c:pt idx="57">
                  <c:v>255.96799999999999</c:v>
                </c:pt>
                <c:pt idx="58">
                  <c:v>264.55500000000001</c:v>
                </c:pt>
                <c:pt idx="59">
                  <c:v>269.7</c:v>
                </c:pt>
                <c:pt idx="60">
                  <c:v>268.01100000000002</c:v>
                </c:pt>
                <c:pt idx="61">
                  <c:v>273.04000000000002</c:v>
                </c:pt>
                <c:pt idx="62">
                  <c:v>270.59699999999998</c:v>
                </c:pt>
                <c:pt idx="63">
                  <c:v>261.90100000000001</c:v>
                </c:pt>
                <c:pt idx="64">
                  <c:v>251.36500000000001</c:v>
                </c:pt>
                <c:pt idx="65">
                  <c:v>255.54</c:v>
                </c:pt>
                <c:pt idx="66">
                  <c:v>253.035</c:v>
                </c:pt>
                <c:pt idx="67">
                  <c:v>253.166</c:v>
                </c:pt>
                <c:pt idx="68">
                  <c:v>254.38</c:v>
                </c:pt>
                <c:pt idx="69">
                  <c:v>251.375</c:v>
                </c:pt>
                <c:pt idx="70">
                  <c:v>252.429</c:v>
                </c:pt>
                <c:pt idx="71">
                  <c:v>257.97300000000001</c:v>
                </c:pt>
                <c:pt idx="72">
                  <c:v>255.78800000000001</c:v>
                </c:pt>
                <c:pt idx="73">
                  <c:v>249.745</c:v>
                </c:pt>
                <c:pt idx="74">
                  <c:v>247.036</c:v>
                </c:pt>
                <c:pt idx="75">
                  <c:v>244.05500000000001</c:v>
                </c:pt>
                <c:pt idx="76">
                  <c:v>242.33600000000001</c:v>
                </c:pt>
                <c:pt idx="77">
                  <c:v>247.244</c:v>
                </c:pt>
                <c:pt idx="78">
                  <c:v>247.244</c:v>
                </c:pt>
                <c:pt idx="79">
                  <c:v>245.321</c:v>
                </c:pt>
                <c:pt idx="80">
                  <c:v>246.20400000000001</c:v>
                </c:pt>
                <c:pt idx="81">
                  <c:v>250.18199999999999</c:v>
                </c:pt>
                <c:pt idx="82">
                  <c:v>248.32400000000001</c:v>
                </c:pt>
                <c:pt idx="83">
                  <c:v>252.935</c:v>
                </c:pt>
                <c:pt idx="84">
                  <c:v>248.447</c:v>
                </c:pt>
                <c:pt idx="85">
                  <c:v>249.13300000000001</c:v>
                </c:pt>
                <c:pt idx="86">
                  <c:v>245.702</c:v>
                </c:pt>
                <c:pt idx="87">
                  <c:v>240.01599999999999</c:v>
                </c:pt>
                <c:pt idx="88">
                  <c:v>240.239</c:v>
                </c:pt>
                <c:pt idx="89">
                  <c:v>243.018</c:v>
                </c:pt>
                <c:pt idx="90">
                  <c:v>246.096</c:v>
                </c:pt>
                <c:pt idx="91">
                  <c:v>240.44200000000001</c:v>
                </c:pt>
                <c:pt idx="92">
                  <c:v>246.167</c:v>
                </c:pt>
                <c:pt idx="93">
                  <c:v>239.13399999999999</c:v>
                </c:pt>
                <c:pt idx="94">
                  <c:v>250.78</c:v>
                </c:pt>
                <c:pt idx="95">
                  <c:v>245.28299999999999</c:v>
                </c:pt>
                <c:pt idx="96">
                  <c:v>248.61199999999999</c:v>
                </c:pt>
                <c:pt idx="97">
                  <c:v>240.10599999999999</c:v>
                </c:pt>
                <c:pt idx="98">
                  <c:v>240.28</c:v>
                </c:pt>
                <c:pt idx="99">
                  <c:v>236.18100000000001</c:v>
                </c:pt>
                <c:pt idx="100">
                  <c:v>233.351</c:v>
                </c:pt>
                <c:pt idx="101">
                  <c:v>236.441</c:v>
                </c:pt>
                <c:pt idx="102">
                  <c:v>244.11799999999999</c:v>
                </c:pt>
                <c:pt idx="103">
                  <c:v>242.44499999999999</c:v>
                </c:pt>
                <c:pt idx="104">
                  <c:v>245.92099999999999</c:v>
                </c:pt>
                <c:pt idx="105">
                  <c:v>245.84800000000001</c:v>
                </c:pt>
                <c:pt idx="106">
                  <c:v>245.02099999999999</c:v>
                </c:pt>
                <c:pt idx="107">
                  <c:v>246.56</c:v>
                </c:pt>
                <c:pt idx="108">
                  <c:v>257.137</c:v>
                </c:pt>
                <c:pt idx="109">
                  <c:v>269.28800000000001</c:v>
                </c:pt>
                <c:pt idx="110">
                  <c:v>258.68299999999999</c:v>
                </c:pt>
                <c:pt idx="111">
                  <c:v>255.99299999999999</c:v>
                </c:pt>
                <c:pt idx="112">
                  <c:v>254.43100000000001</c:v>
                </c:pt>
                <c:pt idx="113">
                  <c:v>253.54599999999999</c:v>
                </c:pt>
                <c:pt idx="114">
                  <c:v>248.25200000000001</c:v>
                </c:pt>
                <c:pt idx="115">
                  <c:v>249.374</c:v>
                </c:pt>
                <c:pt idx="116">
                  <c:v>255.46600000000001</c:v>
                </c:pt>
                <c:pt idx="117">
                  <c:v>259.90199999999999</c:v>
                </c:pt>
                <c:pt idx="118">
                  <c:v>259.697</c:v>
                </c:pt>
                <c:pt idx="119">
                  <c:v>249.31100000000001</c:v>
                </c:pt>
                <c:pt idx="120">
                  <c:v>246.73099999999999</c:v>
                </c:pt>
                <c:pt idx="121">
                  <c:v>249.767</c:v>
                </c:pt>
                <c:pt idx="122">
                  <c:v>234.29499999999999</c:v>
                </c:pt>
                <c:pt idx="123">
                  <c:v>243.559</c:v>
                </c:pt>
                <c:pt idx="124">
                  <c:v>242.59200000000001</c:v>
                </c:pt>
                <c:pt idx="125">
                  <c:v>242.964</c:v>
                </c:pt>
                <c:pt idx="126">
                  <c:v>232.833</c:v>
                </c:pt>
                <c:pt idx="127">
                  <c:v>234.86500000000001</c:v>
                </c:pt>
                <c:pt idx="128">
                  <c:v>231.083</c:v>
                </c:pt>
                <c:pt idx="129">
                  <c:v>221.816</c:v>
                </c:pt>
                <c:pt idx="130">
                  <c:v>227.14</c:v>
                </c:pt>
                <c:pt idx="131">
                  <c:v>227.93799999999999</c:v>
                </c:pt>
                <c:pt idx="132">
                  <c:v>229.422</c:v>
                </c:pt>
                <c:pt idx="133">
                  <c:v>221.08600000000001</c:v>
                </c:pt>
                <c:pt idx="134">
                  <c:v>221.709</c:v>
                </c:pt>
                <c:pt idx="135">
                  <c:v>218.86500000000001</c:v>
                </c:pt>
                <c:pt idx="136">
                  <c:v>218.95400000000001</c:v>
                </c:pt>
                <c:pt idx="137">
                  <c:v>212.48599999999999</c:v>
                </c:pt>
                <c:pt idx="138">
                  <c:v>215.98699999999999</c:v>
                </c:pt>
                <c:pt idx="139">
                  <c:v>218.90700000000001</c:v>
                </c:pt>
                <c:pt idx="140">
                  <c:v>217.34800000000001</c:v>
                </c:pt>
                <c:pt idx="141">
                  <c:v>221.732</c:v>
                </c:pt>
                <c:pt idx="142">
                  <c:v>223.006</c:v>
                </c:pt>
                <c:pt idx="143">
                  <c:v>218.78</c:v>
                </c:pt>
                <c:pt idx="144">
                  <c:v>216.58699999999999</c:v>
                </c:pt>
                <c:pt idx="145">
                  <c:v>213.65600000000001</c:v>
                </c:pt>
                <c:pt idx="146">
                  <c:v>215.03200000000001</c:v>
                </c:pt>
                <c:pt idx="147">
                  <c:v>211.107</c:v>
                </c:pt>
                <c:pt idx="148">
                  <c:v>211.27500000000001</c:v>
                </c:pt>
                <c:pt idx="149">
                  <c:v>212.96600000000001</c:v>
                </c:pt>
                <c:pt idx="150">
                  <c:v>214.77099999999999</c:v>
                </c:pt>
                <c:pt idx="151">
                  <c:v>217.23500000000001</c:v>
                </c:pt>
                <c:pt idx="152">
                  <c:v>235.572</c:v>
                </c:pt>
                <c:pt idx="153">
                  <c:v>237.85</c:v>
                </c:pt>
                <c:pt idx="154">
                  <c:v>261.81799999999998</c:v>
                </c:pt>
                <c:pt idx="155">
                  <c:v>260.96800000000002</c:v>
                </c:pt>
                <c:pt idx="156">
                  <c:v>258.53100000000001</c:v>
                </c:pt>
                <c:pt idx="157">
                  <c:v>254.566</c:v>
                </c:pt>
                <c:pt idx="158">
                  <c:v>249.92</c:v>
                </c:pt>
                <c:pt idx="159">
                  <c:v>259.60300000000001</c:v>
                </c:pt>
                <c:pt idx="160">
                  <c:v>252.15199999999999</c:v>
                </c:pt>
                <c:pt idx="161">
                  <c:v>262.06200000000001</c:v>
                </c:pt>
                <c:pt idx="162">
                  <c:v>270.98099999999999</c:v>
                </c:pt>
                <c:pt idx="163">
                  <c:v>267.11700000000002</c:v>
                </c:pt>
                <c:pt idx="164">
                  <c:v>267.70999999999998</c:v>
                </c:pt>
                <c:pt idx="165">
                  <c:v>269.221</c:v>
                </c:pt>
                <c:pt idx="166">
                  <c:v>264.26900000000001</c:v>
                </c:pt>
                <c:pt idx="167">
                  <c:v>260.98899999999998</c:v>
                </c:pt>
                <c:pt idx="168">
                  <c:v>268.72399999999999</c:v>
                </c:pt>
                <c:pt idx="169">
                  <c:v>269.28500000000003</c:v>
                </c:pt>
                <c:pt idx="170">
                  <c:v>272.11900000000003</c:v>
                </c:pt>
                <c:pt idx="171">
                  <c:v>271.85899999999998</c:v>
                </c:pt>
                <c:pt idx="172">
                  <c:v>272.75400000000002</c:v>
                </c:pt>
                <c:pt idx="173">
                  <c:v>269</c:v>
                </c:pt>
                <c:pt idx="174">
                  <c:v>270.40600000000001</c:v>
                </c:pt>
                <c:pt idx="175">
                  <c:v>274.291</c:v>
                </c:pt>
                <c:pt idx="176">
                  <c:v>273.41199999999998</c:v>
                </c:pt>
                <c:pt idx="177">
                  <c:v>261.69499999999999</c:v>
                </c:pt>
                <c:pt idx="178">
                  <c:v>259.91699999999997</c:v>
                </c:pt>
                <c:pt idx="179">
                  <c:v>253.935</c:v>
                </c:pt>
                <c:pt idx="180">
                  <c:v>245.29900000000001</c:v>
                </c:pt>
                <c:pt idx="181">
                  <c:v>245.154</c:v>
                </c:pt>
                <c:pt idx="182">
                  <c:v>239.91399999999999</c:v>
                </c:pt>
                <c:pt idx="183">
                  <c:v>231.126</c:v>
                </c:pt>
                <c:pt idx="184">
                  <c:v>232.76499999999999</c:v>
                </c:pt>
                <c:pt idx="185">
                  <c:v>236.17599999999999</c:v>
                </c:pt>
                <c:pt idx="186">
                  <c:v>236.648</c:v>
                </c:pt>
                <c:pt idx="187">
                  <c:v>231.07400000000001</c:v>
                </c:pt>
                <c:pt idx="188">
                  <c:v>224.596</c:v>
                </c:pt>
                <c:pt idx="189">
                  <c:v>222.35499999999999</c:v>
                </c:pt>
                <c:pt idx="190">
                  <c:v>222.495</c:v>
                </c:pt>
                <c:pt idx="191">
                  <c:v>222.083</c:v>
                </c:pt>
                <c:pt idx="192">
                  <c:v>220.89</c:v>
                </c:pt>
                <c:pt idx="193">
                  <c:v>222.84399999999999</c:v>
                </c:pt>
                <c:pt idx="194">
                  <c:v>223.047</c:v>
                </c:pt>
                <c:pt idx="195">
                  <c:v>232.994</c:v>
                </c:pt>
                <c:pt idx="196">
                  <c:v>237.73699999999999</c:v>
                </c:pt>
                <c:pt idx="197">
                  <c:v>246.542</c:v>
                </c:pt>
                <c:pt idx="198">
                  <c:v>242.08699999999999</c:v>
                </c:pt>
                <c:pt idx="199">
                  <c:v>238.92099999999999</c:v>
                </c:pt>
                <c:pt idx="200">
                  <c:v>243.477</c:v>
                </c:pt>
                <c:pt idx="201">
                  <c:v>240.05699999999999</c:v>
                </c:pt>
                <c:pt idx="202">
                  <c:v>232.08099999999999</c:v>
                </c:pt>
                <c:pt idx="203">
                  <c:v>223.55099999999999</c:v>
                </c:pt>
                <c:pt idx="204">
                  <c:v>224.25299999999999</c:v>
                </c:pt>
                <c:pt idx="205">
                  <c:v>215.035</c:v>
                </c:pt>
                <c:pt idx="206">
                  <c:v>218.43299999999999</c:v>
                </c:pt>
                <c:pt idx="207">
                  <c:v>217.41399999999999</c:v>
                </c:pt>
                <c:pt idx="208">
                  <c:v>216.53299999999999</c:v>
                </c:pt>
                <c:pt idx="209">
                  <c:v>213.95699999999999</c:v>
                </c:pt>
                <c:pt idx="210">
                  <c:v>217.804</c:v>
                </c:pt>
                <c:pt idx="211">
                  <c:v>214.989</c:v>
                </c:pt>
                <c:pt idx="212">
                  <c:v>215.54300000000001</c:v>
                </c:pt>
                <c:pt idx="213">
                  <c:v>211.44900000000001</c:v>
                </c:pt>
                <c:pt idx="214">
                  <c:v>210.78299999999999</c:v>
                </c:pt>
                <c:pt idx="215">
                  <c:v>208.096</c:v>
                </c:pt>
                <c:pt idx="216">
                  <c:v>213.52600000000001</c:v>
                </c:pt>
                <c:pt idx="217">
                  <c:v>221.202</c:v>
                </c:pt>
                <c:pt idx="218">
                  <c:v>217.607</c:v>
                </c:pt>
                <c:pt idx="219">
                  <c:v>211.15299999999999</c:v>
                </c:pt>
                <c:pt idx="220">
                  <c:v>205.03299999999999</c:v>
                </c:pt>
                <c:pt idx="221">
                  <c:v>210.34299999999999</c:v>
                </c:pt>
                <c:pt idx="222">
                  <c:v>199.965</c:v>
                </c:pt>
                <c:pt idx="223">
                  <c:v>197.458</c:v>
                </c:pt>
                <c:pt idx="224">
                  <c:v>202.96600000000001</c:v>
                </c:pt>
                <c:pt idx="225">
                  <c:v>206.67400000000001</c:v>
                </c:pt>
                <c:pt idx="226">
                  <c:v>207.553</c:v>
                </c:pt>
                <c:pt idx="227">
                  <c:v>206.90100000000001</c:v>
                </c:pt>
                <c:pt idx="228">
                  <c:v>204.25800000000001</c:v>
                </c:pt>
                <c:pt idx="229">
                  <c:v>205.42099999999999</c:v>
                </c:pt>
                <c:pt idx="230">
                  <c:v>209.19200000000001</c:v>
                </c:pt>
                <c:pt idx="231">
                  <c:v>212.11</c:v>
                </c:pt>
                <c:pt idx="232">
                  <c:v>209.578</c:v>
                </c:pt>
                <c:pt idx="233">
                  <c:v>209.81899999999999</c:v>
                </c:pt>
                <c:pt idx="234">
                  <c:v>208.119</c:v>
                </c:pt>
                <c:pt idx="235">
                  <c:v>208.64400000000001</c:v>
                </c:pt>
                <c:pt idx="236">
                  <c:v>203.96100000000001</c:v>
                </c:pt>
                <c:pt idx="237">
                  <c:v>208.065</c:v>
                </c:pt>
                <c:pt idx="238">
                  <c:v>202.946</c:v>
                </c:pt>
                <c:pt idx="239">
                  <c:v>203.149</c:v>
                </c:pt>
                <c:pt idx="240">
                  <c:v>211.66900000000001</c:v>
                </c:pt>
                <c:pt idx="241">
                  <c:v>204.584</c:v>
                </c:pt>
                <c:pt idx="242">
                  <c:v>200.703</c:v>
                </c:pt>
                <c:pt idx="243">
                  <c:v>196.38300000000001</c:v>
                </c:pt>
                <c:pt idx="244">
                  <c:v>195.553</c:v>
                </c:pt>
                <c:pt idx="245">
                  <c:v>195.113</c:v>
                </c:pt>
                <c:pt idx="246">
                  <c:v>198.83199999999999</c:v>
                </c:pt>
                <c:pt idx="247">
                  <c:v>186.376</c:v>
                </c:pt>
                <c:pt idx="248">
                  <c:v>194.458</c:v>
                </c:pt>
                <c:pt idx="249">
                  <c:v>187.04599999999999</c:v>
                </c:pt>
                <c:pt idx="250">
                  <c:v>180.46600000000001</c:v>
                </c:pt>
                <c:pt idx="251">
                  <c:v>180.203</c:v>
                </c:pt>
                <c:pt idx="252">
                  <c:v>177.66200000000001</c:v>
                </c:pt>
                <c:pt idx="253">
                  <c:v>176.982</c:v>
                </c:pt>
                <c:pt idx="254">
                  <c:v>172.048</c:v>
                </c:pt>
                <c:pt idx="255">
                  <c:v>173.309</c:v>
                </c:pt>
                <c:pt idx="256">
                  <c:v>173.309</c:v>
                </c:pt>
                <c:pt idx="257">
                  <c:v>173.309</c:v>
                </c:pt>
                <c:pt idx="258">
                  <c:v>175.804</c:v>
                </c:pt>
                <c:pt idx="259">
                  <c:v>173.416</c:v>
                </c:pt>
                <c:pt idx="260">
                  <c:v>169.86699999999999</c:v>
                </c:pt>
                <c:pt idx="261">
                  <c:v>169.86699999999999</c:v>
                </c:pt>
                <c:pt idx="262">
                  <c:v>174.434</c:v>
                </c:pt>
                <c:pt idx="263">
                  <c:v>182.50399999999999</c:v>
                </c:pt>
                <c:pt idx="264">
                  <c:v>184.16300000000001</c:v>
                </c:pt>
                <c:pt idx="265">
                  <c:v>184.577</c:v>
                </c:pt>
                <c:pt idx="266">
                  <c:v>168.9</c:v>
                </c:pt>
                <c:pt idx="267">
                  <c:v>169.214</c:v>
                </c:pt>
                <c:pt idx="268">
                  <c:v>162.48500000000001</c:v>
                </c:pt>
                <c:pt idx="269">
                  <c:v>162.989</c:v>
                </c:pt>
                <c:pt idx="270">
                  <c:v>160.15899999999999</c:v>
                </c:pt>
                <c:pt idx="271">
                  <c:v>159.863</c:v>
                </c:pt>
                <c:pt idx="272">
                  <c:v>157.845</c:v>
                </c:pt>
                <c:pt idx="273">
                  <c:v>157.14400000000001</c:v>
                </c:pt>
                <c:pt idx="274">
                  <c:v>158.321</c:v>
                </c:pt>
                <c:pt idx="275">
                  <c:v>162.48099999999999</c:v>
                </c:pt>
                <c:pt idx="276">
                  <c:v>162.316</c:v>
                </c:pt>
                <c:pt idx="277">
                  <c:v>165.07400000000001</c:v>
                </c:pt>
                <c:pt idx="278">
                  <c:v>171.49799999999999</c:v>
                </c:pt>
                <c:pt idx="279">
                  <c:v>182.94900000000001</c:v>
                </c:pt>
                <c:pt idx="280">
                  <c:v>176.92500000000001</c:v>
                </c:pt>
                <c:pt idx="281">
                  <c:v>184.255</c:v>
                </c:pt>
                <c:pt idx="282">
                  <c:v>182.691</c:v>
                </c:pt>
                <c:pt idx="283">
                  <c:v>184.55799999999999</c:v>
                </c:pt>
                <c:pt idx="284">
                  <c:v>181.03100000000001</c:v>
                </c:pt>
                <c:pt idx="285">
                  <c:v>179.30199999999999</c:v>
                </c:pt>
                <c:pt idx="286">
                  <c:v>174.99600000000001</c:v>
                </c:pt>
                <c:pt idx="287">
                  <c:v>170.898</c:v>
                </c:pt>
                <c:pt idx="288">
                  <c:v>175.524</c:v>
                </c:pt>
                <c:pt idx="289">
                  <c:v>178.398</c:v>
                </c:pt>
                <c:pt idx="290">
                  <c:v>176.398</c:v>
                </c:pt>
                <c:pt idx="291">
                  <c:v>172.804</c:v>
                </c:pt>
                <c:pt idx="292">
                  <c:v>173.983</c:v>
                </c:pt>
                <c:pt idx="293">
                  <c:v>175.00700000000001</c:v>
                </c:pt>
                <c:pt idx="294">
                  <c:v>174.857</c:v>
                </c:pt>
                <c:pt idx="295">
                  <c:v>175.053</c:v>
                </c:pt>
                <c:pt idx="296">
                  <c:v>172.994</c:v>
                </c:pt>
                <c:pt idx="297">
                  <c:v>173.55199999999999</c:v>
                </c:pt>
                <c:pt idx="298">
                  <c:v>174.70699999999999</c:v>
                </c:pt>
                <c:pt idx="299">
                  <c:v>187.22800000000001</c:v>
                </c:pt>
                <c:pt idx="300">
                  <c:v>191.56</c:v>
                </c:pt>
                <c:pt idx="301">
                  <c:v>198.17</c:v>
                </c:pt>
                <c:pt idx="302">
                  <c:v>214.40199999999999</c:v>
                </c:pt>
                <c:pt idx="303">
                  <c:v>233.96299999999999</c:v>
                </c:pt>
                <c:pt idx="304">
                  <c:v>219.74199999999999</c:v>
                </c:pt>
                <c:pt idx="305">
                  <c:v>233.23</c:v>
                </c:pt>
                <c:pt idx="306">
                  <c:v>233.70500000000001</c:v>
                </c:pt>
                <c:pt idx="307">
                  <c:v>234.01</c:v>
                </c:pt>
                <c:pt idx="308">
                  <c:v>237.929</c:v>
                </c:pt>
                <c:pt idx="309">
                  <c:v>328.05599999999998</c:v>
                </c:pt>
                <c:pt idx="310">
                  <c:v>322.47800000000001</c:v>
                </c:pt>
                <c:pt idx="311">
                  <c:v>334.92399999999998</c:v>
                </c:pt>
                <c:pt idx="312">
                  <c:v>405.69</c:v>
                </c:pt>
                <c:pt idx="313">
                  <c:v>392.029</c:v>
                </c:pt>
                <c:pt idx="314">
                  <c:v>415.37400000000002</c:v>
                </c:pt>
                <c:pt idx="315">
                  <c:v>430.666</c:v>
                </c:pt>
                <c:pt idx="316">
                  <c:v>535.89300000000003</c:v>
                </c:pt>
                <c:pt idx="317">
                  <c:v>571.58299999999997</c:v>
                </c:pt>
                <c:pt idx="318">
                  <c:v>617.51900000000001</c:v>
                </c:pt>
                <c:pt idx="319">
                  <c:v>662.09799999999996</c:v>
                </c:pt>
                <c:pt idx="320">
                  <c:v>644.15200000000004</c:v>
                </c:pt>
                <c:pt idx="321">
                  <c:v>621.154</c:v>
                </c:pt>
                <c:pt idx="322">
                  <c:v>589.59799999999996</c:v>
                </c:pt>
                <c:pt idx="323">
                  <c:v>593.14700000000005</c:v>
                </c:pt>
                <c:pt idx="324">
                  <c:v>601.90599999999995</c:v>
                </c:pt>
                <c:pt idx="325">
                  <c:v>596.14099999999996</c:v>
                </c:pt>
                <c:pt idx="326">
                  <c:v>600.46900000000005</c:v>
                </c:pt>
                <c:pt idx="327">
                  <c:v>595.53200000000004</c:v>
                </c:pt>
                <c:pt idx="328">
                  <c:v>567.79999999999995</c:v>
                </c:pt>
                <c:pt idx="329">
                  <c:v>555.20399999999995</c:v>
                </c:pt>
                <c:pt idx="330">
                  <c:v>555.25300000000004</c:v>
                </c:pt>
                <c:pt idx="331">
                  <c:v>562.673</c:v>
                </c:pt>
                <c:pt idx="332">
                  <c:v>537.58699999999999</c:v>
                </c:pt>
                <c:pt idx="333">
                  <c:v>537.58699999999999</c:v>
                </c:pt>
                <c:pt idx="334">
                  <c:v>537.58699999999999</c:v>
                </c:pt>
                <c:pt idx="335">
                  <c:v>543.88499999999999</c:v>
                </c:pt>
                <c:pt idx="336">
                  <c:v>531.19200000000001</c:v>
                </c:pt>
                <c:pt idx="337">
                  <c:v>534.67200000000003</c:v>
                </c:pt>
                <c:pt idx="338">
                  <c:v>509.017</c:v>
                </c:pt>
                <c:pt idx="339">
                  <c:v>510.82600000000002</c:v>
                </c:pt>
                <c:pt idx="340">
                  <c:v>517.87800000000004</c:v>
                </c:pt>
                <c:pt idx="341">
                  <c:v>516.16099999999994</c:v>
                </c:pt>
                <c:pt idx="342">
                  <c:v>517.26900000000001</c:v>
                </c:pt>
                <c:pt idx="343">
                  <c:v>518.58299999999997</c:v>
                </c:pt>
                <c:pt idx="344">
                  <c:v>517.82799999999997</c:v>
                </c:pt>
                <c:pt idx="345">
                  <c:v>521.07899999999995</c:v>
                </c:pt>
                <c:pt idx="346">
                  <c:v>522.14599999999996</c:v>
                </c:pt>
                <c:pt idx="347">
                  <c:v>514.21400000000006</c:v>
                </c:pt>
                <c:pt idx="348">
                  <c:v>514.01499999999999</c:v>
                </c:pt>
                <c:pt idx="349">
                  <c:v>511.54</c:v>
                </c:pt>
                <c:pt idx="350">
                  <c:v>477.85899999999998</c:v>
                </c:pt>
                <c:pt idx="351">
                  <c:v>471.73399999999998</c:v>
                </c:pt>
                <c:pt idx="352">
                  <c:v>488.00200000000001</c:v>
                </c:pt>
                <c:pt idx="353">
                  <c:v>471.86599999999999</c:v>
                </c:pt>
                <c:pt idx="354">
                  <c:v>435.41899999999998</c:v>
                </c:pt>
                <c:pt idx="355">
                  <c:v>430.75599999999997</c:v>
                </c:pt>
                <c:pt idx="356">
                  <c:v>448.69499999999999</c:v>
                </c:pt>
                <c:pt idx="357">
                  <c:v>367.43</c:v>
                </c:pt>
                <c:pt idx="358">
                  <c:v>355.36399999999998</c:v>
                </c:pt>
                <c:pt idx="359">
                  <c:v>340.87299999999999</c:v>
                </c:pt>
                <c:pt idx="360">
                  <c:v>342.54199999999997</c:v>
                </c:pt>
                <c:pt idx="361">
                  <c:v>332.505</c:v>
                </c:pt>
                <c:pt idx="362">
                  <c:v>333.39299999999997</c:v>
                </c:pt>
                <c:pt idx="363">
                  <c:v>346.08199999999999</c:v>
                </c:pt>
                <c:pt idx="364">
                  <c:v>346.08199999999999</c:v>
                </c:pt>
                <c:pt idx="365">
                  <c:v>329.6</c:v>
                </c:pt>
                <c:pt idx="366">
                  <c:v>330.06200000000001</c:v>
                </c:pt>
                <c:pt idx="367">
                  <c:v>333.80099999999999</c:v>
                </c:pt>
                <c:pt idx="368">
                  <c:v>336.66199999999998</c:v>
                </c:pt>
                <c:pt idx="369">
                  <c:v>334.66899999999998</c:v>
                </c:pt>
                <c:pt idx="370">
                  <c:v>334.40600000000001</c:v>
                </c:pt>
                <c:pt idx="371">
                  <c:v>327.88</c:v>
                </c:pt>
                <c:pt idx="372">
                  <c:v>321.846</c:v>
                </c:pt>
                <c:pt idx="373">
                  <c:v>318.69</c:v>
                </c:pt>
                <c:pt idx="374">
                  <c:v>323.23599999999999</c:v>
                </c:pt>
                <c:pt idx="375">
                  <c:v>323.73399999999998</c:v>
                </c:pt>
                <c:pt idx="376">
                  <c:v>337.99200000000002</c:v>
                </c:pt>
                <c:pt idx="377">
                  <c:v>347.49099999999999</c:v>
                </c:pt>
                <c:pt idx="378">
                  <c:v>344.23200000000003</c:v>
                </c:pt>
                <c:pt idx="379">
                  <c:v>382.98599999999999</c:v>
                </c:pt>
                <c:pt idx="380">
                  <c:v>379.1</c:v>
                </c:pt>
                <c:pt idx="381">
                  <c:v>381.64299999999997</c:v>
                </c:pt>
                <c:pt idx="382">
                  <c:v>380.93799999999999</c:v>
                </c:pt>
                <c:pt idx="383">
                  <c:v>382.47399999999999</c:v>
                </c:pt>
                <c:pt idx="384">
                  <c:v>380.363</c:v>
                </c:pt>
                <c:pt idx="385">
                  <c:v>383.76100000000002</c:v>
                </c:pt>
                <c:pt idx="386">
                  <c:v>384.87200000000001</c:v>
                </c:pt>
                <c:pt idx="387">
                  <c:v>392.12</c:v>
                </c:pt>
                <c:pt idx="388">
                  <c:v>391.44200000000001</c:v>
                </c:pt>
                <c:pt idx="389">
                  <c:v>392.41399999999999</c:v>
                </c:pt>
                <c:pt idx="390">
                  <c:v>388.73099999999999</c:v>
                </c:pt>
                <c:pt idx="391">
                  <c:v>390.685</c:v>
                </c:pt>
                <c:pt idx="392">
                  <c:v>355.42399999999998</c:v>
                </c:pt>
                <c:pt idx="393">
                  <c:v>357.05</c:v>
                </c:pt>
                <c:pt idx="394">
                  <c:v>348.74599999999998</c:v>
                </c:pt>
                <c:pt idx="395">
                  <c:v>349.2</c:v>
                </c:pt>
                <c:pt idx="396">
                  <c:v>348.66899999999998</c:v>
                </c:pt>
                <c:pt idx="397">
                  <c:v>347.697</c:v>
                </c:pt>
                <c:pt idx="398">
                  <c:v>348.19200000000001</c:v>
                </c:pt>
                <c:pt idx="399">
                  <c:v>349.45699999999999</c:v>
                </c:pt>
                <c:pt idx="400">
                  <c:v>358.483</c:v>
                </c:pt>
                <c:pt idx="401">
                  <c:v>357.94200000000001</c:v>
                </c:pt>
                <c:pt idx="402">
                  <c:v>353.91699999999997</c:v>
                </c:pt>
                <c:pt idx="403">
                  <c:v>365.762</c:v>
                </c:pt>
                <c:pt idx="404">
                  <c:v>364.92399999999998</c:v>
                </c:pt>
                <c:pt idx="405">
                  <c:v>364.66399999999999</c:v>
                </c:pt>
                <c:pt idx="406">
                  <c:v>359.858</c:v>
                </c:pt>
                <c:pt idx="407">
                  <c:v>352.33300000000003</c:v>
                </c:pt>
                <c:pt idx="408">
                  <c:v>353.61099999999999</c:v>
                </c:pt>
                <c:pt idx="409">
                  <c:v>346.98700000000002</c:v>
                </c:pt>
                <c:pt idx="410">
                  <c:v>351.40600000000001</c:v>
                </c:pt>
                <c:pt idx="411">
                  <c:v>352.46899999999999</c:v>
                </c:pt>
                <c:pt idx="412">
                  <c:v>354.08699999999999</c:v>
                </c:pt>
                <c:pt idx="413">
                  <c:v>354.89699999999999</c:v>
                </c:pt>
                <c:pt idx="414">
                  <c:v>350.28100000000001</c:v>
                </c:pt>
                <c:pt idx="415">
                  <c:v>347.12</c:v>
                </c:pt>
                <c:pt idx="416">
                  <c:v>342.18799999999999</c:v>
                </c:pt>
                <c:pt idx="417">
                  <c:v>333.137</c:v>
                </c:pt>
                <c:pt idx="418">
                  <c:v>330.66899999999998</c:v>
                </c:pt>
                <c:pt idx="419">
                  <c:v>344.73099999999999</c:v>
                </c:pt>
                <c:pt idx="420">
                  <c:v>330.65699999999998</c:v>
                </c:pt>
                <c:pt idx="421">
                  <c:v>324.10899999999998</c:v>
                </c:pt>
                <c:pt idx="422">
                  <c:v>317.23399999999998</c:v>
                </c:pt>
                <c:pt idx="423">
                  <c:v>315.72000000000003</c:v>
                </c:pt>
                <c:pt idx="424">
                  <c:v>320.93299999999999</c:v>
                </c:pt>
                <c:pt idx="425">
                  <c:v>322.24599999999998</c:v>
                </c:pt>
                <c:pt idx="426">
                  <c:v>321.65499999999997</c:v>
                </c:pt>
                <c:pt idx="427">
                  <c:v>321.19</c:v>
                </c:pt>
                <c:pt idx="428">
                  <c:v>325.399</c:v>
                </c:pt>
                <c:pt idx="429">
                  <c:v>323.69</c:v>
                </c:pt>
                <c:pt idx="430">
                  <c:v>319.76900000000001</c:v>
                </c:pt>
                <c:pt idx="431">
                  <c:v>318.26600000000002</c:v>
                </c:pt>
                <c:pt idx="432">
                  <c:v>314.86799999999999</c:v>
                </c:pt>
                <c:pt idx="433">
                  <c:v>317.95100000000002</c:v>
                </c:pt>
                <c:pt idx="434">
                  <c:v>317.95100000000002</c:v>
                </c:pt>
                <c:pt idx="435">
                  <c:v>317.11599999999999</c:v>
                </c:pt>
                <c:pt idx="436">
                  <c:v>315.95100000000002</c:v>
                </c:pt>
                <c:pt idx="437">
                  <c:v>315.51</c:v>
                </c:pt>
                <c:pt idx="438">
                  <c:v>312.86799999999999</c:v>
                </c:pt>
                <c:pt idx="439">
                  <c:v>316.99599999999998</c:v>
                </c:pt>
                <c:pt idx="440">
                  <c:v>319.82499999999999</c:v>
                </c:pt>
                <c:pt idx="441">
                  <c:v>318.80700000000002</c:v>
                </c:pt>
                <c:pt idx="442">
                  <c:v>315.673</c:v>
                </c:pt>
                <c:pt idx="443">
                  <c:v>315.34199999999998</c:v>
                </c:pt>
                <c:pt idx="444">
                  <c:v>314.92</c:v>
                </c:pt>
                <c:pt idx="445">
                  <c:v>315.03699999999998</c:v>
                </c:pt>
                <c:pt idx="446">
                  <c:v>311.863</c:v>
                </c:pt>
                <c:pt idx="447">
                  <c:v>313.14</c:v>
                </c:pt>
                <c:pt idx="448">
                  <c:v>310.42200000000003</c:v>
                </c:pt>
                <c:pt idx="449">
                  <c:v>314.60000000000002</c:v>
                </c:pt>
                <c:pt idx="450">
                  <c:v>317.09399999999999</c:v>
                </c:pt>
                <c:pt idx="451">
                  <c:v>315.63099999999997</c:v>
                </c:pt>
                <c:pt idx="452">
                  <c:v>333.83499999999998</c:v>
                </c:pt>
                <c:pt idx="453">
                  <c:v>338.11099999999999</c:v>
                </c:pt>
                <c:pt idx="454">
                  <c:v>427.69400000000002</c:v>
                </c:pt>
                <c:pt idx="455">
                  <c:v>441.89400000000001</c:v>
                </c:pt>
                <c:pt idx="456">
                  <c:v>451.44799999999998</c:v>
                </c:pt>
                <c:pt idx="457">
                  <c:v>418.22399999999999</c:v>
                </c:pt>
                <c:pt idx="458">
                  <c:v>407.85399999999998</c:v>
                </c:pt>
                <c:pt idx="459">
                  <c:v>406.00700000000001</c:v>
                </c:pt>
                <c:pt idx="460">
                  <c:v>407.798</c:v>
                </c:pt>
                <c:pt idx="461">
                  <c:v>412.87400000000002</c:v>
                </c:pt>
                <c:pt idx="462">
                  <c:v>405.25</c:v>
                </c:pt>
                <c:pt idx="463">
                  <c:v>400.00299999999999</c:v>
                </c:pt>
                <c:pt idx="464">
                  <c:v>399.94</c:v>
                </c:pt>
                <c:pt idx="465">
                  <c:v>407.50799999999998</c:v>
                </c:pt>
                <c:pt idx="466">
                  <c:v>425.07</c:v>
                </c:pt>
                <c:pt idx="467">
                  <c:v>421.85399999999998</c:v>
                </c:pt>
                <c:pt idx="468">
                  <c:v>418.01600000000002</c:v>
                </c:pt>
                <c:pt idx="469">
                  <c:v>416.30900000000003</c:v>
                </c:pt>
                <c:pt idx="470">
                  <c:v>416.24299999999999</c:v>
                </c:pt>
                <c:pt idx="471">
                  <c:v>425.42899999999997</c:v>
                </c:pt>
                <c:pt idx="472">
                  <c:v>428.18099999999998</c:v>
                </c:pt>
                <c:pt idx="473">
                  <c:v>426.18</c:v>
                </c:pt>
                <c:pt idx="474">
                  <c:v>448.35199999999998</c:v>
                </c:pt>
                <c:pt idx="475">
                  <c:v>459.10899999999998</c:v>
                </c:pt>
                <c:pt idx="476">
                  <c:v>468.923</c:v>
                </c:pt>
                <c:pt idx="477">
                  <c:v>477.05900000000003</c:v>
                </c:pt>
                <c:pt idx="478">
                  <c:v>475.02</c:v>
                </c:pt>
                <c:pt idx="479">
                  <c:v>482.77300000000002</c:v>
                </c:pt>
                <c:pt idx="480">
                  <c:v>453.96600000000001</c:v>
                </c:pt>
                <c:pt idx="481">
                  <c:v>445.10500000000002</c:v>
                </c:pt>
                <c:pt idx="482">
                  <c:v>438.96800000000002</c:v>
                </c:pt>
                <c:pt idx="483">
                  <c:v>440.113</c:v>
                </c:pt>
                <c:pt idx="484">
                  <c:v>406.97899999999998</c:v>
                </c:pt>
                <c:pt idx="485">
                  <c:v>352.84399999999999</c:v>
                </c:pt>
                <c:pt idx="486">
                  <c:v>344.85599999999999</c:v>
                </c:pt>
                <c:pt idx="487">
                  <c:v>348.01900000000001</c:v>
                </c:pt>
                <c:pt idx="488">
                  <c:v>353.39400000000001</c:v>
                </c:pt>
                <c:pt idx="489">
                  <c:v>344.87299999999999</c:v>
                </c:pt>
                <c:pt idx="490">
                  <c:v>360.233</c:v>
                </c:pt>
                <c:pt idx="491">
                  <c:v>355.67399999999998</c:v>
                </c:pt>
                <c:pt idx="492">
                  <c:v>358.399</c:v>
                </c:pt>
                <c:pt idx="493">
                  <c:v>373.67399999999998</c:v>
                </c:pt>
                <c:pt idx="494">
                  <c:v>358.51600000000002</c:v>
                </c:pt>
                <c:pt idx="495">
                  <c:v>348.59399999999999</c:v>
                </c:pt>
                <c:pt idx="496">
                  <c:v>346.04</c:v>
                </c:pt>
                <c:pt idx="497">
                  <c:v>364.27499999999998</c:v>
                </c:pt>
                <c:pt idx="498">
                  <c:v>364.27699999999999</c:v>
                </c:pt>
                <c:pt idx="499">
                  <c:v>364.11</c:v>
                </c:pt>
                <c:pt idx="500">
                  <c:v>363.99400000000003</c:v>
                </c:pt>
                <c:pt idx="501">
                  <c:v>357.44400000000002</c:v>
                </c:pt>
                <c:pt idx="502">
                  <c:v>350.42</c:v>
                </c:pt>
                <c:pt idx="503">
                  <c:v>302.649</c:v>
                </c:pt>
                <c:pt idx="504">
                  <c:v>306.16199999999998</c:v>
                </c:pt>
                <c:pt idx="505">
                  <c:v>323.024</c:v>
                </c:pt>
                <c:pt idx="506">
                  <c:v>308.36</c:v>
                </c:pt>
                <c:pt idx="507">
                  <c:v>326.92500000000001</c:v>
                </c:pt>
                <c:pt idx="508">
                  <c:v>321.99599999999998</c:v>
                </c:pt>
                <c:pt idx="509">
                  <c:v>319.04199999999997</c:v>
                </c:pt>
                <c:pt idx="510">
                  <c:v>313.62400000000002</c:v>
                </c:pt>
                <c:pt idx="511">
                  <c:v>304.41899999999998</c:v>
                </c:pt>
                <c:pt idx="512">
                  <c:v>297.24700000000001</c:v>
                </c:pt>
                <c:pt idx="513">
                  <c:v>308.77699999999999</c:v>
                </c:pt>
                <c:pt idx="514">
                  <c:v>306.41500000000002</c:v>
                </c:pt>
                <c:pt idx="515">
                  <c:v>303.06299999999999</c:v>
                </c:pt>
                <c:pt idx="516">
                  <c:v>298.36200000000002</c:v>
                </c:pt>
                <c:pt idx="517">
                  <c:v>306.60500000000002</c:v>
                </c:pt>
                <c:pt idx="518">
                  <c:v>306.60500000000002</c:v>
                </c:pt>
                <c:pt idx="519">
                  <c:v>306.60500000000002</c:v>
                </c:pt>
                <c:pt idx="520">
                  <c:v>286.26600000000002</c:v>
                </c:pt>
                <c:pt idx="521">
                  <c:v>283.363</c:v>
                </c:pt>
                <c:pt idx="522">
                  <c:v>288.20100000000002</c:v>
                </c:pt>
                <c:pt idx="523">
                  <c:v>288.20100000000002</c:v>
                </c:pt>
                <c:pt idx="524">
                  <c:v>285.505</c:v>
                </c:pt>
                <c:pt idx="525">
                  <c:v>278.84500000000003</c:v>
                </c:pt>
                <c:pt idx="526">
                  <c:v>276.536</c:v>
                </c:pt>
                <c:pt idx="527">
                  <c:v>272.392</c:v>
                </c:pt>
                <c:pt idx="528">
                  <c:v>268.24299999999999</c:v>
                </c:pt>
                <c:pt idx="529">
                  <c:v>267.06400000000002</c:v>
                </c:pt>
                <c:pt idx="530">
                  <c:v>265.79300000000001</c:v>
                </c:pt>
                <c:pt idx="531">
                  <c:v>264.74</c:v>
                </c:pt>
                <c:pt idx="532">
                  <c:v>246.50899999999999</c:v>
                </c:pt>
                <c:pt idx="533">
                  <c:v>242.02199999999999</c:v>
                </c:pt>
                <c:pt idx="534">
                  <c:v>241.97300000000001</c:v>
                </c:pt>
                <c:pt idx="535">
                  <c:v>243.83199999999999</c:v>
                </c:pt>
                <c:pt idx="536">
                  <c:v>241.917</c:v>
                </c:pt>
                <c:pt idx="537">
                  <c:v>247.029</c:v>
                </c:pt>
                <c:pt idx="538">
                  <c:v>247.43199999999999</c:v>
                </c:pt>
                <c:pt idx="539">
                  <c:v>269.02100000000002</c:v>
                </c:pt>
                <c:pt idx="540">
                  <c:v>258.26799999999997</c:v>
                </c:pt>
                <c:pt idx="541">
                  <c:v>272.41199999999998</c:v>
                </c:pt>
                <c:pt idx="542">
                  <c:v>271.565</c:v>
                </c:pt>
                <c:pt idx="543">
                  <c:v>270.577</c:v>
                </c:pt>
                <c:pt idx="544">
                  <c:v>271.00400000000002</c:v>
                </c:pt>
                <c:pt idx="545">
                  <c:v>269.29399999999998</c:v>
                </c:pt>
                <c:pt idx="546">
                  <c:v>263.53100000000001</c:v>
                </c:pt>
                <c:pt idx="547">
                  <c:v>267.99</c:v>
                </c:pt>
                <c:pt idx="548">
                  <c:v>267.49400000000003</c:v>
                </c:pt>
                <c:pt idx="549">
                  <c:v>272.33300000000003</c:v>
                </c:pt>
                <c:pt idx="550">
                  <c:v>274.80099999999999</c:v>
                </c:pt>
                <c:pt idx="551">
                  <c:v>277.76600000000002</c:v>
                </c:pt>
                <c:pt idx="552">
                  <c:v>279.95</c:v>
                </c:pt>
                <c:pt idx="553">
                  <c:v>281.178</c:v>
                </c:pt>
                <c:pt idx="554">
                  <c:v>284.79300000000001</c:v>
                </c:pt>
                <c:pt idx="555">
                  <c:v>286.79199999999997</c:v>
                </c:pt>
                <c:pt idx="556">
                  <c:v>293.79399999999998</c:v>
                </c:pt>
                <c:pt idx="557">
                  <c:v>292.15699999999998</c:v>
                </c:pt>
                <c:pt idx="558">
                  <c:v>288.19799999999998</c:v>
                </c:pt>
                <c:pt idx="559">
                  <c:v>293.81299999999999</c:v>
                </c:pt>
                <c:pt idx="560">
                  <c:v>296.03500000000003</c:v>
                </c:pt>
                <c:pt idx="561">
                  <c:v>291.86799999999999</c:v>
                </c:pt>
                <c:pt idx="562">
                  <c:v>327.18400000000003</c:v>
                </c:pt>
                <c:pt idx="563">
                  <c:v>332.62099999999998</c:v>
                </c:pt>
                <c:pt idx="564">
                  <c:v>326.32499999999999</c:v>
                </c:pt>
                <c:pt idx="565">
                  <c:v>330.596</c:v>
                </c:pt>
                <c:pt idx="566">
                  <c:v>324.22699999999998</c:v>
                </c:pt>
                <c:pt idx="567">
                  <c:v>321.74200000000002</c:v>
                </c:pt>
                <c:pt idx="568">
                  <c:v>326.02300000000002</c:v>
                </c:pt>
                <c:pt idx="569">
                  <c:v>337.60399999999998</c:v>
                </c:pt>
                <c:pt idx="570">
                  <c:v>335.68400000000003</c:v>
                </c:pt>
                <c:pt idx="571">
                  <c:v>337.86200000000002</c:v>
                </c:pt>
                <c:pt idx="572">
                  <c:v>330.03399999999999</c:v>
                </c:pt>
                <c:pt idx="573">
                  <c:v>325.98</c:v>
                </c:pt>
                <c:pt idx="574">
                  <c:v>324.28699999999998</c:v>
                </c:pt>
                <c:pt idx="575">
                  <c:v>327.47699999999998</c:v>
                </c:pt>
                <c:pt idx="576">
                  <c:v>337.73599999999999</c:v>
                </c:pt>
                <c:pt idx="577">
                  <c:v>340.42500000000001</c:v>
                </c:pt>
                <c:pt idx="578">
                  <c:v>340.786</c:v>
                </c:pt>
                <c:pt idx="579">
                  <c:v>343.91399999999999</c:v>
                </c:pt>
                <c:pt idx="580">
                  <c:v>345.10300000000001</c:v>
                </c:pt>
                <c:pt idx="581">
                  <c:v>345.44499999999999</c:v>
                </c:pt>
                <c:pt idx="582">
                  <c:v>344.41800000000001</c:v>
                </c:pt>
                <c:pt idx="583">
                  <c:v>352.47199999999998</c:v>
                </c:pt>
                <c:pt idx="584">
                  <c:v>341.05799999999999</c:v>
                </c:pt>
                <c:pt idx="585">
                  <c:v>343.93400000000003</c:v>
                </c:pt>
                <c:pt idx="586">
                  <c:v>331.88499999999999</c:v>
                </c:pt>
                <c:pt idx="587">
                  <c:v>334.97899999999998</c:v>
                </c:pt>
                <c:pt idx="588">
                  <c:v>332.45400000000001</c:v>
                </c:pt>
                <c:pt idx="589">
                  <c:v>332.45400000000001</c:v>
                </c:pt>
                <c:pt idx="590">
                  <c:v>334.74099999999999</c:v>
                </c:pt>
                <c:pt idx="591">
                  <c:v>337.577</c:v>
                </c:pt>
                <c:pt idx="592">
                  <c:v>339.35199999999998</c:v>
                </c:pt>
                <c:pt idx="593">
                  <c:v>336.92599999999999</c:v>
                </c:pt>
                <c:pt idx="594">
                  <c:v>334.67399999999998</c:v>
                </c:pt>
                <c:pt idx="595">
                  <c:v>338.767</c:v>
                </c:pt>
                <c:pt idx="596">
                  <c:v>335.36099999999999</c:v>
                </c:pt>
                <c:pt idx="597">
                  <c:v>334.31</c:v>
                </c:pt>
                <c:pt idx="598">
                  <c:v>329.27699999999999</c:v>
                </c:pt>
                <c:pt idx="599">
                  <c:v>324.57299999999998</c:v>
                </c:pt>
                <c:pt idx="600">
                  <c:v>328.22199999999998</c:v>
                </c:pt>
                <c:pt idx="601">
                  <c:v>331.34399999999999</c:v>
                </c:pt>
                <c:pt idx="602">
                  <c:v>326.16899999999998</c:v>
                </c:pt>
                <c:pt idx="603">
                  <c:v>324.178</c:v>
                </c:pt>
                <c:pt idx="604">
                  <c:v>322.50799999999998</c:v>
                </c:pt>
                <c:pt idx="605">
                  <c:v>320.12200000000001</c:v>
                </c:pt>
                <c:pt idx="606">
                  <c:v>324.18299999999999</c:v>
                </c:pt>
                <c:pt idx="607">
                  <c:v>326.72399999999999</c:v>
                </c:pt>
                <c:pt idx="608">
                  <c:v>331.70600000000002</c:v>
                </c:pt>
                <c:pt idx="609">
                  <c:v>331.70600000000002</c:v>
                </c:pt>
                <c:pt idx="610">
                  <c:v>325.30700000000002</c:v>
                </c:pt>
                <c:pt idx="611">
                  <c:v>319.47399999999999</c:v>
                </c:pt>
                <c:pt idx="612">
                  <c:v>315.51600000000002</c:v>
                </c:pt>
                <c:pt idx="613">
                  <c:v>325.15800000000002</c:v>
                </c:pt>
                <c:pt idx="614">
                  <c:v>283.49700000000001</c:v>
                </c:pt>
                <c:pt idx="615">
                  <c:v>284.09399999999999</c:v>
                </c:pt>
                <c:pt idx="616">
                  <c:v>280.63799999999998</c:v>
                </c:pt>
                <c:pt idx="617">
                  <c:v>284.59699999999998</c:v>
                </c:pt>
                <c:pt idx="618">
                  <c:v>283.50700000000001</c:v>
                </c:pt>
                <c:pt idx="619">
                  <c:v>291.96499999999997</c:v>
                </c:pt>
                <c:pt idx="620">
                  <c:v>293.892</c:v>
                </c:pt>
                <c:pt idx="621">
                  <c:v>293.33999999999997</c:v>
                </c:pt>
                <c:pt idx="622">
                  <c:v>291.92200000000003</c:v>
                </c:pt>
                <c:pt idx="623">
                  <c:v>292.25400000000002</c:v>
                </c:pt>
              </c:numCache>
            </c:numRef>
          </c:val>
          <c:smooth val="0"/>
          <c:extLst>
            <c:ext xmlns:c16="http://schemas.microsoft.com/office/drawing/2014/chart" uri="{C3380CC4-5D6E-409C-BE32-E72D297353CC}">
              <c16:uniqueId val="{00000000-4EEE-436B-AFC1-C498D6096249}"/>
            </c:ext>
          </c:extLst>
        </c:ser>
        <c:ser>
          <c:idx val="1"/>
          <c:order val="1"/>
          <c:tx>
            <c:strRef>
              <c:f>Sheet1!$C$1</c:f>
              <c:strCache>
                <c:ptCount val="1"/>
                <c:pt idx="0">
                  <c:v>Ռուսաստան (2026թ.)</c:v>
                </c:pt>
              </c:strCache>
            </c:strRef>
          </c:tx>
          <c:spPr>
            <a:ln w="28575" cap="rnd">
              <a:solidFill>
                <a:schemeClr val="accent2"/>
              </a:solidFill>
              <a:round/>
            </a:ln>
            <a:effectLst/>
          </c:spPr>
          <c:marker>
            <c:symbol val="none"/>
          </c:marker>
          <c:cat>
            <c:numRef>
              <c:f>Sheet1!$A$2:$A$625</c:f>
              <c:numCache>
                <c:formatCode>m\/d\/yyyy</c:formatCode>
                <c:ptCount val="624"/>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numCache>
            </c:numRef>
          </c:cat>
          <c:val>
            <c:numRef>
              <c:f>Sheet1!$C$2:$C$625</c:f>
              <c:numCache>
                <c:formatCode>0</c:formatCode>
                <c:ptCount val="624"/>
                <c:pt idx="0">
                  <c:v>220.47</c:v>
                </c:pt>
                <c:pt idx="1">
                  <c:v>222.61600000000001</c:v>
                </c:pt>
                <c:pt idx="2">
                  <c:v>228.64</c:v>
                </c:pt>
                <c:pt idx="3">
                  <c:v>203.69300000000001</c:v>
                </c:pt>
                <c:pt idx="4">
                  <c:v>194.91399999999999</c:v>
                </c:pt>
                <c:pt idx="5">
                  <c:v>190.78800000000001</c:v>
                </c:pt>
                <c:pt idx="6">
                  <c:v>188.86799999999999</c:v>
                </c:pt>
                <c:pt idx="7">
                  <c:v>190.86099999999999</c:v>
                </c:pt>
                <c:pt idx="8">
                  <c:v>190.322</c:v>
                </c:pt>
                <c:pt idx="9">
                  <c:v>190.33799999999999</c:v>
                </c:pt>
                <c:pt idx="10">
                  <c:v>187.42599999999999</c:v>
                </c:pt>
                <c:pt idx="11">
                  <c:v>184.25200000000001</c:v>
                </c:pt>
                <c:pt idx="12">
                  <c:v>182.411</c:v>
                </c:pt>
                <c:pt idx="13">
                  <c:v>174.941</c:v>
                </c:pt>
                <c:pt idx="14">
                  <c:v>174.941</c:v>
                </c:pt>
                <c:pt idx="15">
                  <c:v>181.71899999999999</c:v>
                </c:pt>
                <c:pt idx="16">
                  <c:v>180.08799999999999</c:v>
                </c:pt>
                <c:pt idx="17">
                  <c:v>179.535</c:v>
                </c:pt>
                <c:pt idx="18">
                  <c:v>180.68899999999999</c:v>
                </c:pt>
                <c:pt idx="19">
                  <c:v>183.042</c:v>
                </c:pt>
                <c:pt idx="20">
                  <c:v>186.56100000000001</c:v>
                </c:pt>
                <c:pt idx="21">
                  <c:v>185.767</c:v>
                </c:pt>
                <c:pt idx="22">
                  <c:v>184.21299999999999</c:v>
                </c:pt>
                <c:pt idx="23">
                  <c:v>187.19800000000001</c:v>
                </c:pt>
                <c:pt idx="24">
                  <c:v>183.68899999999999</c:v>
                </c:pt>
                <c:pt idx="25">
                  <c:v>184.858</c:v>
                </c:pt>
                <c:pt idx="26">
                  <c:v>184.22399999999999</c:v>
                </c:pt>
                <c:pt idx="27">
                  <c:v>188.13</c:v>
                </c:pt>
                <c:pt idx="28">
                  <c:v>195.702</c:v>
                </c:pt>
                <c:pt idx="29">
                  <c:v>192.81</c:v>
                </c:pt>
                <c:pt idx="30">
                  <c:v>190.14099999999999</c:v>
                </c:pt>
                <c:pt idx="31">
                  <c:v>189.18299999999999</c:v>
                </c:pt>
                <c:pt idx="32">
                  <c:v>202.322</c:v>
                </c:pt>
                <c:pt idx="33">
                  <c:v>201.553</c:v>
                </c:pt>
                <c:pt idx="34">
                  <c:v>197.084</c:v>
                </c:pt>
                <c:pt idx="35">
                  <c:v>200.726</c:v>
                </c:pt>
                <c:pt idx="36">
                  <c:v>197.63399999999999</c:v>
                </c:pt>
                <c:pt idx="37">
                  <c:v>195.68</c:v>
                </c:pt>
                <c:pt idx="38">
                  <c:v>197.51300000000001</c:v>
                </c:pt>
                <c:pt idx="39">
                  <c:v>191.53700000000001</c:v>
                </c:pt>
                <c:pt idx="40">
                  <c:v>193.12</c:v>
                </c:pt>
                <c:pt idx="41">
                  <c:v>187.99199999999999</c:v>
                </c:pt>
                <c:pt idx="42">
                  <c:v>181.21299999999999</c:v>
                </c:pt>
                <c:pt idx="43">
                  <c:v>183.69399999999999</c:v>
                </c:pt>
                <c:pt idx="44">
                  <c:v>180.36199999999999</c:v>
                </c:pt>
                <c:pt idx="45">
                  <c:v>181.018</c:v>
                </c:pt>
                <c:pt idx="46">
                  <c:v>182.005</c:v>
                </c:pt>
                <c:pt idx="47">
                  <c:v>185.40299999999999</c:v>
                </c:pt>
                <c:pt idx="48">
                  <c:v>188.215</c:v>
                </c:pt>
                <c:pt idx="49">
                  <c:v>180.041</c:v>
                </c:pt>
                <c:pt idx="50">
                  <c:v>178.89400000000001</c:v>
                </c:pt>
                <c:pt idx="51">
                  <c:v>178.21700000000001</c:v>
                </c:pt>
                <c:pt idx="52">
                  <c:v>177.172</c:v>
                </c:pt>
                <c:pt idx="53">
                  <c:v>182.084</c:v>
                </c:pt>
                <c:pt idx="54">
                  <c:v>178.44300000000001</c:v>
                </c:pt>
                <c:pt idx="55">
                  <c:v>176.13499999999999</c:v>
                </c:pt>
                <c:pt idx="56">
                  <c:v>184.18899999999999</c:v>
                </c:pt>
                <c:pt idx="57">
                  <c:v>181.828</c:v>
                </c:pt>
                <c:pt idx="58">
                  <c:v>190.333</c:v>
                </c:pt>
                <c:pt idx="59">
                  <c:v>194.73</c:v>
                </c:pt>
                <c:pt idx="60">
                  <c:v>187.976</c:v>
                </c:pt>
                <c:pt idx="61">
                  <c:v>195.23500000000001</c:v>
                </c:pt>
                <c:pt idx="62">
                  <c:v>190.71199999999999</c:v>
                </c:pt>
                <c:pt idx="63">
                  <c:v>189.29400000000001</c:v>
                </c:pt>
                <c:pt idx="64">
                  <c:v>180.93299999999999</c:v>
                </c:pt>
                <c:pt idx="65">
                  <c:v>182.21700000000001</c:v>
                </c:pt>
                <c:pt idx="66">
                  <c:v>182.06700000000001</c:v>
                </c:pt>
                <c:pt idx="67">
                  <c:v>182.215</c:v>
                </c:pt>
                <c:pt idx="68">
                  <c:v>179.923</c:v>
                </c:pt>
                <c:pt idx="69">
                  <c:v>178.18299999999999</c:v>
                </c:pt>
                <c:pt idx="70">
                  <c:v>178.82300000000001</c:v>
                </c:pt>
                <c:pt idx="71">
                  <c:v>182.16900000000001</c:v>
                </c:pt>
                <c:pt idx="72">
                  <c:v>178.756</c:v>
                </c:pt>
                <c:pt idx="73">
                  <c:v>177.315</c:v>
                </c:pt>
                <c:pt idx="74">
                  <c:v>175.22</c:v>
                </c:pt>
                <c:pt idx="75">
                  <c:v>171.541</c:v>
                </c:pt>
                <c:pt idx="76">
                  <c:v>168.61500000000001</c:v>
                </c:pt>
                <c:pt idx="77">
                  <c:v>173.81899999999999</c:v>
                </c:pt>
                <c:pt idx="78">
                  <c:v>173.81899999999999</c:v>
                </c:pt>
                <c:pt idx="79">
                  <c:v>173.81899999999999</c:v>
                </c:pt>
                <c:pt idx="80">
                  <c:v>170.02600000000001</c:v>
                </c:pt>
                <c:pt idx="81">
                  <c:v>173.369</c:v>
                </c:pt>
                <c:pt idx="82">
                  <c:v>173.547</c:v>
                </c:pt>
                <c:pt idx="83">
                  <c:v>174.36600000000001</c:v>
                </c:pt>
                <c:pt idx="84">
                  <c:v>169.33099999999999</c:v>
                </c:pt>
                <c:pt idx="85">
                  <c:v>169.196</c:v>
                </c:pt>
                <c:pt idx="86">
                  <c:v>167.797</c:v>
                </c:pt>
                <c:pt idx="87">
                  <c:v>170.71199999999999</c:v>
                </c:pt>
                <c:pt idx="88">
                  <c:v>172.20400000000001</c:v>
                </c:pt>
                <c:pt idx="89">
                  <c:v>172.20400000000001</c:v>
                </c:pt>
                <c:pt idx="90">
                  <c:v>182.655</c:v>
                </c:pt>
                <c:pt idx="91">
                  <c:v>184.08600000000001</c:v>
                </c:pt>
                <c:pt idx="92">
                  <c:v>184.38</c:v>
                </c:pt>
                <c:pt idx="93">
                  <c:v>184.80099999999999</c:v>
                </c:pt>
                <c:pt idx="94">
                  <c:v>191.227</c:v>
                </c:pt>
                <c:pt idx="95">
                  <c:v>189.58500000000001</c:v>
                </c:pt>
                <c:pt idx="96">
                  <c:v>192.88</c:v>
                </c:pt>
                <c:pt idx="97">
                  <c:v>183.01900000000001</c:v>
                </c:pt>
                <c:pt idx="98">
                  <c:v>179.34899999999999</c:v>
                </c:pt>
                <c:pt idx="99">
                  <c:v>175.02600000000001</c:v>
                </c:pt>
                <c:pt idx="100">
                  <c:v>170.119</c:v>
                </c:pt>
                <c:pt idx="101">
                  <c:v>174.001</c:v>
                </c:pt>
                <c:pt idx="102">
                  <c:v>183.63300000000001</c:v>
                </c:pt>
                <c:pt idx="103">
                  <c:v>180.81</c:v>
                </c:pt>
                <c:pt idx="104">
                  <c:v>180.81</c:v>
                </c:pt>
                <c:pt idx="105">
                  <c:v>182.161</c:v>
                </c:pt>
                <c:pt idx="106">
                  <c:v>184.13399999999999</c:v>
                </c:pt>
                <c:pt idx="107">
                  <c:v>186.828</c:v>
                </c:pt>
                <c:pt idx="108">
                  <c:v>192.01900000000001</c:v>
                </c:pt>
                <c:pt idx="109">
                  <c:v>202.62299999999999</c:v>
                </c:pt>
                <c:pt idx="110">
                  <c:v>193.38399999999999</c:v>
                </c:pt>
                <c:pt idx="111">
                  <c:v>185.79900000000001</c:v>
                </c:pt>
                <c:pt idx="112">
                  <c:v>184.20400000000001</c:v>
                </c:pt>
                <c:pt idx="113">
                  <c:v>185.922</c:v>
                </c:pt>
                <c:pt idx="114">
                  <c:v>175.822</c:v>
                </c:pt>
                <c:pt idx="115">
                  <c:v>177.95500000000001</c:v>
                </c:pt>
                <c:pt idx="116">
                  <c:v>182.14400000000001</c:v>
                </c:pt>
                <c:pt idx="117">
                  <c:v>187.02099999999999</c:v>
                </c:pt>
                <c:pt idx="118">
                  <c:v>188.13</c:v>
                </c:pt>
                <c:pt idx="119">
                  <c:v>186.99</c:v>
                </c:pt>
                <c:pt idx="120">
                  <c:v>181.41900000000001</c:v>
                </c:pt>
                <c:pt idx="121">
                  <c:v>182.62899999999999</c:v>
                </c:pt>
                <c:pt idx="122">
                  <c:v>168.601</c:v>
                </c:pt>
                <c:pt idx="123">
                  <c:v>181.87</c:v>
                </c:pt>
                <c:pt idx="124">
                  <c:v>187.42500000000001</c:v>
                </c:pt>
                <c:pt idx="125">
                  <c:v>189.51499999999999</c:v>
                </c:pt>
                <c:pt idx="126">
                  <c:v>190.28399999999999</c:v>
                </c:pt>
                <c:pt idx="127">
                  <c:v>187.233</c:v>
                </c:pt>
                <c:pt idx="128">
                  <c:v>182.886</c:v>
                </c:pt>
                <c:pt idx="129">
                  <c:v>174.417</c:v>
                </c:pt>
                <c:pt idx="130">
                  <c:v>178.922</c:v>
                </c:pt>
                <c:pt idx="131">
                  <c:v>178.666</c:v>
                </c:pt>
                <c:pt idx="132">
                  <c:v>178.80799999999999</c:v>
                </c:pt>
                <c:pt idx="133">
                  <c:v>176.39400000000001</c:v>
                </c:pt>
                <c:pt idx="134">
                  <c:v>171.553</c:v>
                </c:pt>
                <c:pt idx="135">
                  <c:v>174.74700000000001</c:v>
                </c:pt>
                <c:pt idx="136">
                  <c:v>180.143</c:v>
                </c:pt>
                <c:pt idx="137">
                  <c:v>175.655</c:v>
                </c:pt>
                <c:pt idx="138">
                  <c:v>178.364</c:v>
                </c:pt>
                <c:pt idx="139">
                  <c:v>174.33799999999999</c:v>
                </c:pt>
                <c:pt idx="140">
                  <c:v>169.30500000000001</c:v>
                </c:pt>
                <c:pt idx="141">
                  <c:v>171.316</c:v>
                </c:pt>
                <c:pt idx="142">
                  <c:v>173.75200000000001</c:v>
                </c:pt>
                <c:pt idx="143">
                  <c:v>170.12100000000001</c:v>
                </c:pt>
                <c:pt idx="144">
                  <c:v>170.476</c:v>
                </c:pt>
                <c:pt idx="145">
                  <c:v>165.11199999999999</c:v>
                </c:pt>
                <c:pt idx="146">
                  <c:v>167.52199999999999</c:v>
                </c:pt>
                <c:pt idx="147">
                  <c:v>163.04599999999999</c:v>
                </c:pt>
                <c:pt idx="148">
                  <c:v>162.96899999999999</c:v>
                </c:pt>
                <c:pt idx="149">
                  <c:v>162.19399999999999</c:v>
                </c:pt>
                <c:pt idx="150">
                  <c:v>163</c:v>
                </c:pt>
                <c:pt idx="151">
                  <c:v>167.01499999999999</c:v>
                </c:pt>
                <c:pt idx="152">
                  <c:v>183.78899999999999</c:v>
                </c:pt>
                <c:pt idx="153">
                  <c:v>187.166</c:v>
                </c:pt>
                <c:pt idx="154">
                  <c:v>197.922</c:v>
                </c:pt>
                <c:pt idx="155">
                  <c:v>197.68</c:v>
                </c:pt>
                <c:pt idx="156">
                  <c:v>198.76400000000001</c:v>
                </c:pt>
                <c:pt idx="157">
                  <c:v>187.483</c:v>
                </c:pt>
                <c:pt idx="158">
                  <c:v>189.81399999999999</c:v>
                </c:pt>
                <c:pt idx="159">
                  <c:v>195.34100000000001</c:v>
                </c:pt>
                <c:pt idx="160">
                  <c:v>189.38800000000001</c:v>
                </c:pt>
                <c:pt idx="161">
                  <c:v>194.435</c:v>
                </c:pt>
                <c:pt idx="162">
                  <c:v>198.15899999999999</c:v>
                </c:pt>
                <c:pt idx="163">
                  <c:v>197.78299999999999</c:v>
                </c:pt>
                <c:pt idx="164">
                  <c:v>192.083</c:v>
                </c:pt>
                <c:pt idx="165">
                  <c:v>191.72300000000001</c:v>
                </c:pt>
                <c:pt idx="166">
                  <c:v>187.441</c:v>
                </c:pt>
                <c:pt idx="167">
                  <c:v>184.49799999999999</c:v>
                </c:pt>
                <c:pt idx="168">
                  <c:v>193.935</c:v>
                </c:pt>
                <c:pt idx="169">
                  <c:v>193.935</c:v>
                </c:pt>
                <c:pt idx="170">
                  <c:v>188.88</c:v>
                </c:pt>
                <c:pt idx="171">
                  <c:v>188.77199999999999</c:v>
                </c:pt>
                <c:pt idx="172">
                  <c:v>182.72800000000001</c:v>
                </c:pt>
                <c:pt idx="173">
                  <c:v>182.38800000000001</c:v>
                </c:pt>
                <c:pt idx="174">
                  <c:v>182.173</c:v>
                </c:pt>
                <c:pt idx="175">
                  <c:v>181.59899999999999</c:v>
                </c:pt>
                <c:pt idx="176">
                  <c:v>174.374</c:v>
                </c:pt>
                <c:pt idx="177">
                  <c:v>167.85900000000001</c:v>
                </c:pt>
                <c:pt idx="178">
                  <c:v>169.79499999999999</c:v>
                </c:pt>
                <c:pt idx="179">
                  <c:v>165.93199999999999</c:v>
                </c:pt>
                <c:pt idx="180">
                  <c:v>163.298</c:v>
                </c:pt>
                <c:pt idx="181">
                  <c:v>162.18100000000001</c:v>
                </c:pt>
                <c:pt idx="182">
                  <c:v>158.28</c:v>
                </c:pt>
                <c:pt idx="183">
                  <c:v>151.82</c:v>
                </c:pt>
                <c:pt idx="184">
                  <c:v>155.33099999999999</c:v>
                </c:pt>
                <c:pt idx="185">
                  <c:v>156.499</c:v>
                </c:pt>
                <c:pt idx="186">
                  <c:v>153.09200000000001</c:v>
                </c:pt>
                <c:pt idx="187">
                  <c:v>153.56399999999999</c:v>
                </c:pt>
                <c:pt idx="188">
                  <c:v>154.24700000000001</c:v>
                </c:pt>
                <c:pt idx="189">
                  <c:v>149.71600000000001</c:v>
                </c:pt>
                <c:pt idx="190">
                  <c:v>160.53200000000001</c:v>
                </c:pt>
                <c:pt idx="191">
                  <c:v>155.22800000000001</c:v>
                </c:pt>
                <c:pt idx="192">
                  <c:v>161.185</c:v>
                </c:pt>
                <c:pt idx="193">
                  <c:v>163.53800000000001</c:v>
                </c:pt>
                <c:pt idx="194">
                  <c:v>166.42099999999999</c:v>
                </c:pt>
                <c:pt idx="195">
                  <c:v>172.67599999999999</c:v>
                </c:pt>
                <c:pt idx="196">
                  <c:v>179.77</c:v>
                </c:pt>
                <c:pt idx="197">
                  <c:v>182.221</c:v>
                </c:pt>
                <c:pt idx="198">
                  <c:v>180.22900000000001</c:v>
                </c:pt>
                <c:pt idx="199">
                  <c:v>175.11199999999999</c:v>
                </c:pt>
                <c:pt idx="200">
                  <c:v>181.26300000000001</c:v>
                </c:pt>
                <c:pt idx="201">
                  <c:v>176.654</c:v>
                </c:pt>
                <c:pt idx="202">
                  <c:v>172.941</c:v>
                </c:pt>
                <c:pt idx="203">
                  <c:v>160.679</c:v>
                </c:pt>
                <c:pt idx="204">
                  <c:v>164.048</c:v>
                </c:pt>
                <c:pt idx="205">
                  <c:v>156.50299999999999</c:v>
                </c:pt>
                <c:pt idx="206">
                  <c:v>156.898</c:v>
                </c:pt>
                <c:pt idx="207">
                  <c:v>155.65799999999999</c:v>
                </c:pt>
                <c:pt idx="208">
                  <c:v>156.78800000000001</c:v>
                </c:pt>
                <c:pt idx="209">
                  <c:v>150.32599999999999</c:v>
                </c:pt>
                <c:pt idx="210">
                  <c:v>152.09</c:v>
                </c:pt>
                <c:pt idx="211">
                  <c:v>149.357</c:v>
                </c:pt>
                <c:pt idx="212">
                  <c:v>149.01599999999999</c:v>
                </c:pt>
                <c:pt idx="213">
                  <c:v>145.33099999999999</c:v>
                </c:pt>
                <c:pt idx="214">
                  <c:v>143.309</c:v>
                </c:pt>
                <c:pt idx="215">
                  <c:v>143.45099999999999</c:v>
                </c:pt>
                <c:pt idx="216">
                  <c:v>147.46700000000001</c:v>
                </c:pt>
                <c:pt idx="217">
                  <c:v>150.02000000000001</c:v>
                </c:pt>
                <c:pt idx="218">
                  <c:v>143.78800000000001</c:v>
                </c:pt>
                <c:pt idx="219">
                  <c:v>137.36500000000001</c:v>
                </c:pt>
                <c:pt idx="220">
                  <c:v>135.18600000000001</c:v>
                </c:pt>
                <c:pt idx="221">
                  <c:v>136.941</c:v>
                </c:pt>
                <c:pt idx="222">
                  <c:v>131.54300000000001</c:v>
                </c:pt>
                <c:pt idx="223">
                  <c:v>128.46700000000001</c:v>
                </c:pt>
                <c:pt idx="224">
                  <c:v>127.599</c:v>
                </c:pt>
                <c:pt idx="225">
                  <c:v>128.15</c:v>
                </c:pt>
                <c:pt idx="226">
                  <c:v>132.90899999999999</c:v>
                </c:pt>
                <c:pt idx="227">
                  <c:v>134.148</c:v>
                </c:pt>
                <c:pt idx="228">
                  <c:v>133.12299999999999</c:v>
                </c:pt>
                <c:pt idx="229">
                  <c:v>134.541</c:v>
                </c:pt>
                <c:pt idx="230">
                  <c:v>137.90700000000001</c:v>
                </c:pt>
                <c:pt idx="231">
                  <c:v>136.19900000000001</c:v>
                </c:pt>
                <c:pt idx="232">
                  <c:v>131.785</c:v>
                </c:pt>
                <c:pt idx="233">
                  <c:v>131.012</c:v>
                </c:pt>
                <c:pt idx="234">
                  <c:v>131.179</c:v>
                </c:pt>
                <c:pt idx="235">
                  <c:v>132.12799999999999</c:v>
                </c:pt>
                <c:pt idx="236">
                  <c:v>127.896</c:v>
                </c:pt>
                <c:pt idx="237">
                  <c:v>125.325</c:v>
                </c:pt>
                <c:pt idx="238">
                  <c:v>126.52</c:v>
                </c:pt>
                <c:pt idx="239">
                  <c:v>126.017</c:v>
                </c:pt>
                <c:pt idx="240">
                  <c:v>134.637</c:v>
                </c:pt>
                <c:pt idx="241">
                  <c:v>128.36500000000001</c:v>
                </c:pt>
                <c:pt idx="242">
                  <c:v>122.666</c:v>
                </c:pt>
                <c:pt idx="243">
                  <c:v>120.76</c:v>
                </c:pt>
                <c:pt idx="244">
                  <c:v>119.771</c:v>
                </c:pt>
                <c:pt idx="245">
                  <c:v>116.18300000000001</c:v>
                </c:pt>
                <c:pt idx="246">
                  <c:v>113.79</c:v>
                </c:pt>
                <c:pt idx="247">
                  <c:v>103.974</c:v>
                </c:pt>
                <c:pt idx="248">
                  <c:v>110.374</c:v>
                </c:pt>
                <c:pt idx="249">
                  <c:v>99.992000000000004</c:v>
                </c:pt>
                <c:pt idx="250">
                  <c:v>98.933000000000007</c:v>
                </c:pt>
                <c:pt idx="251">
                  <c:v>96.567999999999998</c:v>
                </c:pt>
                <c:pt idx="252">
                  <c:v>101.67100000000001</c:v>
                </c:pt>
                <c:pt idx="253">
                  <c:v>99.706000000000003</c:v>
                </c:pt>
                <c:pt idx="254">
                  <c:v>96.239000000000004</c:v>
                </c:pt>
                <c:pt idx="255">
                  <c:v>100.36799999999999</c:v>
                </c:pt>
                <c:pt idx="256">
                  <c:v>100.36799999999999</c:v>
                </c:pt>
                <c:pt idx="257">
                  <c:v>100.36799999999999</c:v>
                </c:pt>
                <c:pt idx="258">
                  <c:v>101.43</c:v>
                </c:pt>
                <c:pt idx="259">
                  <c:v>98.611999999999995</c:v>
                </c:pt>
                <c:pt idx="260">
                  <c:v>94.194000000000003</c:v>
                </c:pt>
                <c:pt idx="261">
                  <c:v>94.194000000000003</c:v>
                </c:pt>
                <c:pt idx="262">
                  <c:v>100.93600000000001</c:v>
                </c:pt>
                <c:pt idx="263">
                  <c:v>111.648</c:v>
                </c:pt>
                <c:pt idx="264">
                  <c:v>114.494</c:v>
                </c:pt>
                <c:pt idx="265">
                  <c:v>114.39</c:v>
                </c:pt>
                <c:pt idx="266">
                  <c:v>106.19199999999999</c:v>
                </c:pt>
                <c:pt idx="267">
                  <c:v>107.033</c:v>
                </c:pt>
                <c:pt idx="268">
                  <c:v>110.688</c:v>
                </c:pt>
                <c:pt idx="269">
                  <c:v>102.11199999999999</c:v>
                </c:pt>
                <c:pt idx="270">
                  <c:v>103.60599999999999</c:v>
                </c:pt>
                <c:pt idx="271">
                  <c:v>103.291</c:v>
                </c:pt>
                <c:pt idx="272">
                  <c:v>100.496</c:v>
                </c:pt>
                <c:pt idx="273">
                  <c:v>100.22199999999999</c:v>
                </c:pt>
                <c:pt idx="274">
                  <c:v>99.262</c:v>
                </c:pt>
                <c:pt idx="275">
                  <c:v>103.64100000000001</c:v>
                </c:pt>
                <c:pt idx="276">
                  <c:v>102.696</c:v>
                </c:pt>
                <c:pt idx="277">
                  <c:v>105.20099999999999</c:v>
                </c:pt>
                <c:pt idx="278">
                  <c:v>109.562</c:v>
                </c:pt>
                <c:pt idx="279">
                  <c:v>116.07899999999999</c:v>
                </c:pt>
                <c:pt idx="280">
                  <c:v>109.01900000000001</c:v>
                </c:pt>
                <c:pt idx="281">
                  <c:v>114.27</c:v>
                </c:pt>
                <c:pt idx="282">
                  <c:v>107.89</c:v>
                </c:pt>
                <c:pt idx="283">
                  <c:v>111.60299999999999</c:v>
                </c:pt>
                <c:pt idx="284">
                  <c:v>112.84399999999999</c:v>
                </c:pt>
                <c:pt idx="285">
                  <c:v>112.34099999999999</c:v>
                </c:pt>
                <c:pt idx="286">
                  <c:v>106.116</c:v>
                </c:pt>
                <c:pt idx="287">
                  <c:v>107.691</c:v>
                </c:pt>
                <c:pt idx="288">
                  <c:v>113.491</c:v>
                </c:pt>
                <c:pt idx="289">
                  <c:v>115.01900000000001</c:v>
                </c:pt>
                <c:pt idx="290">
                  <c:v>101.31100000000001</c:v>
                </c:pt>
                <c:pt idx="291">
                  <c:v>99.956999999999994</c:v>
                </c:pt>
                <c:pt idx="292">
                  <c:v>100.726</c:v>
                </c:pt>
                <c:pt idx="293">
                  <c:v>101.929</c:v>
                </c:pt>
                <c:pt idx="294">
                  <c:v>98.477000000000004</c:v>
                </c:pt>
                <c:pt idx="295">
                  <c:v>104.703</c:v>
                </c:pt>
                <c:pt idx="296">
                  <c:v>101.744</c:v>
                </c:pt>
                <c:pt idx="297">
                  <c:v>105.26</c:v>
                </c:pt>
                <c:pt idx="298">
                  <c:v>107.235</c:v>
                </c:pt>
                <c:pt idx="299">
                  <c:v>111.428</c:v>
                </c:pt>
                <c:pt idx="300">
                  <c:v>115.85899999999999</c:v>
                </c:pt>
                <c:pt idx="301">
                  <c:v>117.76</c:v>
                </c:pt>
                <c:pt idx="302">
                  <c:v>128.886</c:v>
                </c:pt>
                <c:pt idx="303">
                  <c:v>150.929</c:v>
                </c:pt>
                <c:pt idx="304">
                  <c:v>147.44300000000001</c:v>
                </c:pt>
                <c:pt idx="305">
                  <c:v>145.12</c:v>
                </c:pt>
                <c:pt idx="306">
                  <c:v>151.506</c:v>
                </c:pt>
                <c:pt idx="307">
                  <c:v>151.506</c:v>
                </c:pt>
                <c:pt idx="308">
                  <c:v>159.226</c:v>
                </c:pt>
                <c:pt idx="309">
                  <c:v>204.905</c:v>
                </c:pt>
                <c:pt idx="310">
                  <c:v>187.87100000000001</c:v>
                </c:pt>
                <c:pt idx="311">
                  <c:v>192.14</c:v>
                </c:pt>
                <c:pt idx="312">
                  <c:v>255.07400000000001</c:v>
                </c:pt>
                <c:pt idx="313">
                  <c:v>235.77500000000001</c:v>
                </c:pt>
                <c:pt idx="314">
                  <c:v>276.42700000000002</c:v>
                </c:pt>
                <c:pt idx="315">
                  <c:v>268.709</c:v>
                </c:pt>
                <c:pt idx="316">
                  <c:v>350.71800000000002</c:v>
                </c:pt>
                <c:pt idx="317">
                  <c:v>369.35700000000003</c:v>
                </c:pt>
                <c:pt idx="318">
                  <c:v>373.596</c:v>
                </c:pt>
                <c:pt idx="319">
                  <c:v>391.041</c:v>
                </c:pt>
                <c:pt idx="320">
                  <c:v>391.041</c:v>
                </c:pt>
                <c:pt idx="321">
                  <c:v>300.49799999999999</c:v>
                </c:pt>
                <c:pt idx="322">
                  <c:v>307.61399999999998</c:v>
                </c:pt>
                <c:pt idx="323">
                  <c:v>289.13</c:v>
                </c:pt>
                <c:pt idx="324">
                  <c:v>316.29300000000001</c:v>
                </c:pt>
                <c:pt idx="325">
                  <c:v>302.995</c:v>
                </c:pt>
                <c:pt idx="326">
                  <c:v>304.36200000000002</c:v>
                </c:pt>
                <c:pt idx="327">
                  <c:v>297.51</c:v>
                </c:pt>
                <c:pt idx="328">
                  <c:v>297.51</c:v>
                </c:pt>
                <c:pt idx="329">
                  <c:v>257.024</c:v>
                </c:pt>
                <c:pt idx="330">
                  <c:v>226.33099999999999</c:v>
                </c:pt>
                <c:pt idx="331">
                  <c:v>233.64099999999999</c:v>
                </c:pt>
                <c:pt idx="332">
                  <c:v>226.18899999999999</c:v>
                </c:pt>
                <c:pt idx="333">
                  <c:v>226.18899999999999</c:v>
                </c:pt>
                <c:pt idx="334">
                  <c:v>226.18899999999999</c:v>
                </c:pt>
                <c:pt idx="335">
                  <c:v>223.184</c:v>
                </c:pt>
                <c:pt idx="336">
                  <c:v>240.17099999999999</c:v>
                </c:pt>
                <c:pt idx="337">
                  <c:v>236.28700000000001</c:v>
                </c:pt>
                <c:pt idx="338">
                  <c:v>233.61699999999999</c:v>
                </c:pt>
                <c:pt idx="339">
                  <c:v>241.256</c:v>
                </c:pt>
                <c:pt idx="340">
                  <c:v>253.69</c:v>
                </c:pt>
                <c:pt idx="341">
                  <c:v>249.61199999999999</c:v>
                </c:pt>
                <c:pt idx="342">
                  <c:v>238.85400000000001</c:v>
                </c:pt>
                <c:pt idx="343">
                  <c:v>242.83600000000001</c:v>
                </c:pt>
                <c:pt idx="344">
                  <c:v>238.036</c:v>
                </c:pt>
                <c:pt idx="345">
                  <c:v>243.584</c:v>
                </c:pt>
                <c:pt idx="346">
                  <c:v>240.95099999999999</c:v>
                </c:pt>
                <c:pt idx="347">
                  <c:v>228.006</c:v>
                </c:pt>
                <c:pt idx="348">
                  <c:v>230.893</c:v>
                </c:pt>
                <c:pt idx="349">
                  <c:v>232.702</c:v>
                </c:pt>
                <c:pt idx="350">
                  <c:v>225.27600000000001</c:v>
                </c:pt>
                <c:pt idx="351">
                  <c:v>225.036</c:v>
                </c:pt>
                <c:pt idx="352">
                  <c:v>231.078</c:v>
                </c:pt>
                <c:pt idx="353">
                  <c:v>231.078</c:v>
                </c:pt>
                <c:pt idx="354">
                  <c:v>220.053</c:v>
                </c:pt>
                <c:pt idx="355">
                  <c:v>216.86699999999999</c:v>
                </c:pt>
                <c:pt idx="356">
                  <c:v>219.04400000000001</c:v>
                </c:pt>
                <c:pt idx="357">
                  <c:v>221.32400000000001</c:v>
                </c:pt>
                <c:pt idx="358">
                  <c:v>209.649</c:v>
                </c:pt>
                <c:pt idx="359">
                  <c:v>192.946</c:v>
                </c:pt>
                <c:pt idx="360">
                  <c:v>189.46899999999999</c:v>
                </c:pt>
                <c:pt idx="361">
                  <c:v>175.03200000000001</c:v>
                </c:pt>
                <c:pt idx="362">
                  <c:v>170.89</c:v>
                </c:pt>
                <c:pt idx="363">
                  <c:v>175.52099999999999</c:v>
                </c:pt>
                <c:pt idx="364">
                  <c:v>175.52099999999999</c:v>
                </c:pt>
                <c:pt idx="365">
                  <c:v>169.767</c:v>
                </c:pt>
                <c:pt idx="366">
                  <c:v>171.91300000000001</c:v>
                </c:pt>
                <c:pt idx="367">
                  <c:v>168.52</c:v>
                </c:pt>
                <c:pt idx="368">
                  <c:v>171.929</c:v>
                </c:pt>
                <c:pt idx="369">
                  <c:v>168.64</c:v>
                </c:pt>
                <c:pt idx="370">
                  <c:v>166.846</c:v>
                </c:pt>
                <c:pt idx="371">
                  <c:v>162.49700000000001</c:v>
                </c:pt>
                <c:pt idx="372">
                  <c:v>160.99100000000001</c:v>
                </c:pt>
                <c:pt idx="373">
                  <c:v>162.14099999999999</c:v>
                </c:pt>
                <c:pt idx="374">
                  <c:v>165.70099999999999</c:v>
                </c:pt>
                <c:pt idx="375">
                  <c:v>168.18700000000001</c:v>
                </c:pt>
                <c:pt idx="376">
                  <c:v>174.41300000000001</c:v>
                </c:pt>
                <c:pt idx="377">
                  <c:v>182.74100000000001</c:v>
                </c:pt>
                <c:pt idx="378">
                  <c:v>177.62899999999999</c:v>
                </c:pt>
                <c:pt idx="379">
                  <c:v>176.715</c:v>
                </c:pt>
                <c:pt idx="380">
                  <c:v>161.70699999999999</c:v>
                </c:pt>
                <c:pt idx="381">
                  <c:v>165.25800000000001</c:v>
                </c:pt>
                <c:pt idx="382">
                  <c:v>166.69399999999999</c:v>
                </c:pt>
                <c:pt idx="383">
                  <c:v>165.608</c:v>
                </c:pt>
                <c:pt idx="384">
                  <c:v>163.506</c:v>
                </c:pt>
                <c:pt idx="385">
                  <c:v>165.03200000000001</c:v>
                </c:pt>
                <c:pt idx="386">
                  <c:v>168.82900000000001</c:v>
                </c:pt>
                <c:pt idx="387">
                  <c:v>172.83199999999999</c:v>
                </c:pt>
                <c:pt idx="388">
                  <c:v>172.86</c:v>
                </c:pt>
                <c:pt idx="389">
                  <c:v>178.542</c:v>
                </c:pt>
                <c:pt idx="390">
                  <c:v>179.38399999999999</c:v>
                </c:pt>
                <c:pt idx="391">
                  <c:v>168.65</c:v>
                </c:pt>
                <c:pt idx="392">
                  <c:v>169.613</c:v>
                </c:pt>
                <c:pt idx="393">
                  <c:v>169.94900000000001</c:v>
                </c:pt>
                <c:pt idx="394">
                  <c:v>173.94399999999999</c:v>
                </c:pt>
                <c:pt idx="395">
                  <c:v>176.82499999999999</c:v>
                </c:pt>
                <c:pt idx="396">
                  <c:v>173.47300000000001</c:v>
                </c:pt>
                <c:pt idx="397">
                  <c:v>172.804</c:v>
                </c:pt>
                <c:pt idx="398">
                  <c:v>170.607</c:v>
                </c:pt>
                <c:pt idx="399">
                  <c:v>169.083</c:v>
                </c:pt>
                <c:pt idx="400">
                  <c:v>167.18</c:v>
                </c:pt>
                <c:pt idx="401">
                  <c:v>163.11600000000001</c:v>
                </c:pt>
                <c:pt idx="402">
                  <c:v>162.096</c:v>
                </c:pt>
                <c:pt idx="403">
                  <c:v>162.28800000000001</c:v>
                </c:pt>
                <c:pt idx="404">
                  <c:v>159.21899999999999</c:v>
                </c:pt>
                <c:pt idx="405">
                  <c:v>158.88399999999999</c:v>
                </c:pt>
                <c:pt idx="406">
                  <c:v>158.51300000000001</c:v>
                </c:pt>
                <c:pt idx="407">
                  <c:v>158.09800000000001</c:v>
                </c:pt>
                <c:pt idx="408">
                  <c:v>155.03700000000001</c:v>
                </c:pt>
                <c:pt idx="409">
                  <c:v>152.244</c:v>
                </c:pt>
                <c:pt idx="410">
                  <c:v>155.66800000000001</c:v>
                </c:pt>
                <c:pt idx="411">
                  <c:v>154.691</c:v>
                </c:pt>
                <c:pt idx="412">
                  <c:v>158.30000000000001</c:v>
                </c:pt>
                <c:pt idx="413">
                  <c:v>159.84800000000001</c:v>
                </c:pt>
                <c:pt idx="414">
                  <c:v>155.268</c:v>
                </c:pt>
                <c:pt idx="415">
                  <c:v>152.245</c:v>
                </c:pt>
                <c:pt idx="416">
                  <c:v>142.267</c:v>
                </c:pt>
                <c:pt idx="417">
                  <c:v>137.17400000000001</c:v>
                </c:pt>
                <c:pt idx="418">
                  <c:v>137.17400000000001</c:v>
                </c:pt>
                <c:pt idx="419">
                  <c:v>127.146</c:v>
                </c:pt>
                <c:pt idx="420">
                  <c:v>130.64599999999999</c:v>
                </c:pt>
                <c:pt idx="421">
                  <c:v>129.95599999999999</c:v>
                </c:pt>
                <c:pt idx="422">
                  <c:v>131.44</c:v>
                </c:pt>
                <c:pt idx="423">
                  <c:v>136.256</c:v>
                </c:pt>
                <c:pt idx="424">
                  <c:v>149.66</c:v>
                </c:pt>
                <c:pt idx="425">
                  <c:v>143.90199999999999</c:v>
                </c:pt>
                <c:pt idx="426">
                  <c:v>146.75899999999999</c:v>
                </c:pt>
                <c:pt idx="427">
                  <c:v>152.072</c:v>
                </c:pt>
                <c:pt idx="428">
                  <c:v>150.10300000000001</c:v>
                </c:pt>
                <c:pt idx="429">
                  <c:v>150.47200000000001</c:v>
                </c:pt>
                <c:pt idx="430">
                  <c:v>150.21899999999999</c:v>
                </c:pt>
                <c:pt idx="431">
                  <c:v>153.64500000000001</c:v>
                </c:pt>
                <c:pt idx="432">
                  <c:v>151.291</c:v>
                </c:pt>
                <c:pt idx="433">
                  <c:v>151.63999999999999</c:v>
                </c:pt>
                <c:pt idx="434">
                  <c:v>151.63999999999999</c:v>
                </c:pt>
                <c:pt idx="435">
                  <c:v>148.99299999999999</c:v>
                </c:pt>
                <c:pt idx="436">
                  <c:v>152.291</c:v>
                </c:pt>
                <c:pt idx="437">
                  <c:v>155.12799999999999</c:v>
                </c:pt>
                <c:pt idx="438">
                  <c:v>152.88999999999999</c:v>
                </c:pt>
                <c:pt idx="439">
                  <c:v>158.11799999999999</c:v>
                </c:pt>
                <c:pt idx="440">
                  <c:v>160.483</c:v>
                </c:pt>
                <c:pt idx="441">
                  <c:v>157.26599999999999</c:v>
                </c:pt>
                <c:pt idx="442">
                  <c:v>157.34700000000001</c:v>
                </c:pt>
                <c:pt idx="443">
                  <c:v>159.75700000000001</c:v>
                </c:pt>
                <c:pt idx="444">
                  <c:v>157.69</c:v>
                </c:pt>
                <c:pt idx="445">
                  <c:v>154.07599999999999</c:v>
                </c:pt>
                <c:pt idx="446">
                  <c:v>150.214</c:v>
                </c:pt>
                <c:pt idx="447">
                  <c:v>151.02699999999999</c:v>
                </c:pt>
                <c:pt idx="448">
                  <c:v>150.65899999999999</c:v>
                </c:pt>
                <c:pt idx="449">
                  <c:v>156.999</c:v>
                </c:pt>
                <c:pt idx="450">
                  <c:v>156.04300000000001</c:v>
                </c:pt>
                <c:pt idx="451">
                  <c:v>153.71100000000001</c:v>
                </c:pt>
                <c:pt idx="452">
                  <c:v>158.91999999999999</c:v>
                </c:pt>
                <c:pt idx="453">
                  <c:v>158.51900000000001</c:v>
                </c:pt>
                <c:pt idx="454">
                  <c:v>159.83500000000001</c:v>
                </c:pt>
                <c:pt idx="455">
                  <c:v>160.22499999999999</c:v>
                </c:pt>
                <c:pt idx="456">
                  <c:v>154.822</c:v>
                </c:pt>
                <c:pt idx="457">
                  <c:v>151.76900000000001</c:v>
                </c:pt>
                <c:pt idx="458">
                  <c:v>154.34299999999999</c:v>
                </c:pt>
                <c:pt idx="459">
                  <c:v>152.1</c:v>
                </c:pt>
                <c:pt idx="460">
                  <c:v>153.77799999999999</c:v>
                </c:pt>
                <c:pt idx="461">
                  <c:v>151.489</c:v>
                </c:pt>
                <c:pt idx="462">
                  <c:v>151.374</c:v>
                </c:pt>
                <c:pt idx="463">
                  <c:v>144.625</c:v>
                </c:pt>
                <c:pt idx="464">
                  <c:v>146.09200000000001</c:v>
                </c:pt>
                <c:pt idx="465">
                  <c:v>147.791</c:v>
                </c:pt>
                <c:pt idx="466">
                  <c:v>148.404</c:v>
                </c:pt>
                <c:pt idx="467">
                  <c:v>146.77600000000001</c:v>
                </c:pt>
                <c:pt idx="468">
                  <c:v>143.16499999999999</c:v>
                </c:pt>
                <c:pt idx="469">
                  <c:v>141.09</c:v>
                </c:pt>
                <c:pt idx="470">
                  <c:v>142.01400000000001</c:v>
                </c:pt>
                <c:pt idx="471">
                  <c:v>141.458</c:v>
                </c:pt>
                <c:pt idx="472">
                  <c:v>139.571</c:v>
                </c:pt>
                <c:pt idx="473">
                  <c:v>140.77799999999999</c:v>
                </c:pt>
                <c:pt idx="474">
                  <c:v>144.428</c:v>
                </c:pt>
                <c:pt idx="475">
                  <c:v>145.63499999999999</c:v>
                </c:pt>
                <c:pt idx="476">
                  <c:v>151.10900000000001</c:v>
                </c:pt>
                <c:pt idx="477">
                  <c:v>148.04</c:v>
                </c:pt>
                <c:pt idx="478">
                  <c:v>148.27799999999999</c:v>
                </c:pt>
                <c:pt idx="479">
                  <c:v>153.107</c:v>
                </c:pt>
                <c:pt idx="480">
                  <c:v>147.03299999999999</c:v>
                </c:pt>
                <c:pt idx="481">
                  <c:v>145.39500000000001</c:v>
                </c:pt>
                <c:pt idx="482">
                  <c:v>137.852</c:v>
                </c:pt>
                <c:pt idx="483">
                  <c:v>138.315</c:v>
                </c:pt>
                <c:pt idx="484">
                  <c:v>127.708</c:v>
                </c:pt>
                <c:pt idx="485">
                  <c:v>127.569</c:v>
                </c:pt>
                <c:pt idx="486">
                  <c:v>127.173</c:v>
                </c:pt>
                <c:pt idx="487">
                  <c:v>131.322</c:v>
                </c:pt>
                <c:pt idx="488">
                  <c:v>127.744</c:v>
                </c:pt>
                <c:pt idx="489">
                  <c:v>126.554</c:v>
                </c:pt>
                <c:pt idx="490">
                  <c:v>129.685</c:v>
                </c:pt>
                <c:pt idx="491">
                  <c:v>127.309</c:v>
                </c:pt>
                <c:pt idx="492">
                  <c:v>129.41499999999999</c:v>
                </c:pt>
                <c:pt idx="493">
                  <c:v>128.13499999999999</c:v>
                </c:pt>
                <c:pt idx="494">
                  <c:v>127.89400000000001</c:v>
                </c:pt>
                <c:pt idx="495">
                  <c:v>126.66200000000001</c:v>
                </c:pt>
                <c:pt idx="496">
                  <c:v>126.1</c:v>
                </c:pt>
                <c:pt idx="497">
                  <c:v>126.32299999999999</c:v>
                </c:pt>
                <c:pt idx="498">
                  <c:v>128.32</c:v>
                </c:pt>
                <c:pt idx="499">
                  <c:v>129.20400000000001</c:v>
                </c:pt>
                <c:pt idx="500">
                  <c:v>127.221</c:v>
                </c:pt>
                <c:pt idx="501">
                  <c:v>126.711</c:v>
                </c:pt>
                <c:pt idx="502">
                  <c:v>124.399</c:v>
                </c:pt>
                <c:pt idx="503">
                  <c:v>121.66800000000001</c:v>
                </c:pt>
                <c:pt idx="504">
                  <c:v>125.011</c:v>
                </c:pt>
                <c:pt idx="505">
                  <c:v>124.43300000000001</c:v>
                </c:pt>
                <c:pt idx="506">
                  <c:v>123.916</c:v>
                </c:pt>
                <c:pt idx="507">
                  <c:v>125.762</c:v>
                </c:pt>
                <c:pt idx="508">
                  <c:v>126.91800000000001</c:v>
                </c:pt>
                <c:pt idx="509">
                  <c:v>126.128</c:v>
                </c:pt>
                <c:pt idx="510">
                  <c:v>121.52200000000001</c:v>
                </c:pt>
                <c:pt idx="511">
                  <c:v>119.56100000000001</c:v>
                </c:pt>
                <c:pt idx="512">
                  <c:v>119.361</c:v>
                </c:pt>
                <c:pt idx="513">
                  <c:v>118.624</c:v>
                </c:pt>
                <c:pt idx="514">
                  <c:v>119.672</c:v>
                </c:pt>
                <c:pt idx="515">
                  <c:v>120.91800000000001</c:v>
                </c:pt>
                <c:pt idx="516">
                  <c:v>121.069</c:v>
                </c:pt>
                <c:pt idx="517">
                  <c:v>120.893</c:v>
                </c:pt>
                <c:pt idx="518">
                  <c:v>120.893</c:v>
                </c:pt>
                <c:pt idx="519">
                  <c:v>120.893</c:v>
                </c:pt>
                <c:pt idx="520">
                  <c:v>121.627</c:v>
                </c:pt>
                <c:pt idx="521">
                  <c:v>121.556</c:v>
                </c:pt>
                <c:pt idx="522">
                  <c:v>122.462</c:v>
                </c:pt>
                <c:pt idx="523">
                  <c:v>122.462</c:v>
                </c:pt>
                <c:pt idx="524">
                  <c:v>122.092</c:v>
                </c:pt>
                <c:pt idx="525">
                  <c:v>120.697</c:v>
                </c:pt>
                <c:pt idx="526">
                  <c:v>122.367</c:v>
                </c:pt>
                <c:pt idx="527">
                  <c:v>121.178</c:v>
                </c:pt>
                <c:pt idx="528">
                  <c:v>116.93</c:v>
                </c:pt>
                <c:pt idx="529">
                  <c:v>115.233</c:v>
                </c:pt>
                <c:pt idx="530">
                  <c:v>120.155</c:v>
                </c:pt>
                <c:pt idx="531">
                  <c:v>118.80200000000001</c:v>
                </c:pt>
                <c:pt idx="532">
                  <c:v>113.639</c:v>
                </c:pt>
                <c:pt idx="533">
                  <c:v>118.652</c:v>
                </c:pt>
                <c:pt idx="534">
                  <c:v>117.349</c:v>
                </c:pt>
                <c:pt idx="535">
                  <c:v>114.602</c:v>
                </c:pt>
                <c:pt idx="536">
                  <c:v>113.962</c:v>
                </c:pt>
                <c:pt idx="537">
                  <c:v>113.833</c:v>
                </c:pt>
                <c:pt idx="538">
                  <c:v>122.59</c:v>
                </c:pt>
                <c:pt idx="539">
                  <c:v>121.715</c:v>
                </c:pt>
                <c:pt idx="540">
                  <c:v>121.47199999999999</c:v>
                </c:pt>
                <c:pt idx="541">
                  <c:v>119.295</c:v>
                </c:pt>
                <c:pt idx="542">
                  <c:v>118.70099999999999</c:v>
                </c:pt>
                <c:pt idx="543">
                  <c:v>117.474</c:v>
                </c:pt>
                <c:pt idx="544">
                  <c:v>117.161</c:v>
                </c:pt>
                <c:pt idx="545">
                  <c:v>116.246</c:v>
                </c:pt>
                <c:pt idx="546">
                  <c:v>113.783</c:v>
                </c:pt>
                <c:pt idx="547">
                  <c:v>111.521</c:v>
                </c:pt>
                <c:pt idx="548">
                  <c:v>109.983</c:v>
                </c:pt>
                <c:pt idx="549">
                  <c:v>109.32899999999999</c:v>
                </c:pt>
                <c:pt idx="550">
                  <c:v>110.908</c:v>
                </c:pt>
                <c:pt idx="551">
                  <c:v>112.96299999999999</c:v>
                </c:pt>
                <c:pt idx="552">
                  <c:v>108.36199999999999</c:v>
                </c:pt>
                <c:pt idx="553">
                  <c:v>105.083</c:v>
                </c:pt>
                <c:pt idx="554">
                  <c:v>103.387</c:v>
                </c:pt>
                <c:pt idx="555">
                  <c:v>96.822000000000003</c:v>
                </c:pt>
                <c:pt idx="556">
                  <c:v>101.68</c:v>
                </c:pt>
                <c:pt idx="557">
                  <c:v>97.625</c:v>
                </c:pt>
                <c:pt idx="558">
                  <c:v>95.838999999999999</c:v>
                </c:pt>
                <c:pt idx="559">
                  <c:v>95.531000000000006</c:v>
                </c:pt>
                <c:pt idx="560">
                  <c:v>98.826999999999998</c:v>
                </c:pt>
                <c:pt idx="561">
                  <c:v>96.162000000000006</c:v>
                </c:pt>
                <c:pt idx="562">
                  <c:v>82.981999999999999</c:v>
                </c:pt>
                <c:pt idx="563">
                  <c:v>93.917000000000002</c:v>
                </c:pt>
                <c:pt idx="564">
                  <c:v>88.536000000000001</c:v>
                </c:pt>
                <c:pt idx="565">
                  <c:v>92.936999999999998</c:v>
                </c:pt>
                <c:pt idx="566">
                  <c:v>89.457999999999998</c:v>
                </c:pt>
                <c:pt idx="567">
                  <c:v>83.536000000000001</c:v>
                </c:pt>
                <c:pt idx="568">
                  <c:v>95.515000000000001</c:v>
                </c:pt>
                <c:pt idx="569">
                  <c:v>100.708</c:v>
                </c:pt>
                <c:pt idx="570">
                  <c:v>103.425</c:v>
                </c:pt>
                <c:pt idx="571">
                  <c:v>102.375</c:v>
                </c:pt>
                <c:pt idx="572">
                  <c:v>101.52800000000001</c:v>
                </c:pt>
                <c:pt idx="573">
                  <c:v>103.6</c:v>
                </c:pt>
                <c:pt idx="574">
                  <c:v>102.492</c:v>
                </c:pt>
                <c:pt idx="575">
                  <c:v>100.45099999999999</c:v>
                </c:pt>
                <c:pt idx="576">
                  <c:v>109.556</c:v>
                </c:pt>
                <c:pt idx="577">
                  <c:v>110.834</c:v>
                </c:pt>
                <c:pt idx="578">
                  <c:v>109.669</c:v>
                </c:pt>
                <c:pt idx="579">
                  <c:v>108.864</c:v>
                </c:pt>
                <c:pt idx="580">
                  <c:v>121.41800000000001</c:v>
                </c:pt>
                <c:pt idx="581">
                  <c:v>120.973</c:v>
                </c:pt>
                <c:pt idx="582">
                  <c:v>119.489</c:v>
                </c:pt>
                <c:pt idx="583">
                  <c:v>119.28400000000001</c:v>
                </c:pt>
                <c:pt idx="584">
                  <c:v>115.419</c:v>
                </c:pt>
                <c:pt idx="585">
                  <c:v>118.554</c:v>
                </c:pt>
                <c:pt idx="586">
                  <c:v>109.937</c:v>
                </c:pt>
                <c:pt idx="587">
                  <c:v>116.947</c:v>
                </c:pt>
                <c:pt idx="588">
                  <c:v>116.947</c:v>
                </c:pt>
                <c:pt idx="589">
                  <c:v>116.947</c:v>
                </c:pt>
                <c:pt idx="590">
                  <c:v>121.065</c:v>
                </c:pt>
                <c:pt idx="591">
                  <c:v>129.99799999999999</c:v>
                </c:pt>
                <c:pt idx="592">
                  <c:v>132.691</c:v>
                </c:pt>
                <c:pt idx="593">
                  <c:v>133.53399999999999</c:v>
                </c:pt>
                <c:pt idx="594">
                  <c:v>129.81700000000001</c:v>
                </c:pt>
                <c:pt idx="595">
                  <c:v>137.28</c:v>
                </c:pt>
                <c:pt idx="596">
                  <c:v>128.75299999999999</c:v>
                </c:pt>
                <c:pt idx="597">
                  <c:v>135.261</c:v>
                </c:pt>
                <c:pt idx="598">
                  <c:v>119.63500000000001</c:v>
                </c:pt>
                <c:pt idx="599">
                  <c:v>116.964</c:v>
                </c:pt>
                <c:pt idx="600">
                  <c:v>128.244</c:v>
                </c:pt>
                <c:pt idx="601">
                  <c:v>127.434</c:v>
                </c:pt>
                <c:pt idx="602">
                  <c:v>116.41800000000001</c:v>
                </c:pt>
                <c:pt idx="603">
                  <c:v>114.86</c:v>
                </c:pt>
                <c:pt idx="604">
                  <c:v>114.453</c:v>
                </c:pt>
                <c:pt idx="605">
                  <c:v>111.459</c:v>
                </c:pt>
                <c:pt idx="606">
                  <c:v>112.03100000000001</c:v>
                </c:pt>
                <c:pt idx="607">
                  <c:v>108.943</c:v>
                </c:pt>
                <c:pt idx="608">
                  <c:v>107.096</c:v>
                </c:pt>
                <c:pt idx="609">
                  <c:v>107.096</c:v>
                </c:pt>
                <c:pt idx="610">
                  <c:v>108.99299999999999</c:v>
                </c:pt>
                <c:pt idx="611">
                  <c:v>109.675</c:v>
                </c:pt>
                <c:pt idx="612">
                  <c:v>107.815</c:v>
                </c:pt>
                <c:pt idx="613">
                  <c:v>110.291</c:v>
                </c:pt>
                <c:pt idx="614">
                  <c:v>106.86</c:v>
                </c:pt>
                <c:pt idx="615">
                  <c:v>107.086</c:v>
                </c:pt>
                <c:pt idx="616">
                  <c:v>103.33499999999999</c:v>
                </c:pt>
                <c:pt idx="617">
                  <c:v>108.496</c:v>
                </c:pt>
                <c:pt idx="618">
                  <c:v>102.95399999999999</c:v>
                </c:pt>
                <c:pt idx="619">
                  <c:v>103.215</c:v>
                </c:pt>
                <c:pt idx="620">
                  <c:v>105.309</c:v>
                </c:pt>
                <c:pt idx="621">
                  <c:v>101.657</c:v>
                </c:pt>
                <c:pt idx="622">
                  <c:v>102.438</c:v>
                </c:pt>
                <c:pt idx="623">
                  <c:v>100.96899999999999</c:v>
                </c:pt>
              </c:numCache>
            </c:numRef>
          </c:val>
          <c:smooth val="0"/>
          <c:extLst>
            <c:ext xmlns:c16="http://schemas.microsoft.com/office/drawing/2014/chart" uri="{C3380CC4-5D6E-409C-BE32-E72D297353CC}">
              <c16:uniqueId val="{00000001-4EEE-436B-AFC1-C498D6096249}"/>
            </c:ext>
          </c:extLst>
        </c:ser>
        <c:ser>
          <c:idx val="2"/>
          <c:order val="2"/>
          <c:tx>
            <c:strRef>
              <c:f>Sheet1!$D$1</c:f>
              <c:strCache>
                <c:ptCount val="1"/>
                <c:pt idx="0">
                  <c:v>Ռուսաստան (2023թ.)</c:v>
                </c:pt>
              </c:strCache>
            </c:strRef>
          </c:tx>
          <c:spPr>
            <a:ln w="28575" cap="rnd">
              <a:solidFill>
                <a:schemeClr val="accent3"/>
              </a:solidFill>
              <a:round/>
            </a:ln>
            <a:effectLst/>
          </c:spPr>
          <c:marker>
            <c:symbol val="none"/>
          </c:marker>
          <c:cat>
            <c:numRef>
              <c:f>Sheet1!$A$2:$A$625</c:f>
              <c:numCache>
                <c:formatCode>m\/d\/yyyy</c:formatCode>
                <c:ptCount val="624"/>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numCache>
            </c:numRef>
          </c:cat>
          <c:val>
            <c:numRef>
              <c:f>Sheet1!$D$2:$D$625</c:f>
            </c:numRef>
          </c:val>
          <c:smooth val="0"/>
          <c:extLst>
            <c:ext xmlns:c16="http://schemas.microsoft.com/office/drawing/2014/chart" uri="{C3380CC4-5D6E-409C-BE32-E72D297353CC}">
              <c16:uniqueId val="{00000002-4EEE-436B-AFC1-C498D6096249}"/>
            </c:ext>
          </c:extLst>
        </c:ser>
        <c:ser>
          <c:idx val="3"/>
          <c:order val="3"/>
          <c:tx>
            <c:strRef>
              <c:f>Sheet1!$E$1</c:f>
              <c:strCache>
                <c:ptCount val="1"/>
                <c:pt idx="0">
                  <c:v>Հայաստան (2029թ.)</c:v>
                </c:pt>
              </c:strCache>
            </c:strRef>
          </c:tx>
          <c:spPr>
            <a:ln w="28575" cap="rnd">
              <a:solidFill>
                <a:srgbClr val="C00000"/>
              </a:solidFill>
              <a:round/>
            </a:ln>
            <a:effectLst/>
          </c:spPr>
          <c:marker>
            <c:symbol val="none"/>
          </c:marker>
          <c:cat>
            <c:numRef>
              <c:f>Sheet1!$A$2:$A$625</c:f>
              <c:numCache>
                <c:formatCode>m\/d\/yyyy</c:formatCode>
                <c:ptCount val="624"/>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numCache>
            </c:numRef>
          </c:cat>
          <c:val>
            <c:numRef>
              <c:f>Sheet1!$E$2:$E$625</c:f>
              <c:numCache>
                <c:formatCode>General</c:formatCode>
                <c:ptCount val="624"/>
                <c:pt idx="190" formatCode="0">
                  <c:v>259.19799999999998</c:v>
                </c:pt>
                <c:pt idx="191" formatCode="0">
                  <c:v>256.65100000000001</c:v>
                </c:pt>
                <c:pt idx="192" formatCode="0">
                  <c:v>257.65199999999999</c:v>
                </c:pt>
                <c:pt idx="193" formatCode="0">
                  <c:v>260.23899999999998</c:v>
                </c:pt>
                <c:pt idx="194" formatCode="0">
                  <c:v>260.40100000000001</c:v>
                </c:pt>
                <c:pt idx="195" formatCode="0">
                  <c:v>265.23700000000002</c:v>
                </c:pt>
                <c:pt idx="196" formatCode="0">
                  <c:v>273.62299999999999</c:v>
                </c:pt>
                <c:pt idx="197" formatCode="0">
                  <c:v>278.80599999999998</c:v>
                </c:pt>
                <c:pt idx="198" formatCode="0">
                  <c:v>274.01799999999997</c:v>
                </c:pt>
                <c:pt idx="199" formatCode="0">
                  <c:v>274.16399999999999</c:v>
                </c:pt>
                <c:pt idx="200" formatCode="0">
                  <c:v>279.48500000000001</c:v>
                </c:pt>
                <c:pt idx="201" formatCode="0">
                  <c:v>275.13</c:v>
                </c:pt>
                <c:pt idx="202" formatCode="0">
                  <c:v>267.25900000000001</c:v>
                </c:pt>
                <c:pt idx="203" formatCode="0">
                  <c:v>258.62799999999999</c:v>
                </c:pt>
                <c:pt idx="204" formatCode="0">
                  <c:v>258.62799999999999</c:v>
                </c:pt>
                <c:pt idx="205" formatCode="0">
                  <c:v>252.482</c:v>
                </c:pt>
                <c:pt idx="206" formatCode="0">
                  <c:v>257.404</c:v>
                </c:pt>
                <c:pt idx="207" formatCode="0">
                  <c:v>252.45500000000001</c:v>
                </c:pt>
                <c:pt idx="208" formatCode="0">
                  <c:v>250.827</c:v>
                </c:pt>
                <c:pt idx="209" formatCode="0">
                  <c:v>250.988</c:v>
                </c:pt>
                <c:pt idx="210" formatCode="0">
                  <c:v>255.48099999999999</c:v>
                </c:pt>
                <c:pt idx="211" formatCode="0">
                  <c:v>255.161</c:v>
                </c:pt>
                <c:pt idx="212" formatCode="0">
                  <c:v>254.65899999999999</c:v>
                </c:pt>
                <c:pt idx="213" formatCode="0">
                  <c:v>252.042</c:v>
                </c:pt>
                <c:pt idx="214" formatCode="0">
                  <c:v>249.73500000000001</c:v>
                </c:pt>
                <c:pt idx="215" formatCode="0">
                  <c:v>249.523</c:v>
                </c:pt>
                <c:pt idx="216" formatCode="0">
                  <c:v>256.125</c:v>
                </c:pt>
                <c:pt idx="217" formatCode="0">
                  <c:v>263.428</c:v>
                </c:pt>
                <c:pt idx="218" formatCode="0">
                  <c:v>259.11599999999999</c:v>
                </c:pt>
                <c:pt idx="219" formatCode="0">
                  <c:v>252.64099999999999</c:v>
                </c:pt>
                <c:pt idx="220" formatCode="0">
                  <c:v>247.06399999999999</c:v>
                </c:pt>
                <c:pt idx="221" formatCode="0">
                  <c:v>252.62100000000001</c:v>
                </c:pt>
                <c:pt idx="222" formatCode="0">
                  <c:v>246.07400000000001</c:v>
                </c:pt>
                <c:pt idx="223" formatCode="0">
                  <c:v>244.93899999999999</c:v>
                </c:pt>
                <c:pt idx="224" formatCode="0">
                  <c:v>245.09899999999999</c:v>
                </c:pt>
                <c:pt idx="225" formatCode="0">
                  <c:v>249.73500000000001</c:v>
                </c:pt>
                <c:pt idx="226" formatCode="0">
                  <c:v>253.48</c:v>
                </c:pt>
                <c:pt idx="227" formatCode="0">
                  <c:v>254.90199999999999</c:v>
                </c:pt>
                <c:pt idx="228" formatCode="0">
                  <c:v>249.90299999999999</c:v>
                </c:pt>
                <c:pt idx="229" formatCode="0">
                  <c:v>251.71</c:v>
                </c:pt>
                <c:pt idx="230" formatCode="0">
                  <c:v>255.44200000000001</c:v>
                </c:pt>
                <c:pt idx="231" formatCode="0">
                  <c:v>255.15199999999999</c:v>
                </c:pt>
                <c:pt idx="232" formatCode="0">
                  <c:v>252.173</c:v>
                </c:pt>
                <c:pt idx="233" formatCode="0">
                  <c:v>246.83</c:v>
                </c:pt>
                <c:pt idx="234" formatCode="0">
                  <c:v>244.12799999999999</c:v>
                </c:pt>
                <c:pt idx="235" formatCode="0">
                  <c:v>243.922</c:v>
                </c:pt>
                <c:pt idx="236" formatCode="0">
                  <c:v>240.816</c:v>
                </c:pt>
                <c:pt idx="237" formatCode="0">
                  <c:v>236.803</c:v>
                </c:pt>
                <c:pt idx="238" formatCode="0">
                  <c:v>234.91800000000001</c:v>
                </c:pt>
                <c:pt idx="239" formatCode="0">
                  <c:v>235.54300000000001</c:v>
                </c:pt>
                <c:pt idx="240" formatCode="0">
                  <c:v>245.68799999999999</c:v>
                </c:pt>
                <c:pt idx="241" formatCode="0">
                  <c:v>238.10599999999999</c:v>
                </c:pt>
                <c:pt idx="242" formatCode="0">
                  <c:v>234.346</c:v>
                </c:pt>
                <c:pt idx="243" formatCode="0">
                  <c:v>230.233</c:v>
                </c:pt>
                <c:pt idx="244" formatCode="0">
                  <c:v>232.78200000000001</c:v>
                </c:pt>
                <c:pt idx="245" formatCode="0">
                  <c:v>232.47</c:v>
                </c:pt>
                <c:pt idx="246" formatCode="0">
                  <c:v>236.34</c:v>
                </c:pt>
                <c:pt idx="247" formatCode="0">
                  <c:v>223.37700000000001</c:v>
                </c:pt>
                <c:pt idx="248" formatCode="0">
                  <c:v>232.37899999999999</c:v>
                </c:pt>
                <c:pt idx="249" formatCode="0">
                  <c:v>224.751</c:v>
                </c:pt>
                <c:pt idx="250" formatCode="0">
                  <c:v>220.03800000000001</c:v>
                </c:pt>
                <c:pt idx="251" formatCode="0">
                  <c:v>218.66</c:v>
                </c:pt>
                <c:pt idx="252" formatCode="0">
                  <c:v>216.81899999999999</c:v>
                </c:pt>
                <c:pt idx="253" formatCode="0">
                  <c:v>215.81800000000001</c:v>
                </c:pt>
                <c:pt idx="254" formatCode="0">
                  <c:v>215.92699999999999</c:v>
                </c:pt>
                <c:pt idx="255" formatCode="0">
                  <c:v>217.625</c:v>
                </c:pt>
                <c:pt idx="256" formatCode="0">
                  <c:v>217.625</c:v>
                </c:pt>
                <c:pt idx="257" formatCode="0">
                  <c:v>217.625</c:v>
                </c:pt>
                <c:pt idx="258" formatCode="0">
                  <c:v>219.49299999999999</c:v>
                </c:pt>
                <c:pt idx="259" formatCode="0">
                  <c:v>220.79</c:v>
                </c:pt>
                <c:pt idx="260" formatCode="0">
                  <c:v>215.73500000000001</c:v>
                </c:pt>
                <c:pt idx="261" formatCode="0">
                  <c:v>215.73500000000001</c:v>
                </c:pt>
                <c:pt idx="262" formatCode="0">
                  <c:v>218.01599999999999</c:v>
                </c:pt>
                <c:pt idx="263" formatCode="0">
                  <c:v>227.416</c:v>
                </c:pt>
                <c:pt idx="264" formatCode="0">
                  <c:v>227.48</c:v>
                </c:pt>
                <c:pt idx="265" formatCode="0">
                  <c:v>225.864</c:v>
                </c:pt>
                <c:pt idx="266" formatCode="0">
                  <c:v>212.47900000000001</c:v>
                </c:pt>
                <c:pt idx="267" formatCode="0">
                  <c:v>213.59200000000001</c:v>
                </c:pt>
                <c:pt idx="268" formatCode="0">
                  <c:v>212.102</c:v>
                </c:pt>
                <c:pt idx="269" formatCode="0">
                  <c:v>210.18799999999999</c:v>
                </c:pt>
                <c:pt idx="270" formatCode="0">
                  <c:v>208.06100000000001</c:v>
                </c:pt>
                <c:pt idx="271" formatCode="0">
                  <c:v>210.995</c:v>
                </c:pt>
                <c:pt idx="272" formatCode="0">
                  <c:v>200.47</c:v>
                </c:pt>
                <c:pt idx="273" formatCode="0">
                  <c:v>201.64599999999999</c:v>
                </c:pt>
                <c:pt idx="274" formatCode="0">
                  <c:v>202.673</c:v>
                </c:pt>
                <c:pt idx="275" formatCode="0">
                  <c:v>206.327</c:v>
                </c:pt>
                <c:pt idx="276" formatCode="0">
                  <c:v>207.60599999999999</c:v>
                </c:pt>
                <c:pt idx="277" formatCode="0">
                  <c:v>210.655</c:v>
                </c:pt>
                <c:pt idx="278" formatCode="0">
                  <c:v>216.11</c:v>
                </c:pt>
                <c:pt idx="279" formatCode="0">
                  <c:v>226.17699999999999</c:v>
                </c:pt>
                <c:pt idx="280" formatCode="0">
                  <c:v>219.88</c:v>
                </c:pt>
                <c:pt idx="281" formatCode="0">
                  <c:v>226.971</c:v>
                </c:pt>
                <c:pt idx="282" formatCode="0">
                  <c:v>226.643</c:v>
                </c:pt>
                <c:pt idx="283" formatCode="0">
                  <c:v>233.95</c:v>
                </c:pt>
                <c:pt idx="284" formatCode="0">
                  <c:v>229.86500000000001</c:v>
                </c:pt>
                <c:pt idx="285" formatCode="0">
                  <c:v>224.58600000000001</c:v>
                </c:pt>
                <c:pt idx="286" formatCode="0">
                  <c:v>219.608</c:v>
                </c:pt>
                <c:pt idx="287" formatCode="0">
                  <c:v>218.321</c:v>
                </c:pt>
                <c:pt idx="288" formatCode="0">
                  <c:v>223.73099999999999</c:v>
                </c:pt>
                <c:pt idx="289" formatCode="0">
                  <c:v>226.251</c:v>
                </c:pt>
                <c:pt idx="290" formatCode="0">
                  <c:v>221.453</c:v>
                </c:pt>
                <c:pt idx="291" formatCode="0">
                  <c:v>217.792</c:v>
                </c:pt>
                <c:pt idx="292" formatCode="0">
                  <c:v>219.74100000000001</c:v>
                </c:pt>
                <c:pt idx="293" formatCode="0">
                  <c:v>219.238</c:v>
                </c:pt>
                <c:pt idx="294" formatCode="0">
                  <c:v>217.83099999999999</c:v>
                </c:pt>
                <c:pt idx="295" formatCode="0">
                  <c:v>220.51900000000001</c:v>
                </c:pt>
                <c:pt idx="296" formatCode="0">
                  <c:v>218.62799999999999</c:v>
                </c:pt>
                <c:pt idx="297" formatCode="0">
                  <c:v>219.792</c:v>
                </c:pt>
                <c:pt idx="298" formatCode="0">
                  <c:v>223.03800000000001</c:v>
                </c:pt>
                <c:pt idx="299" formatCode="0">
                  <c:v>235.584</c:v>
                </c:pt>
                <c:pt idx="300" formatCode="0">
                  <c:v>237.24700000000001</c:v>
                </c:pt>
                <c:pt idx="301" formatCode="0">
                  <c:v>237.27199999999999</c:v>
                </c:pt>
                <c:pt idx="302" formatCode="0">
                  <c:v>253.74</c:v>
                </c:pt>
                <c:pt idx="303" formatCode="0">
                  <c:v>282.02499999999998</c:v>
                </c:pt>
                <c:pt idx="304" formatCode="0">
                  <c:v>280.02800000000002</c:v>
                </c:pt>
                <c:pt idx="305" formatCode="0">
                  <c:v>273.78800000000001</c:v>
                </c:pt>
                <c:pt idx="306" formatCode="0">
                  <c:v>270.24799999999999</c:v>
                </c:pt>
                <c:pt idx="307" formatCode="0">
                  <c:v>271.43299999999999</c:v>
                </c:pt>
                <c:pt idx="308" formatCode="0">
                  <c:v>282.71600000000001</c:v>
                </c:pt>
                <c:pt idx="309" formatCode="0">
                  <c:v>361.85399999999998</c:v>
                </c:pt>
                <c:pt idx="310" formatCode="0">
                  <c:v>346.03199999999998</c:v>
                </c:pt>
                <c:pt idx="311" formatCode="0">
                  <c:v>349.685</c:v>
                </c:pt>
                <c:pt idx="312" formatCode="0">
                  <c:v>398.47199999999998</c:v>
                </c:pt>
                <c:pt idx="313" formatCode="0">
                  <c:v>373.23</c:v>
                </c:pt>
                <c:pt idx="314" formatCode="0">
                  <c:v>401.25200000000001</c:v>
                </c:pt>
                <c:pt idx="315" formatCode="0">
                  <c:v>401.57299999999998</c:v>
                </c:pt>
                <c:pt idx="316" formatCode="0">
                  <c:v>481.52600000000001</c:v>
                </c:pt>
                <c:pt idx="317" formatCode="0">
                  <c:v>499.471</c:v>
                </c:pt>
                <c:pt idx="318" formatCode="0">
                  <c:v>512.904</c:v>
                </c:pt>
                <c:pt idx="319" formatCode="0">
                  <c:v>539.40599999999995</c:v>
                </c:pt>
                <c:pt idx="320" formatCode="0">
                  <c:v>526.31899999999996</c:v>
                </c:pt>
                <c:pt idx="321" formatCode="0">
                  <c:v>510.30799999999999</c:v>
                </c:pt>
                <c:pt idx="322" formatCode="0">
                  <c:v>462.43200000000002</c:v>
                </c:pt>
                <c:pt idx="323" formatCode="0">
                  <c:v>484.096</c:v>
                </c:pt>
                <c:pt idx="324" formatCode="0">
                  <c:v>481.55700000000002</c:v>
                </c:pt>
                <c:pt idx="325" formatCode="0">
                  <c:v>482.39499999999998</c:v>
                </c:pt>
                <c:pt idx="326" formatCode="0">
                  <c:v>475.59100000000001</c:v>
                </c:pt>
                <c:pt idx="327" formatCode="0">
                  <c:v>474.512</c:v>
                </c:pt>
                <c:pt idx="328" formatCode="0">
                  <c:v>457.97300000000001</c:v>
                </c:pt>
                <c:pt idx="329" formatCode="0">
                  <c:v>436.721</c:v>
                </c:pt>
                <c:pt idx="330" formatCode="0">
                  <c:v>434.87599999999998</c:v>
                </c:pt>
                <c:pt idx="331" formatCode="0">
                  <c:v>430.399</c:v>
                </c:pt>
                <c:pt idx="332" formatCode="0">
                  <c:v>419.53399999999999</c:v>
                </c:pt>
                <c:pt idx="333" formatCode="0">
                  <c:v>419.53399999999999</c:v>
                </c:pt>
                <c:pt idx="334" formatCode="0">
                  <c:v>419.53399999999999</c:v>
                </c:pt>
                <c:pt idx="335" formatCode="0">
                  <c:v>410.209</c:v>
                </c:pt>
                <c:pt idx="336" formatCode="0">
                  <c:v>422.03800000000001</c:v>
                </c:pt>
                <c:pt idx="337" formatCode="0">
                  <c:v>421.654</c:v>
                </c:pt>
                <c:pt idx="338" formatCode="0">
                  <c:v>412.78699999999998</c:v>
                </c:pt>
                <c:pt idx="339" formatCode="0">
                  <c:v>413.5</c:v>
                </c:pt>
                <c:pt idx="340" formatCode="0">
                  <c:v>421.86599999999999</c:v>
                </c:pt>
                <c:pt idx="341" formatCode="0">
                  <c:v>424.26499999999999</c:v>
                </c:pt>
                <c:pt idx="342" formatCode="0">
                  <c:v>424.06</c:v>
                </c:pt>
                <c:pt idx="343" formatCode="0">
                  <c:v>424.31</c:v>
                </c:pt>
                <c:pt idx="344" formatCode="0">
                  <c:v>421.63</c:v>
                </c:pt>
                <c:pt idx="345" formatCode="0">
                  <c:v>426.274</c:v>
                </c:pt>
                <c:pt idx="346" formatCode="0">
                  <c:v>425.19</c:v>
                </c:pt>
                <c:pt idx="347" formatCode="0">
                  <c:v>411.024</c:v>
                </c:pt>
                <c:pt idx="348" formatCode="0">
                  <c:v>413.30399999999997</c:v>
                </c:pt>
                <c:pt idx="349" formatCode="0">
                  <c:v>413.459</c:v>
                </c:pt>
                <c:pt idx="350" formatCode="0">
                  <c:v>391.9</c:v>
                </c:pt>
                <c:pt idx="351" formatCode="0">
                  <c:v>388.77300000000002</c:v>
                </c:pt>
                <c:pt idx="352" formatCode="0">
                  <c:v>394.33199999999999</c:v>
                </c:pt>
                <c:pt idx="353" formatCode="0">
                  <c:v>394.33199999999999</c:v>
                </c:pt>
                <c:pt idx="354" formatCode="0">
                  <c:v>377.27499999999998</c:v>
                </c:pt>
                <c:pt idx="355" formatCode="0">
                  <c:v>376.28899999999999</c:v>
                </c:pt>
                <c:pt idx="356" formatCode="0">
                  <c:v>373.80599999999998</c:v>
                </c:pt>
                <c:pt idx="357" formatCode="0">
                  <c:v>371.14499999999998</c:v>
                </c:pt>
                <c:pt idx="358" formatCode="0">
                  <c:v>366.56599999999997</c:v>
                </c:pt>
                <c:pt idx="359" formatCode="0">
                  <c:v>347.65100000000001</c:v>
                </c:pt>
                <c:pt idx="360" formatCode="0">
                  <c:v>348.31200000000001</c:v>
                </c:pt>
                <c:pt idx="361" formatCode="0">
                  <c:v>334.72899999999998</c:v>
                </c:pt>
                <c:pt idx="362" formatCode="0">
                  <c:v>331.06599999999997</c:v>
                </c:pt>
                <c:pt idx="363" formatCode="0">
                  <c:v>333.98399999999998</c:v>
                </c:pt>
                <c:pt idx="364" formatCode="0">
                  <c:v>333.98399999999998</c:v>
                </c:pt>
                <c:pt idx="365" formatCode="0">
                  <c:v>325.42399999999998</c:v>
                </c:pt>
                <c:pt idx="366" formatCode="0">
                  <c:v>325.50900000000001</c:v>
                </c:pt>
                <c:pt idx="367" formatCode="0">
                  <c:v>325.95699999999999</c:v>
                </c:pt>
                <c:pt idx="368" formatCode="0">
                  <c:v>329.75299999999999</c:v>
                </c:pt>
                <c:pt idx="369" formatCode="0">
                  <c:v>329.85899999999998</c:v>
                </c:pt>
                <c:pt idx="370" formatCode="0">
                  <c:v>328.5</c:v>
                </c:pt>
                <c:pt idx="371" formatCode="0">
                  <c:v>320.08</c:v>
                </c:pt>
                <c:pt idx="372" formatCode="0">
                  <c:v>314.88099999999997</c:v>
                </c:pt>
                <c:pt idx="373" formatCode="0">
                  <c:v>307.50099999999998</c:v>
                </c:pt>
                <c:pt idx="374" formatCode="0">
                  <c:v>311.76100000000002</c:v>
                </c:pt>
                <c:pt idx="375" formatCode="0">
                  <c:v>316.005</c:v>
                </c:pt>
                <c:pt idx="376" formatCode="0">
                  <c:v>326.05900000000003</c:v>
                </c:pt>
                <c:pt idx="377" formatCode="0">
                  <c:v>345.745</c:v>
                </c:pt>
                <c:pt idx="378" formatCode="0">
                  <c:v>344.85700000000003</c:v>
                </c:pt>
                <c:pt idx="379" formatCode="0">
                  <c:v>373.37900000000002</c:v>
                </c:pt>
                <c:pt idx="380" formatCode="0">
                  <c:v>363.84500000000003</c:v>
                </c:pt>
                <c:pt idx="381" formatCode="0">
                  <c:v>367.94200000000001</c:v>
                </c:pt>
                <c:pt idx="382" formatCode="0">
                  <c:v>371.572</c:v>
                </c:pt>
                <c:pt idx="383" formatCode="0">
                  <c:v>371.51400000000001</c:v>
                </c:pt>
                <c:pt idx="384" formatCode="0">
                  <c:v>371.85899999999998</c:v>
                </c:pt>
                <c:pt idx="385" formatCode="0">
                  <c:v>367.428</c:v>
                </c:pt>
                <c:pt idx="386" formatCode="0">
                  <c:v>369.95</c:v>
                </c:pt>
                <c:pt idx="387" formatCode="0">
                  <c:v>375.85199999999998</c:v>
                </c:pt>
                <c:pt idx="388" formatCode="0">
                  <c:v>380.09800000000001</c:v>
                </c:pt>
                <c:pt idx="389" formatCode="0">
                  <c:v>379.791</c:v>
                </c:pt>
                <c:pt idx="390" formatCode="0">
                  <c:v>377.45100000000002</c:v>
                </c:pt>
                <c:pt idx="391" formatCode="0">
                  <c:v>374.18299999999999</c:v>
                </c:pt>
                <c:pt idx="392" formatCode="0">
                  <c:v>355.012</c:v>
                </c:pt>
                <c:pt idx="393" formatCode="0">
                  <c:v>352.19400000000002</c:v>
                </c:pt>
                <c:pt idx="394" formatCode="0">
                  <c:v>350.17899999999997</c:v>
                </c:pt>
                <c:pt idx="395" formatCode="0">
                  <c:v>353.452</c:v>
                </c:pt>
                <c:pt idx="396" formatCode="0">
                  <c:v>352.303</c:v>
                </c:pt>
                <c:pt idx="397" formatCode="0">
                  <c:v>357.464</c:v>
                </c:pt>
                <c:pt idx="398" formatCode="0">
                  <c:v>354.90800000000002</c:v>
                </c:pt>
                <c:pt idx="399" formatCode="0">
                  <c:v>355.27199999999999</c:v>
                </c:pt>
                <c:pt idx="400" formatCode="0">
                  <c:v>356.63900000000001</c:v>
                </c:pt>
                <c:pt idx="401" formatCode="0">
                  <c:v>357.19499999999999</c:v>
                </c:pt>
                <c:pt idx="402" formatCode="0">
                  <c:v>359.63499999999999</c:v>
                </c:pt>
                <c:pt idx="403" formatCode="0">
                  <c:v>360.61399999999998</c:v>
                </c:pt>
                <c:pt idx="404" formatCode="0">
                  <c:v>361.738</c:v>
                </c:pt>
                <c:pt idx="405" formatCode="0">
                  <c:v>357.80799999999999</c:v>
                </c:pt>
                <c:pt idx="406" formatCode="0">
                  <c:v>355.7</c:v>
                </c:pt>
                <c:pt idx="407" formatCode="0">
                  <c:v>349.12200000000001</c:v>
                </c:pt>
                <c:pt idx="408" formatCode="0">
                  <c:v>346.74400000000003</c:v>
                </c:pt>
                <c:pt idx="409" formatCode="0">
                  <c:v>345.50599999999997</c:v>
                </c:pt>
                <c:pt idx="410" formatCode="0">
                  <c:v>348.62900000000002</c:v>
                </c:pt>
                <c:pt idx="411" formatCode="0">
                  <c:v>347.44</c:v>
                </c:pt>
                <c:pt idx="412" formatCode="0">
                  <c:v>350.67</c:v>
                </c:pt>
                <c:pt idx="413" formatCode="0">
                  <c:v>350.20100000000002</c:v>
                </c:pt>
                <c:pt idx="414" formatCode="0">
                  <c:v>345.55500000000001</c:v>
                </c:pt>
                <c:pt idx="415" formatCode="0">
                  <c:v>346.73700000000002</c:v>
                </c:pt>
                <c:pt idx="416" formatCode="0">
                  <c:v>336.411</c:v>
                </c:pt>
                <c:pt idx="417" formatCode="0">
                  <c:v>329.82299999999998</c:v>
                </c:pt>
                <c:pt idx="418" formatCode="0">
                  <c:v>326.13299999999998</c:v>
                </c:pt>
                <c:pt idx="419" formatCode="0">
                  <c:v>326.36500000000001</c:v>
                </c:pt>
                <c:pt idx="420" formatCode="0">
                  <c:v>319.19</c:v>
                </c:pt>
                <c:pt idx="421" formatCode="0">
                  <c:v>318.37400000000002</c:v>
                </c:pt>
                <c:pt idx="422" formatCode="0">
                  <c:v>312.28500000000003</c:v>
                </c:pt>
                <c:pt idx="423" formatCode="0">
                  <c:v>307.35300000000001</c:v>
                </c:pt>
                <c:pt idx="424" formatCode="0">
                  <c:v>311.26100000000002</c:v>
                </c:pt>
                <c:pt idx="425" formatCode="0">
                  <c:v>311.55900000000003</c:v>
                </c:pt>
                <c:pt idx="426" formatCode="0">
                  <c:v>310.51600000000002</c:v>
                </c:pt>
                <c:pt idx="427" formatCode="0">
                  <c:v>312.947</c:v>
                </c:pt>
                <c:pt idx="428" formatCode="0">
                  <c:v>313.69400000000002</c:v>
                </c:pt>
                <c:pt idx="429" formatCode="0">
                  <c:v>312.56099999999998</c:v>
                </c:pt>
                <c:pt idx="430" formatCode="0">
                  <c:v>309.36799999999999</c:v>
                </c:pt>
                <c:pt idx="431" formatCode="0">
                  <c:v>308.44799999999998</c:v>
                </c:pt>
                <c:pt idx="432" formatCode="0">
                  <c:v>300.69200000000001</c:v>
                </c:pt>
                <c:pt idx="433" formatCode="0">
                  <c:v>302.49099999999999</c:v>
                </c:pt>
                <c:pt idx="434" formatCode="0">
                  <c:v>302.49099999999999</c:v>
                </c:pt>
                <c:pt idx="435" formatCode="0">
                  <c:v>303.13</c:v>
                </c:pt>
                <c:pt idx="436" formatCode="0">
                  <c:v>302.09899999999999</c:v>
                </c:pt>
                <c:pt idx="437" formatCode="0">
                  <c:v>302.24400000000003</c:v>
                </c:pt>
                <c:pt idx="438" formatCode="0">
                  <c:v>296.05700000000002</c:v>
                </c:pt>
                <c:pt idx="439" formatCode="0">
                  <c:v>294.39699999999999</c:v>
                </c:pt>
                <c:pt idx="440" formatCode="0">
                  <c:v>302.226</c:v>
                </c:pt>
                <c:pt idx="441" formatCode="0">
                  <c:v>300.72199999999998</c:v>
                </c:pt>
                <c:pt idx="442" formatCode="0">
                  <c:v>302.45400000000001</c:v>
                </c:pt>
                <c:pt idx="443" formatCode="0">
                  <c:v>303.53100000000001</c:v>
                </c:pt>
                <c:pt idx="444" formatCode="0">
                  <c:v>302.49</c:v>
                </c:pt>
                <c:pt idx="445" formatCode="0">
                  <c:v>301.92599999999999</c:v>
                </c:pt>
                <c:pt idx="446" formatCode="0">
                  <c:v>301.40499999999997</c:v>
                </c:pt>
                <c:pt idx="447" formatCode="0">
                  <c:v>301.904</c:v>
                </c:pt>
                <c:pt idx="448" formatCode="0">
                  <c:v>300.42200000000003</c:v>
                </c:pt>
                <c:pt idx="449" formatCode="0">
                  <c:v>309.45499999999998</c:v>
                </c:pt>
                <c:pt idx="450" formatCode="0">
                  <c:v>309.608</c:v>
                </c:pt>
                <c:pt idx="451" formatCode="0">
                  <c:v>308.13299999999998</c:v>
                </c:pt>
                <c:pt idx="452" formatCode="0">
                  <c:v>316.084</c:v>
                </c:pt>
                <c:pt idx="453" formatCode="0">
                  <c:v>316.70400000000001</c:v>
                </c:pt>
                <c:pt idx="454" formatCode="0">
                  <c:v>365.39100000000002</c:v>
                </c:pt>
                <c:pt idx="455" formatCode="0">
                  <c:v>398.19499999999999</c:v>
                </c:pt>
                <c:pt idx="456" formatCode="0">
                  <c:v>368.70400000000001</c:v>
                </c:pt>
                <c:pt idx="457" formatCode="0">
                  <c:v>345.31599999999997</c:v>
                </c:pt>
                <c:pt idx="458" formatCode="0">
                  <c:v>337.96899999999999</c:v>
                </c:pt>
                <c:pt idx="459" formatCode="0">
                  <c:v>329.43400000000003</c:v>
                </c:pt>
                <c:pt idx="460" formatCode="0">
                  <c:v>335.83199999999999</c:v>
                </c:pt>
                <c:pt idx="461" formatCode="0">
                  <c:v>340.97</c:v>
                </c:pt>
                <c:pt idx="462" formatCode="0">
                  <c:v>338.85899999999998</c:v>
                </c:pt>
                <c:pt idx="463" formatCode="0">
                  <c:v>332.52600000000001</c:v>
                </c:pt>
                <c:pt idx="464" formatCode="0">
                  <c:v>329.69</c:v>
                </c:pt>
                <c:pt idx="465" formatCode="0">
                  <c:v>336.59800000000001</c:v>
                </c:pt>
                <c:pt idx="466" formatCode="0">
                  <c:v>345.73599999999999</c:v>
                </c:pt>
                <c:pt idx="467" formatCode="0">
                  <c:v>357.75299999999999</c:v>
                </c:pt>
                <c:pt idx="468" formatCode="0">
                  <c:v>356.97899999999998</c:v>
                </c:pt>
                <c:pt idx="469" formatCode="0">
                  <c:v>351.63499999999999</c:v>
                </c:pt>
                <c:pt idx="470" formatCode="0">
                  <c:v>350.02499999999998</c:v>
                </c:pt>
                <c:pt idx="471" formatCode="0">
                  <c:v>354.15800000000002</c:v>
                </c:pt>
                <c:pt idx="472" formatCode="0">
                  <c:v>356.82900000000001</c:v>
                </c:pt>
                <c:pt idx="473" formatCode="0">
                  <c:v>359.33</c:v>
                </c:pt>
                <c:pt idx="474" formatCode="0">
                  <c:v>370.40699999999998</c:v>
                </c:pt>
                <c:pt idx="475" formatCode="0">
                  <c:v>381.214</c:v>
                </c:pt>
                <c:pt idx="476" formatCode="0">
                  <c:v>382.733</c:v>
                </c:pt>
                <c:pt idx="477" formatCode="0">
                  <c:v>387.77199999999999</c:v>
                </c:pt>
                <c:pt idx="478" formatCode="0">
                  <c:v>394.327</c:v>
                </c:pt>
                <c:pt idx="479" formatCode="0">
                  <c:v>404.58800000000002</c:v>
                </c:pt>
                <c:pt idx="480" formatCode="0">
                  <c:v>392.512</c:v>
                </c:pt>
                <c:pt idx="481" formatCode="0">
                  <c:v>399.34100000000001</c:v>
                </c:pt>
                <c:pt idx="482" formatCode="0">
                  <c:v>392.74299999999999</c:v>
                </c:pt>
                <c:pt idx="483" formatCode="0">
                  <c:v>387.19299999999998</c:v>
                </c:pt>
                <c:pt idx="484" formatCode="0">
                  <c:v>370.99299999999999</c:v>
                </c:pt>
                <c:pt idx="485" formatCode="0">
                  <c:v>328.339</c:v>
                </c:pt>
                <c:pt idx="486" formatCode="0">
                  <c:v>324.90199999999999</c:v>
                </c:pt>
                <c:pt idx="487" formatCode="0">
                  <c:v>336.65699999999998</c:v>
                </c:pt>
                <c:pt idx="488" formatCode="0">
                  <c:v>338.91800000000001</c:v>
                </c:pt>
                <c:pt idx="489" formatCode="0">
                  <c:v>340.43599999999998</c:v>
                </c:pt>
                <c:pt idx="490" formatCode="0">
                  <c:v>351.02</c:v>
                </c:pt>
                <c:pt idx="491" formatCode="0">
                  <c:v>348.12200000000001</c:v>
                </c:pt>
                <c:pt idx="492" formatCode="0">
                  <c:v>357.29</c:v>
                </c:pt>
                <c:pt idx="493" formatCode="0">
                  <c:v>361.58800000000002</c:v>
                </c:pt>
                <c:pt idx="494" formatCode="0">
                  <c:v>355.66899999999998</c:v>
                </c:pt>
                <c:pt idx="495" formatCode="0">
                  <c:v>349.16899999999998</c:v>
                </c:pt>
                <c:pt idx="496" formatCode="0">
                  <c:v>346.55799999999999</c:v>
                </c:pt>
                <c:pt idx="497" formatCode="0">
                  <c:v>343.58600000000001</c:v>
                </c:pt>
                <c:pt idx="498" formatCode="0">
                  <c:v>353.50599999999997</c:v>
                </c:pt>
                <c:pt idx="499" formatCode="0">
                  <c:v>354.12599999999998</c:v>
                </c:pt>
                <c:pt idx="500" formatCode="0">
                  <c:v>347.87599999999998</c:v>
                </c:pt>
                <c:pt idx="501" formatCode="0">
                  <c:v>346.13099999999997</c:v>
                </c:pt>
                <c:pt idx="502" formatCode="0">
                  <c:v>334.43700000000001</c:v>
                </c:pt>
                <c:pt idx="503" formatCode="0">
                  <c:v>304.19400000000002</c:v>
                </c:pt>
                <c:pt idx="504" formatCode="0">
                  <c:v>308.60500000000002</c:v>
                </c:pt>
                <c:pt idx="505" formatCode="0">
                  <c:v>312.55900000000003</c:v>
                </c:pt>
                <c:pt idx="506" formatCode="0">
                  <c:v>308.55200000000002</c:v>
                </c:pt>
                <c:pt idx="507" formatCode="0">
                  <c:v>311.67599999999999</c:v>
                </c:pt>
                <c:pt idx="508" formatCode="0">
                  <c:v>316.40499999999997</c:v>
                </c:pt>
                <c:pt idx="509" formatCode="0">
                  <c:v>314.76100000000002</c:v>
                </c:pt>
                <c:pt idx="510" formatCode="0">
                  <c:v>309.70999999999998</c:v>
                </c:pt>
                <c:pt idx="511" formatCode="0">
                  <c:v>302.99</c:v>
                </c:pt>
                <c:pt idx="512" formatCode="0">
                  <c:v>299.80799999999999</c:v>
                </c:pt>
                <c:pt idx="513" formatCode="0">
                  <c:v>293.15300000000002</c:v>
                </c:pt>
                <c:pt idx="514" formatCode="0">
                  <c:v>296.85700000000003</c:v>
                </c:pt>
                <c:pt idx="515" formatCode="0">
                  <c:v>298.37</c:v>
                </c:pt>
                <c:pt idx="516" formatCode="0">
                  <c:v>298.48200000000003</c:v>
                </c:pt>
                <c:pt idx="517" formatCode="0">
                  <c:v>302.637</c:v>
                </c:pt>
                <c:pt idx="518" formatCode="0">
                  <c:v>302.637</c:v>
                </c:pt>
                <c:pt idx="519" formatCode="0">
                  <c:v>302.637</c:v>
                </c:pt>
                <c:pt idx="520" formatCode="0">
                  <c:v>302.95499999999998</c:v>
                </c:pt>
                <c:pt idx="521" formatCode="0">
                  <c:v>301.23899999999998</c:v>
                </c:pt>
                <c:pt idx="522" formatCode="0">
                  <c:v>303.363</c:v>
                </c:pt>
                <c:pt idx="523" formatCode="0">
                  <c:v>303.363</c:v>
                </c:pt>
                <c:pt idx="524" formatCode="0">
                  <c:v>296.71899999999999</c:v>
                </c:pt>
                <c:pt idx="525" formatCode="0">
                  <c:v>288.11399999999998</c:v>
                </c:pt>
                <c:pt idx="526" formatCode="0">
                  <c:v>281.07799999999997</c:v>
                </c:pt>
                <c:pt idx="527" formatCode="0">
                  <c:v>275.09399999999999</c:v>
                </c:pt>
                <c:pt idx="528" formatCode="0">
                  <c:v>268.62200000000001</c:v>
                </c:pt>
                <c:pt idx="529" formatCode="0">
                  <c:v>266.89400000000001</c:v>
                </c:pt>
                <c:pt idx="530" formatCode="0">
                  <c:v>269.90100000000001</c:v>
                </c:pt>
                <c:pt idx="531" formatCode="0">
                  <c:v>271.07799999999997</c:v>
                </c:pt>
                <c:pt idx="532" formatCode="0">
                  <c:v>257.02499999999998</c:v>
                </c:pt>
                <c:pt idx="533" formatCode="0">
                  <c:v>258.68299999999999</c:v>
                </c:pt>
                <c:pt idx="534" formatCode="0">
                  <c:v>256.14</c:v>
                </c:pt>
                <c:pt idx="535" formatCode="0">
                  <c:v>259.39100000000002</c:v>
                </c:pt>
                <c:pt idx="536" formatCode="0">
                  <c:v>260.96600000000001</c:v>
                </c:pt>
                <c:pt idx="537" formatCode="0">
                  <c:v>260.63400000000001</c:v>
                </c:pt>
                <c:pt idx="538" formatCode="0">
                  <c:v>261.346</c:v>
                </c:pt>
                <c:pt idx="539" formatCode="0">
                  <c:v>277.77199999999999</c:v>
                </c:pt>
                <c:pt idx="540" formatCode="0">
                  <c:v>271.05099999999999</c:v>
                </c:pt>
                <c:pt idx="541" formatCode="0">
                  <c:v>280.45600000000002</c:v>
                </c:pt>
                <c:pt idx="542" formatCode="0">
                  <c:v>277.577</c:v>
                </c:pt>
                <c:pt idx="543" formatCode="0">
                  <c:v>275.524</c:v>
                </c:pt>
                <c:pt idx="544" formatCode="0">
                  <c:v>273.66199999999998</c:v>
                </c:pt>
                <c:pt idx="545" formatCode="0">
                  <c:v>268.89400000000001</c:v>
                </c:pt>
                <c:pt idx="546" formatCode="0">
                  <c:v>263.73</c:v>
                </c:pt>
                <c:pt idx="547" formatCode="0">
                  <c:v>265.14499999999998</c:v>
                </c:pt>
                <c:pt idx="548" formatCode="0">
                  <c:v>263.94900000000001</c:v>
                </c:pt>
                <c:pt idx="549" formatCode="0">
                  <c:v>267.82900000000001</c:v>
                </c:pt>
                <c:pt idx="550" formatCode="0">
                  <c:v>273.98</c:v>
                </c:pt>
                <c:pt idx="551" formatCode="0">
                  <c:v>276.87799999999999</c:v>
                </c:pt>
                <c:pt idx="552" formatCode="0">
                  <c:v>277.90300000000002</c:v>
                </c:pt>
                <c:pt idx="553" formatCode="0">
                  <c:v>276.46800000000002</c:v>
                </c:pt>
                <c:pt idx="554" formatCode="0">
                  <c:v>287.577</c:v>
                </c:pt>
                <c:pt idx="555" formatCode="0">
                  <c:v>278.822</c:v>
                </c:pt>
                <c:pt idx="556" formatCode="0">
                  <c:v>288.779</c:v>
                </c:pt>
                <c:pt idx="557" formatCode="0">
                  <c:v>284.26799999999997</c:v>
                </c:pt>
                <c:pt idx="558" formatCode="0">
                  <c:v>274.959</c:v>
                </c:pt>
                <c:pt idx="559" formatCode="0">
                  <c:v>274.69900000000001</c:v>
                </c:pt>
                <c:pt idx="560" formatCode="0">
                  <c:v>277.23700000000002</c:v>
                </c:pt>
                <c:pt idx="561" formatCode="0">
                  <c:v>274.98599999999999</c:v>
                </c:pt>
                <c:pt idx="562" formatCode="0">
                  <c:v>294.90100000000001</c:v>
                </c:pt>
                <c:pt idx="563" formatCode="0">
                  <c:v>297.32</c:v>
                </c:pt>
                <c:pt idx="564" formatCode="0">
                  <c:v>289.48399999999998</c:v>
                </c:pt>
                <c:pt idx="565" formatCode="0">
                  <c:v>288.875</c:v>
                </c:pt>
                <c:pt idx="566" formatCode="0">
                  <c:v>282.262</c:v>
                </c:pt>
                <c:pt idx="567" formatCode="0">
                  <c:v>279.16699999999997</c:v>
                </c:pt>
                <c:pt idx="568" formatCode="0">
                  <c:v>287.32799999999997</c:v>
                </c:pt>
                <c:pt idx="569" formatCode="0">
                  <c:v>298.68700000000001</c:v>
                </c:pt>
                <c:pt idx="570" formatCode="0">
                  <c:v>302.77</c:v>
                </c:pt>
                <c:pt idx="571" formatCode="0">
                  <c:v>301.78199999999998</c:v>
                </c:pt>
                <c:pt idx="572" formatCode="0">
                  <c:v>294.89</c:v>
                </c:pt>
                <c:pt idx="573" formatCode="0">
                  <c:v>293.14999999999998</c:v>
                </c:pt>
                <c:pt idx="574" formatCode="0">
                  <c:v>292.05900000000003</c:v>
                </c:pt>
                <c:pt idx="575" formatCode="0">
                  <c:v>296.34399999999999</c:v>
                </c:pt>
                <c:pt idx="576" formatCode="0">
                  <c:v>308.67899999999997</c:v>
                </c:pt>
                <c:pt idx="577" formatCode="0">
                  <c:v>307.815</c:v>
                </c:pt>
                <c:pt idx="578" formatCode="0">
                  <c:v>301.108</c:v>
                </c:pt>
                <c:pt idx="579" formatCode="0">
                  <c:v>310.70699999999999</c:v>
                </c:pt>
                <c:pt idx="580" formatCode="0">
                  <c:v>314.62200000000001</c:v>
                </c:pt>
                <c:pt idx="581" formatCode="0">
                  <c:v>314.01600000000002</c:v>
                </c:pt>
                <c:pt idx="582" formatCode="0">
                  <c:v>313.73399999999998</c:v>
                </c:pt>
                <c:pt idx="583" formatCode="0">
                  <c:v>314.459</c:v>
                </c:pt>
                <c:pt idx="584" formatCode="0">
                  <c:v>302.23200000000003</c:v>
                </c:pt>
                <c:pt idx="585" formatCode="0">
                  <c:v>301.73</c:v>
                </c:pt>
                <c:pt idx="586" formatCode="0">
                  <c:v>302.26100000000002</c:v>
                </c:pt>
                <c:pt idx="587" formatCode="0">
                  <c:v>302.02</c:v>
                </c:pt>
                <c:pt idx="588" formatCode="0">
                  <c:v>302.02</c:v>
                </c:pt>
                <c:pt idx="589" formatCode="0">
                  <c:v>302.02</c:v>
                </c:pt>
                <c:pt idx="590" formatCode="0">
                  <c:v>309.56799999999998</c:v>
                </c:pt>
                <c:pt idx="591" formatCode="0">
                  <c:v>307.75299999999999</c:v>
                </c:pt>
                <c:pt idx="592" formatCode="0">
                  <c:v>311.34899999999999</c:v>
                </c:pt>
                <c:pt idx="593" formatCode="0">
                  <c:v>309.45999999999998</c:v>
                </c:pt>
                <c:pt idx="594" formatCode="0">
                  <c:v>309.755</c:v>
                </c:pt>
                <c:pt idx="595" formatCode="0">
                  <c:v>317.01</c:v>
                </c:pt>
                <c:pt idx="596" formatCode="0">
                  <c:v>314.464</c:v>
                </c:pt>
                <c:pt idx="597" formatCode="0">
                  <c:v>318.48</c:v>
                </c:pt>
                <c:pt idx="598" formatCode="0">
                  <c:v>311.93700000000001</c:v>
                </c:pt>
                <c:pt idx="599" formatCode="0">
                  <c:v>304.48399999999998</c:v>
                </c:pt>
                <c:pt idx="600" formatCode="0">
                  <c:v>307.94900000000001</c:v>
                </c:pt>
                <c:pt idx="601" formatCode="0">
                  <c:v>309.142</c:v>
                </c:pt>
                <c:pt idx="602" formatCode="0">
                  <c:v>309.29199999999997</c:v>
                </c:pt>
                <c:pt idx="603" formatCode="0">
                  <c:v>306.17899999999997</c:v>
                </c:pt>
                <c:pt idx="604" formatCode="0">
                  <c:v>304.72699999999998</c:v>
                </c:pt>
                <c:pt idx="605" formatCode="0">
                  <c:v>303.416</c:v>
                </c:pt>
                <c:pt idx="606" formatCode="0">
                  <c:v>304.35599999999999</c:v>
                </c:pt>
                <c:pt idx="607" formatCode="0">
                  <c:v>302.18799999999999</c:v>
                </c:pt>
                <c:pt idx="608" formatCode="0">
                  <c:v>301.33100000000002</c:v>
                </c:pt>
                <c:pt idx="609" formatCode="0">
                  <c:v>301.33100000000002</c:v>
                </c:pt>
                <c:pt idx="610" formatCode="0">
                  <c:v>304.21600000000001</c:v>
                </c:pt>
                <c:pt idx="611" formatCode="0">
                  <c:v>298.02100000000002</c:v>
                </c:pt>
                <c:pt idx="612" formatCode="0">
                  <c:v>298.74700000000001</c:v>
                </c:pt>
                <c:pt idx="613" formatCode="0">
                  <c:v>289.75200000000001</c:v>
                </c:pt>
                <c:pt idx="614" formatCode="0">
                  <c:v>281.149</c:v>
                </c:pt>
                <c:pt idx="615" formatCode="0">
                  <c:v>280.06099999999998</c:v>
                </c:pt>
                <c:pt idx="616" formatCode="0">
                  <c:v>278.17599999999999</c:v>
                </c:pt>
                <c:pt idx="617" formatCode="0">
                  <c:v>285.87700000000001</c:v>
                </c:pt>
                <c:pt idx="618" formatCode="0">
                  <c:v>287.66699999999997</c:v>
                </c:pt>
                <c:pt idx="619" formatCode="0">
                  <c:v>287.19799999999998</c:v>
                </c:pt>
                <c:pt idx="620" formatCode="0">
                  <c:v>287.738</c:v>
                </c:pt>
                <c:pt idx="621" formatCode="0">
                  <c:v>284.67700000000002</c:v>
                </c:pt>
                <c:pt idx="622" formatCode="0">
                  <c:v>292.10500000000002</c:v>
                </c:pt>
                <c:pt idx="623" formatCode="0">
                  <c:v>291.10500000000002</c:v>
                </c:pt>
              </c:numCache>
            </c:numRef>
          </c:val>
          <c:smooth val="0"/>
          <c:extLst>
            <c:ext xmlns:c16="http://schemas.microsoft.com/office/drawing/2014/chart" uri="{C3380CC4-5D6E-409C-BE32-E72D297353CC}">
              <c16:uniqueId val="{00000003-4EEE-436B-AFC1-C498D6096249}"/>
            </c:ext>
          </c:extLst>
        </c:ser>
        <c:ser>
          <c:idx val="4"/>
          <c:order val="4"/>
          <c:tx>
            <c:strRef>
              <c:f>Sheet1!$F$1</c:f>
              <c:strCache>
                <c:ptCount val="1"/>
                <c:pt idx="0">
                  <c:v>Ադրբեջան (2024թ.)</c:v>
                </c:pt>
              </c:strCache>
            </c:strRef>
          </c:tx>
          <c:spPr>
            <a:ln w="28575" cap="rnd">
              <a:solidFill>
                <a:schemeClr val="accent6">
                  <a:lumMod val="75000"/>
                </a:schemeClr>
              </a:solidFill>
              <a:round/>
            </a:ln>
            <a:effectLst/>
          </c:spPr>
          <c:marker>
            <c:symbol val="none"/>
          </c:marker>
          <c:cat>
            <c:numRef>
              <c:f>Sheet1!$A$2:$A$625</c:f>
              <c:numCache>
                <c:formatCode>m\/d\/yyyy</c:formatCode>
                <c:ptCount val="624"/>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numCache>
            </c:numRef>
          </c:cat>
          <c:val>
            <c:numRef>
              <c:f>Sheet1!$F$2:$F$625</c:f>
              <c:numCache>
                <c:formatCode>0</c:formatCode>
                <c:ptCount val="624"/>
                <c:pt idx="0">
                  <c:v>219.73599999999999</c:v>
                </c:pt>
                <c:pt idx="1">
                  <c:v>218.94</c:v>
                </c:pt>
                <c:pt idx="2">
                  <c:v>224.01599999999999</c:v>
                </c:pt>
                <c:pt idx="3">
                  <c:v>208.94</c:v>
                </c:pt>
                <c:pt idx="4">
                  <c:v>193.09700000000001</c:v>
                </c:pt>
                <c:pt idx="5">
                  <c:v>193.083</c:v>
                </c:pt>
                <c:pt idx="6">
                  <c:v>195.28</c:v>
                </c:pt>
                <c:pt idx="7">
                  <c:v>199.90899999999999</c:v>
                </c:pt>
                <c:pt idx="8">
                  <c:v>198.30199999999999</c:v>
                </c:pt>
                <c:pt idx="9">
                  <c:v>199.68299999999999</c:v>
                </c:pt>
                <c:pt idx="10">
                  <c:v>196.39699999999999</c:v>
                </c:pt>
                <c:pt idx="11">
                  <c:v>188.75299999999999</c:v>
                </c:pt>
                <c:pt idx="12">
                  <c:v>183.23099999999999</c:v>
                </c:pt>
                <c:pt idx="13">
                  <c:v>166.274</c:v>
                </c:pt>
                <c:pt idx="14">
                  <c:v>165.505</c:v>
                </c:pt>
                <c:pt idx="15">
                  <c:v>170.036</c:v>
                </c:pt>
                <c:pt idx="16">
                  <c:v>170.88200000000001</c:v>
                </c:pt>
                <c:pt idx="17">
                  <c:v>169.494</c:v>
                </c:pt>
                <c:pt idx="18">
                  <c:v>170.256</c:v>
                </c:pt>
                <c:pt idx="19">
                  <c:v>187.989</c:v>
                </c:pt>
                <c:pt idx="20">
                  <c:v>188.595</c:v>
                </c:pt>
                <c:pt idx="21">
                  <c:v>187.114</c:v>
                </c:pt>
                <c:pt idx="22">
                  <c:v>178.70099999999999</c:v>
                </c:pt>
                <c:pt idx="23">
                  <c:v>168.60599999999999</c:v>
                </c:pt>
                <c:pt idx="24">
                  <c:v>162.84299999999999</c:v>
                </c:pt>
                <c:pt idx="25">
                  <c:v>155.25899999999999</c:v>
                </c:pt>
                <c:pt idx="26">
                  <c:v>157.43700000000001</c:v>
                </c:pt>
                <c:pt idx="27">
                  <c:v>168.221</c:v>
                </c:pt>
                <c:pt idx="28">
                  <c:v>171.32499999999999</c:v>
                </c:pt>
                <c:pt idx="29">
                  <c:v>169.00399999999999</c:v>
                </c:pt>
                <c:pt idx="30">
                  <c:v>170.24199999999999</c:v>
                </c:pt>
                <c:pt idx="31">
                  <c:v>158.999</c:v>
                </c:pt>
                <c:pt idx="32">
                  <c:v>171.011</c:v>
                </c:pt>
                <c:pt idx="33">
                  <c:v>167.767</c:v>
                </c:pt>
                <c:pt idx="34">
                  <c:v>162.86500000000001</c:v>
                </c:pt>
                <c:pt idx="35">
                  <c:v>163.285</c:v>
                </c:pt>
                <c:pt idx="36">
                  <c:v>163.30500000000001</c:v>
                </c:pt>
                <c:pt idx="37">
                  <c:v>164.51</c:v>
                </c:pt>
                <c:pt idx="38">
                  <c:v>166.04300000000001</c:v>
                </c:pt>
                <c:pt idx="39">
                  <c:v>164.506</c:v>
                </c:pt>
                <c:pt idx="40">
                  <c:v>171.60599999999999</c:v>
                </c:pt>
                <c:pt idx="41">
                  <c:v>165.965</c:v>
                </c:pt>
                <c:pt idx="42">
                  <c:v>163.94200000000001</c:v>
                </c:pt>
                <c:pt idx="43">
                  <c:v>165.49299999999999</c:v>
                </c:pt>
                <c:pt idx="44">
                  <c:v>171.113</c:v>
                </c:pt>
                <c:pt idx="45">
                  <c:v>171.459</c:v>
                </c:pt>
                <c:pt idx="46">
                  <c:v>170.43</c:v>
                </c:pt>
                <c:pt idx="47">
                  <c:v>175.98099999999999</c:v>
                </c:pt>
                <c:pt idx="48">
                  <c:v>176.87</c:v>
                </c:pt>
                <c:pt idx="49">
                  <c:v>169.27</c:v>
                </c:pt>
                <c:pt idx="50">
                  <c:v>167.91399999999999</c:v>
                </c:pt>
                <c:pt idx="51">
                  <c:v>165.22</c:v>
                </c:pt>
                <c:pt idx="52">
                  <c:v>161.077</c:v>
                </c:pt>
                <c:pt idx="53">
                  <c:v>157.70500000000001</c:v>
                </c:pt>
                <c:pt idx="54">
                  <c:v>149.16</c:v>
                </c:pt>
                <c:pt idx="55">
                  <c:v>146.678</c:v>
                </c:pt>
                <c:pt idx="56">
                  <c:v>152.33699999999999</c:v>
                </c:pt>
                <c:pt idx="57">
                  <c:v>149.56200000000001</c:v>
                </c:pt>
                <c:pt idx="58">
                  <c:v>161.197</c:v>
                </c:pt>
                <c:pt idx="59">
                  <c:v>165.84899999999999</c:v>
                </c:pt>
                <c:pt idx="60">
                  <c:v>158.72</c:v>
                </c:pt>
                <c:pt idx="61">
                  <c:v>164.21</c:v>
                </c:pt>
                <c:pt idx="62">
                  <c:v>161.392</c:v>
                </c:pt>
                <c:pt idx="63">
                  <c:v>162.15700000000001</c:v>
                </c:pt>
                <c:pt idx="64">
                  <c:v>154.858</c:v>
                </c:pt>
                <c:pt idx="65">
                  <c:v>157.18299999999999</c:v>
                </c:pt>
                <c:pt idx="66">
                  <c:v>161.26300000000001</c:v>
                </c:pt>
                <c:pt idx="67">
                  <c:v>163.934</c:v>
                </c:pt>
                <c:pt idx="68">
                  <c:v>166.33</c:v>
                </c:pt>
                <c:pt idx="69">
                  <c:v>164.37799999999999</c:v>
                </c:pt>
                <c:pt idx="70">
                  <c:v>164.01499999999999</c:v>
                </c:pt>
                <c:pt idx="71">
                  <c:v>170.708</c:v>
                </c:pt>
                <c:pt idx="72">
                  <c:v>174.86</c:v>
                </c:pt>
                <c:pt idx="73">
                  <c:v>171.548</c:v>
                </c:pt>
                <c:pt idx="74">
                  <c:v>166.76300000000001</c:v>
                </c:pt>
                <c:pt idx="75">
                  <c:v>163.15600000000001</c:v>
                </c:pt>
                <c:pt idx="76">
                  <c:v>162.44999999999999</c:v>
                </c:pt>
                <c:pt idx="77">
                  <c:v>163.345</c:v>
                </c:pt>
                <c:pt idx="78">
                  <c:v>163.345</c:v>
                </c:pt>
                <c:pt idx="79">
                  <c:v>163.99100000000001</c:v>
                </c:pt>
                <c:pt idx="80">
                  <c:v>165.476</c:v>
                </c:pt>
                <c:pt idx="81">
                  <c:v>165.001</c:v>
                </c:pt>
                <c:pt idx="82">
                  <c:v>165.80600000000001</c:v>
                </c:pt>
                <c:pt idx="83">
                  <c:v>166.95</c:v>
                </c:pt>
                <c:pt idx="84">
                  <c:v>160.57900000000001</c:v>
                </c:pt>
                <c:pt idx="85">
                  <c:v>158.762</c:v>
                </c:pt>
                <c:pt idx="86">
                  <c:v>156.511</c:v>
                </c:pt>
                <c:pt idx="87">
                  <c:v>153.66499999999999</c:v>
                </c:pt>
                <c:pt idx="88">
                  <c:v>156.59899999999999</c:v>
                </c:pt>
                <c:pt idx="89">
                  <c:v>169.995</c:v>
                </c:pt>
                <c:pt idx="90">
                  <c:v>165.12299999999999</c:v>
                </c:pt>
                <c:pt idx="91">
                  <c:v>168.40600000000001</c:v>
                </c:pt>
                <c:pt idx="92">
                  <c:v>171.084</c:v>
                </c:pt>
                <c:pt idx="93">
                  <c:v>167.95099999999999</c:v>
                </c:pt>
                <c:pt idx="94">
                  <c:v>176.41399999999999</c:v>
                </c:pt>
                <c:pt idx="95">
                  <c:v>178.77</c:v>
                </c:pt>
                <c:pt idx="96">
                  <c:v>179.727</c:v>
                </c:pt>
                <c:pt idx="97">
                  <c:v>170.46</c:v>
                </c:pt>
                <c:pt idx="98">
                  <c:v>168.73599999999999</c:v>
                </c:pt>
                <c:pt idx="99">
                  <c:v>164.02600000000001</c:v>
                </c:pt>
                <c:pt idx="100">
                  <c:v>159.90199999999999</c:v>
                </c:pt>
                <c:pt idx="101">
                  <c:v>163.16499999999999</c:v>
                </c:pt>
                <c:pt idx="102">
                  <c:v>173.69300000000001</c:v>
                </c:pt>
                <c:pt idx="103">
                  <c:v>171.786</c:v>
                </c:pt>
                <c:pt idx="104">
                  <c:v>170.47499999999999</c:v>
                </c:pt>
                <c:pt idx="105">
                  <c:v>174.453</c:v>
                </c:pt>
                <c:pt idx="106">
                  <c:v>174.12200000000001</c:v>
                </c:pt>
                <c:pt idx="107">
                  <c:v>176.631</c:v>
                </c:pt>
                <c:pt idx="108">
                  <c:v>185.99799999999999</c:v>
                </c:pt>
                <c:pt idx="109">
                  <c:v>198.233</c:v>
                </c:pt>
                <c:pt idx="110">
                  <c:v>192.83799999999999</c:v>
                </c:pt>
                <c:pt idx="111">
                  <c:v>184.97300000000001</c:v>
                </c:pt>
                <c:pt idx="112">
                  <c:v>181.85</c:v>
                </c:pt>
                <c:pt idx="113">
                  <c:v>180.48699999999999</c:v>
                </c:pt>
                <c:pt idx="114">
                  <c:v>169.316</c:v>
                </c:pt>
                <c:pt idx="115">
                  <c:v>167.75700000000001</c:v>
                </c:pt>
                <c:pt idx="116">
                  <c:v>174.49199999999999</c:v>
                </c:pt>
                <c:pt idx="117">
                  <c:v>179.94399999999999</c:v>
                </c:pt>
                <c:pt idx="118">
                  <c:v>176.654</c:v>
                </c:pt>
                <c:pt idx="119">
                  <c:v>172.89099999999999</c:v>
                </c:pt>
                <c:pt idx="120">
                  <c:v>167.21799999999999</c:v>
                </c:pt>
                <c:pt idx="121">
                  <c:v>168.99100000000001</c:v>
                </c:pt>
                <c:pt idx="122">
                  <c:v>144.35599999999999</c:v>
                </c:pt>
                <c:pt idx="123">
                  <c:v>156.31399999999999</c:v>
                </c:pt>
                <c:pt idx="124">
                  <c:v>166.261</c:v>
                </c:pt>
                <c:pt idx="125">
                  <c:v>171.41399999999999</c:v>
                </c:pt>
                <c:pt idx="126">
                  <c:v>170.52099999999999</c:v>
                </c:pt>
                <c:pt idx="127">
                  <c:v>170.95099999999999</c:v>
                </c:pt>
                <c:pt idx="128">
                  <c:v>173.529</c:v>
                </c:pt>
                <c:pt idx="129">
                  <c:v>164.91300000000001</c:v>
                </c:pt>
                <c:pt idx="130">
                  <c:v>169.03299999999999</c:v>
                </c:pt>
                <c:pt idx="131">
                  <c:v>168.00299999999999</c:v>
                </c:pt>
                <c:pt idx="132">
                  <c:v>168.37799999999999</c:v>
                </c:pt>
                <c:pt idx="133">
                  <c:v>161.58199999999999</c:v>
                </c:pt>
                <c:pt idx="134">
                  <c:v>161.376</c:v>
                </c:pt>
                <c:pt idx="135">
                  <c:v>160.41999999999999</c:v>
                </c:pt>
                <c:pt idx="136">
                  <c:v>162.17099999999999</c:v>
                </c:pt>
                <c:pt idx="137">
                  <c:v>153.89500000000001</c:v>
                </c:pt>
                <c:pt idx="138">
                  <c:v>158.726</c:v>
                </c:pt>
                <c:pt idx="139">
                  <c:v>160.85499999999999</c:v>
                </c:pt>
                <c:pt idx="140">
                  <c:v>161.63900000000001</c:v>
                </c:pt>
                <c:pt idx="141">
                  <c:v>161.86000000000001</c:v>
                </c:pt>
                <c:pt idx="142">
                  <c:v>164.548</c:v>
                </c:pt>
                <c:pt idx="143">
                  <c:v>158.12899999999999</c:v>
                </c:pt>
                <c:pt idx="144">
                  <c:v>153.113</c:v>
                </c:pt>
                <c:pt idx="145">
                  <c:v>145.255</c:v>
                </c:pt>
                <c:pt idx="146">
                  <c:v>144.226</c:v>
                </c:pt>
                <c:pt idx="147">
                  <c:v>136.119</c:v>
                </c:pt>
                <c:pt idx="148">
                  <c:v>134.08000000000001</c:v>
                </c:pt>
                <c:pt idx="149">
                  <c:v>133.024</c:v>
                </c:pt>
                <c:pt idx="150">
                  <c:v>134.81</c:v>
                </c:pt>
                <c:pt idx="151">
                  <c:v>134.72999999999999</c:v>
                </c:pt>
                <c:pt idx="152">
                  <c:v>152.91999999999999</c:v>
                </c:pt>
                <c:pt idx="153">
                  <c:v>161.636</c:v>
                </c:pt>
                <c:pt idx="154">
                  <c:v>183.57</c:v>
                </c:pt>
                <c:pt idx="155">
                  <c:v>179.971</c:v>
                </c:pt>
                <c:pt idx="156">
                  <c:v>171.74100000000001</c:v>
                </c:pt>
                <c:pt idx="157">
                  <c:v>171.36099999999999</c:v>
                </c:pt>
                <c:pt idx="158">
                  <c:v>165.488</c:v>
                </c:pt>
                <c:pt idx="159">
                  <c:v>174.10499999999999</c:v>
                </c:pt>
                <c:pt idx="160">
                  <c:v>168.53</c:v>
                </c:pt>
                <c:pt idx="161">
                  <c:v>177.33699999999999</c:v>
                </c:pt>
                <c:pt idx="162">
                  <c:v>190.69800000000001</c:v>
                </c:pt>
                <c:pt idx="163">
                  <c:v>187.815</c:v>
                </c:pt>
                <c:pt idx="164">
                  <c:v>183.83600000000001</c:v>
                </c:pt>
                <c:pt idx="165">
                  <c:v>186.92599999999999</c:v>
                </c:pt>
                <c:pt idx="166">
                  <c:v>180.846</c:v>
                </c:pt>
                <c:pt idx="167">
                  <c:v>179.64699999999999</c:v>
                </c:pt>
                <c:pt idx="168">
                  <c:v>188.595</c:v>
                </c:pt>
                <c:pt idx="169">
                  <c:v>191.53100000000001</c:v>
                </c:pt>
                <c:pt idx="170">
                  <c:v>190.893</c:v>
                </c:pt>
                <c:pt idx="171">
                  <c:v>187.66800000000001</c:v>
                </c:pt>
                <c:pt idx="172">
                  <c:v>178.57300000000001</c:v>
                </c:pt>
                <c:pt idx="173">
                  <c:v>171.36799999999999</c:v>
                </c:pt>
                <c:pt idx="174">
                  <c:v>161.35</c:v>
                </c:pt>
                <c:pt idx="175">
                  <c:v>166.227</c:v>
                </c:pt>
                <c:pt idx="176">
                  <c:v>165.17099999999999</c:v>
                </c:pt>
                <c:pt idx="177">
                  <c:v>156.703</c:v>
                </c:pt>
                <c:pt idx="178">
                  <c:v>166.00899999999999</c:v>
                </c:pt>
                <c:pt idx="179">
                  <c:v>165.84399999999999</c:v>
                </c:pt>
                <c:pt idx="180">
                  <c:v>162.751</c:v>
                </c:pt>
                <c:pt idx="181">
                  <c:v>170.875</c:v>
                </c:pt>
                <c:pt idx="182">
                  <c:v>165.13900000000001</c:v>
                </c:pt>
                <c:pt idx="183">
                  <c:v>163.411</c:v>
                </c:pt>
                <c:pt idx="184">
                  <c:v>167.31100000000001</c:v>
                </c:pt>
                <c:pt idx="185">
                  <c:v>165.78399999999999</c:v>
                </c:pt>
                <c:pt idx="186">
                  <c:v>161.60900000000001</c:v>
                </c:pt>
                <c:pt idx="187">
                  <c:v>162.49199999999999</c:v>
                </c:pt>
                <c:pt idx="188">
                  <c:v>156.833</c:v>
                </c:pt>
                <c:pt idx="189">
                  <c:v>155.541</c:v>
                </c:pt>
                <c:pt idx="190">
                  <c:v>160.43199999999999</c:v>
                </c:pt>
                <c:pt idx="191">
                  <c:v>162.19900000000001</c:v>
                </c:pt>
                <c:pt idx="192">
                  <c:v>168.077</c:v>
                </c:pt>
                <c:pt idx="193">
                  <c:v>165.04300000000001</c:v>
                </c:pt>
                <c:pt idx="194">
                  <c:v>171.07499999999999</c:v>
                </c:pt>
                <c:pt idx="195">
                  <c:v>181.11799999999999</c:v>
                </c:pt>
                <c:pt idx="196">
                  <c:v>194.10499999999999</c:v>
                </c:pt>
                <c:pt idx="197">
                  <c:v>201.07900000000001</c:v>
                </c:pt>
                <c:pt idx="198">
                  <c:v>194.119</c:v>
                </c:pt>
                <c:pt idx="199">
                  <c:v>190.19499999999999</c:v>
                </c:pt>
                <c:pt idx="200">
                  <c:v>196.49199999999999</c:v>
                </c:pt>
                <c:pt idx="201">
                  <c:v>191.203</c:v>
                </c:pt>
                <c:pt idx="202">
                  <c:v>182.56299999999999</c:v>
                </c:pt>
                <c:pt idx="203">
                  <c:v>175.566</c:v>
                </c:pt>
                <c:pt idx="204">
                  <c:v>173.523</c:v>
                </c:pt>
                <c:pt idx="205">
                  <c:v>169.404</c:v>
                </c:pt>
                <c:pt idx="206">
                  <c:v>169.71199999999999</c:v>
                </c:pt>
                <c:pt idx="207">
                  <c:v>166.77199999999999</c:v>
                </c:pt>
                <c:pt idx="208">
                  <c:v>165.369</c:v>
                </c:pt>
                <c:pt idx="209">
                  <c:v>164.249</c:v>
                </c:pt>
                <c:pt idx="210">
                  <c:v>165.136</c:v>
                </c:pt>
                <c:pt idx="211">
                  <c:v>162.54300000000001</c:v>
                </c:pt>
                <c:pt idx="212">
                  <c:v>163.36199999999999</c:v>
                </c:pt>
                <c:pt idx="213">
                  <c:v>159.96799999999999</c:v>
                </c:pt>
                <c:pt idx="214">
                  <c:v>166.761</c:v>
                </c:pt>
                <c:pt idx="215">
                  <c:v>165.696</c:v>
                </c:pt>
                <c:pt idx="216">
                  <c:v>170.56200000000001</c:v>
                </c:pt>
                <c:pt idx="217">
                  <c:v>174.57499999999999</c:v>
                </c:pt>
                <c:pt idx="218">
                  <c:v>166.358</c:v>
                </c:pt>
                <c:pt idx="219">
                  <c:v>156.93700000000001</c:v>
                </c:pt>
                <c:pt idx="220">
                  <c:v>155.78</c:v>
                </c:pt>
                <c:pt idx="221">
                  <c:v>159.68</c:v>
                </c:pt>
                <c:pt idx="222">
                  <c:v>156.84200000000001</c:v>
                </c:pt>
                <c:pt idx="223">
                  <c:v>156.411</c:v>
                </c:pt>
                <c:pt idx="224">
                  <c:v>157.40899999999999</c:v>
                </c:pt>
                <c:pt idx="225">
                  <c:v>159.71199999999999</c:v>
                </c:pt>
                <c:pt idx="226">
                  <c:v>160.02500000000001</c:v>
                </c:pt>
                <c:pt idx="227">
                  <c:v>161.41200000000001</c:v>
                </c:pt>
                <c:pt idx="228">
                  <c:v>150.62700000000001</c:v>
                </c:pt>
                <c:pt idx="229">
                  <c:v>152.232</c:v>
                </c:pt>
                <c:pt idx="230">
                  <c:v>154.965</c:v>
                </c:pt>
                <c:pt idx="231">
                  <c:v>153.63900000000001</c:v>
                </c:pt>
                <c:pt idx="232">
                  <c:v>144.422</c:v>
                </c:pt>
                <c:pt idx="233">
                  <c:v>139.767</c:v>
                </c:pt>
                <c:pt idx="234">
                  <c:v>142.73699999999999</c:v>
                </c:pt>
                <c:pt idx="235">
                  <c:v>145.33099999999999</c:v>
                </c:pt>
                <c:pt idx="236">
                  <c:v>141.26900000000001</c:v>
                </c:pt>
                <c:pt idx="237">
                  <c:v>138.13800000000001</c:v>
                </c:pt>
                <c:pt idx="238">
                  <c:v>133.83199999999999</c:v>
                </c:pt>
                <c:pt idx="239">
                  <c:v>140.62700000000001</c:v>
                </c:pt>
                <c:pt idx="240">
                  <c:v>148.72999999999999</c:v>
                </c:pt>
                <c:pt idx="241">
                  <c:v>140.875</c:v>
                </c:pt>
                <c:pt idx="242">
                  <c:v>137.55000000000001</c:v>
                </c:pt>
                <c:pt idx="243">
                  <c:v>136.04400000000001</c:v>
                </c:pt>
                <c:pt idx="244">
                  <c:v>137.119</c:v>
                </c:pt>
                <c:pt idx="245">
                  <c:v>137.584</c:v>
                </c:pt>
                <c:pt idx="246">
                  <c:v>135.46299999999999</c:v>
                </c:pt>
                <c:pt idx="247">
                  <c:v>124.08199999999999</c:v>
                </c:pt>
                <c:pt idx="248">
                  <c:v>131.405</c:v>
                </c:pt>
                <c:pt idx="249">
                  <c:v>124.483</c:v>
                </c:pt>
                <c:pt idx="250">
                  <c:v>124.955</c:v>
                </c:pt>
                <c:pt idx="251">
                  <c:v>119.07899999999999</c:v>
                </c:pt>
                <c:pt idx="252">
                  <c:v>119.375</c:v>
                </c:pt>
                <c:pt idx="253">
                  <c:v>120.867</c:v>
                </c:pt>
                <c:pt idx="254">
                  <c:v>119.31</c:v>
                </c:pt>
                <c:pt idx="255">
                  <c:v>120.041</c:v>
                </c:pt>
                <c:pt idx="256">
                  <c:v>120.041</c:v>
                </c:pt>
                <c:pt idx="257">
                  <c:v>120.041</c:v>
                </c:pt>
                <c:pt idx="258">
                  <c:v>122.747</c:v>
                </c:pt>
                <c:pt idx="259">
                  <c:v>124.134</c:v>
                </c:pt>
                <c:pt idx="260">
                  <c:v>121.98699999999999</c:v>
                </c:pt>
                <c:pt idx="261">
                  <c:v>121.98699999999999</c:v>
                </c:pt>
                <c:pt idx="262">
                  <c:v>122.93300000000001</c:v>
                </c:pt>
                <c:pt idx="263">
                  <c:v>125.89700000000001</c:v>
                </c:pt>
                <c:pt idx="264">
                  <c:v>127.456</c:v>
                </c:pt>
                <c:pt idx="265">
                  <c:v>125.473</c:v>
                </c:pt>
                <c:pt idx="266">
                  <c:v>119.208</c:v>
                </c:pt>
                <c:pt idx="267">
                  <c:v>122.057</c:v>
                </c:pt>
                <c:pt idx="268">
                  <c:v>122.742</c:v>
                </c:pt>
                <c:pt idx="269">
                  <c:v>120.43600000000001</c:v>
                </c:pt>
                <c:pt idx="270">
                  <c:v>117.774</c:v>
                </c:pt>
                <c:pt idx="271">
                  <c:v>118.154</c:v>
                </c:pt>
                <c:pt idx="272">
                  <c:v>117.723</c:v>
                </c:pt>
                <c:pt idx="273">
                  <c:v>117.018</c:v>
                </c:pt>
                <c:pt idx="274">
                  <c:v>117.95399999999999</c:v>
                </c:pt>
                <c:pt idx="275">
                  <c:v>119.03</c:v>
                </c:pt>
                <c:pt idx="276">
                  <c:v>118.605</c:v>
                </c:pt>
                <c:pt idx="277">
                  <c:v>122.054</c:v>
                </c:pt>
                <c:pt idx="278">
                  <c:v>124.81699999999999</c:v>
                </c:pt>
                <c:pt idx="279">
                  <c:v>137.19900000000001</c:v>
                </c:pt>
                <c:pt idx="280">
                  <c:v>129.595</c:v>
                </c:pt>
                <c:pt idx="281">
                  <c:v>136.084</c:v>
                </c:pt>
                <c:pt idx="282">
                  <c:v>136.58099999999999</c:v>
                </c:pt>
                <c:pt idx="283">
                  <c:v>133.44300000000001</c:v>
                </c:pt>
                <c:pt idx="284">
                  <c:v>128.304</c:v>
                </c:pt>
                <c:pt idx="285">
                  <c:v>118.224</c:v>
                </c:pt>
                <c:pt idx="286">
                  <c:v>112.864</c:v>
                </c:pt>
                <c:pt idx="287">
                  <c:v>108.905</c:v>
                </c:pt>
                <c:pt idx="288">
                  <c:v>111.977</c:v>
                </c:pt>
                <c:pt idx="289">
                  <c:v>115.19799999999999</c:v>
                </c:pt>
                <c:pt idx="290">
                  <c:v>102.041</c:v>
                </c:pt>
                <c:pt idx="291">
                  <c:v>98.98</c:v>
                </c:pt>
                <c:pt idx="292">
                  <c:v>96.820999999999998</c:v>
                </c:pt>
                <c:pt idx="293">
                  <c:v>99.968000000000004</c:v>
                </c:pt>
                <c:pt idx="294">
                  <c:v>98.498000000000005</c:v>
                </c:pt>
                <c:pt idx="295">
                  <c:v>103.836</c:v>
                </c:pt>
                <c:pt idx="296">
                  <c:v>101.98</c:v>
                </c:pt>
                <c:pt idx="297">
                  <c:v>107.187</c:v>
                </c:pt>
                <c:pt idx="298">
                  <c:v>110.587</c:v>
                </c:pt>
                <c:pt idx="299">
                  <c:v>123.946</c:v>
                </c:pt>
                <c:pt idx="300">
                  <c:v>128.16300000000001</c:v>
                </c:pt>
                <c:pt idx="301">
                  <c:v>135.36199999999999</c:v>
                </c:pt>
                <c:pt idx="302">
                  <c:v>157.19399999999999</c:v>
                </c:pt>
                <c:pt idx="303">
                  <c:v>190.83199999999999</c:v>
                </c:pt>
                <c:pt idx="304">
                  <c:v>190.66300000000001</c:v>
                </c:pt>
                <c:pt idx="305">
                  <c:v>182.43700000000001</c:v>
                </c:pt>
                <c:pt idx="306">
                  <c:v>178.64599999999999</c:v>
                </c:pt>
                <c:pt idx="307">
                  <c:v>173.28200000000001</c:v>
                </c:pt>
                <c:pt idx="308">
                  <c:v>179.768</c:v>
                </c:pt>
                <c:pt idx="309">
                  <c:v>312.19099999999997</c:v>
                </c:pt>
                <c:pt idx="310">
                  <c:v>291.464</c:v>
                </c:pt>
                <c:pt idx="311">
                  <c:v>312.274</c:v>
                </c:pt>
                <c:pt idx="312">
                  <c:v>448.16800000000001</c:v>
                </c:pt>
                <c:pt idx="313">
                  <c:v>431.75599999999997</c:v>
                </c:pt>
                <c:pt idx="314">
                  <c:v>509.392</c:v>
                </c:pt>
                <c:pt idx="315">
                  <c:v>475.64699999999999</c:v>
                </c:pt>
                <c:pt idx="316">
                  <c:v>641.36300000000006</c:v>
                </c:pt>
                <c:pt idx="317">
                  <c:v>681.50599999999997</c:v>
                </c:pt>
                <c:pt idx="318">
                  <c:v>670.39099999999996</c:v>
                </c:pt>
                <c:pt idx="319">
                  <c:v>738.88099999999997</c:v>
                </c:pt>
                <c:pt idx="320">
                  <c:v>690.58</c:v>
                </c:pt>
                <c:pt idx="321">
                  <c:v>608.53099999999995</c:v>
                </c:pt>
                <c:pt idx="322">
                  <c:v>538.947</c:v>
                </c:pt>
                <c:pt idx="323">
                  <c:v>485.33199999999999</c:v>
                </c:pt>
                <c:pt idx="324">
                  <c:v>511.649</c:v>
                </c:pt>
                <c:pt idx="325">
                  <c:v>508.95299999999997</c:v>
                </c:pt>
                <c:pt idx="326">
                  <c:v>522.36699999999996</c:v>
                </c:pt>
                <c:pt idx="327">
                  <c:v>463.762</c:v>
                </c:pt>
                <c:pt idx="328">
                  <c:v>432.77300000000002</c:v>
                </c:pt>
                <c:pt idx="329">
                  <c:v>377.66199999999998</c:v>
                </c:pt>
                <c:pt idx="330">
                  <c:v>357.65</c:v>
                </c:pt>
                <c:pt idx="331">
                  <c:v>360.51499999999999</c:v>
                </c:pt>
                <c:pt idx="332">
                  <c:v>355.99299999999999</c:v>
                </c:pt>
                <c:pt idx="333">
                  <c:v>355.99299999999999</c:v>
                </c:pt>
                <c:pt idx="334">
                  <c:v>355.99299999999999</c:v>
                </c:pt>
                <c:pt idx="335">
                  <c:v>336.22300000000001</c:v>
                </c:pt>
                <c:pt idx="336">
                  <c:v>345.63499999999999</c:v>
                </c:pt>
                <c:pt idx="337">
                  <c:v>347.67899999999997</c:v>
                </c:pt>
                <c:pt idx="338">
                  <c:v>344.262</c:v>
                </c:pt>
                <c:pt idx="339">
                  <c:v>349.041</c:v>
                </c:pt>
                <c:pt idx="340">
                  <c:v>390.44</c:v>
                </c:pt>
                <c:pt idx="341">
                  <c:v>396.56299999999999</c:v>
                </c:pt>
                <c:pt idx="342">
                  <c:v>375.55599999999998</c:v>
                </c:pt>
                <c:pt idx="343">
                  <c:v>388.517</c:v>
                </c:pt>
                <c:pt idx="344">
                  <c:v>413.041</c:v>
                </c:pt>
                <c:pt idx="345">
                  <c:v>416.06799999999998</c:v>
                </c:pt>
                <c:pt idx="346">
                  <c:v>414.27199999999999</c:v>
                </c:pt>
                <c:pt idx="347">
                  <c:v>397.91500000000002</c:v>
                </c:pt>
                <c:pt idx="348">
                  <c:v>403.34699999999998</c:v>
                </c:pt>
                <c:pt idx="349">
                  <c:v>432.54500000000002</c:v>
                </c:pt>
                <c:pt idx="350">
                  <c:v>397.47800000000001</c:v>
                </c:pt>
                <c:pt idx="351">
                  <c:v>398.37299999999999</c:v>
                </c:pt>
                <c:pt idx="352">
                  <c:v>408.31200000000001</c:v>
                </c:pt>
                <c:pt idx="353">
                  <c:v>408.31200000000001</c:v>
                </c:pt>
                <c:pt idx="354">
                  <c:v>387.00799999999998</c:v>
                </c:pt>
                <c:pt idx="355">
                  <c:v>359.23899999999998</c:v>
                </c:pt>
                <c:pt idx="356">
                  <c:v>357.31299999999999</c:v>
                </c:pt>
                <c:pt idx="357">
                  <c:v>363.13600000000002</c:v>
                </c:pt>
                <c:pt idx="358">
                  <c:v>346.72500000000002</c:v>
                </c:pt>
                <c:pt idx="359">
                  <c:v>319.642</c:v>
                </c:pt>
                <c:pt idx="360">
                  <c:v>316.59800000000001</c:v>
                </c:pt>
                <c:pt idx="361">
                  <c:v>311.12799999999999</c:v>
                </c:pt>
                <c:pt idx="362">
                  <c:v>301.82100000000003</c:v>
                </c:pt>
                <c:pt idx="363">
                  <c:v>302.47899999999998</c:v>
                </c:pt>
                <c:pt idx="364">
                  <c:v>302.47899999999998</c:v>
                </c:pt>
                <c:pt idx="365">
                  <c:v>289.82799999999997</c:v>
                </c:pt>
                <c:pt idx="366">
                  <c:v>283.81700000000001</c:v>
                </c:pt>
                <c:pt idx="367">
                  <c:v>282.03800000000001</c:v>
                </c:pt>
                <c:pt idx="368">
                  <c:v>288.47699999999998</c:v>
                </c:pt>
                <c:pt idx="369">
                  <c:v>287.41699999999997</c:v>
                </c:pt>
                <c:pt idx="370">
                  <c:v>278.94499999999999</c:v>
                </c:pt>
                <c:pt idx="371">
                  <c:v>260.09199999999998</c:v>
                </c:pt>
                <c:pt idx="372">
                  <c:v>255.43299999999999</c:v>
                </c:pt>
                <c:pt idx="373">
                  <c:v>233.19200000000001</c:v>
                </c:pt>
                <c:pt idx="374">
                  <c:v>228.928</c:v>
                </c:pt>
                <c:pt idx="375">
                  <c:v>232.071</c:v>
                </c:pt>
                <c:pt idx="376">
                  <c:v>233.88800000000001</c:v>
                </c:pt>
                <c:pt idx="377">
                  <c:v>252.63300000000001</c:v>
                </c:pt>
                <c:pt idx="378">
                  <c:v>252.322</c:v>
                </c:pt>
                <c:pt idx="379">
                  <c:v>279.67599999999999</c:v>
                </c:pt>
                <c:pt idx="380">
                  <c:v>260.01600000000002</c:v>
                </c:pt>
                <c:pt idx="381">
                  <c:v>269.37299999999999</c:v>
                </c:pt>
                <c:pt idx="382">
                  <c:v>268.14999999999998</c:v>
                </c:pt>
                <c:pt idx="383">
                  <c:v>269.19600000000003</c:v>
                </c:pt>
                <c:pt idx="384">
                  <c:v>267.98899999999998</c:v>
                </c:pt>
                <c:pt idx="385">
                  <c:v>247.91800000000001</c:v>
                </c:pt>
                <c:pt idx="386">
                  <c:v>248.84899999999999</c:v>
                </c:pt>
                <c:pt idx="387">
                  <c:v>252.53</c:v>
                </c:pt>
                <c:pt idx="388">
                  <c:v>260.08499999999998</c:v>
                </c:pt>
                <c:pt idx="389">
                  <c:v>260.81</c:v>
                </c:pt>
                <c:pt idx="390">
                  <c:v>253.078</c:v>
                </c:pt>
                <c:pt idx="391">
                  <c:v>252.06</c:v>
                </c:pt>
                <c:pt idx="392">
                  <c:v>244.245</c:v>
                </c:pt>
                <c:pt idx="393">
                  <c:v>251.49</c:v>
                </c:pt>
                <c:pt idx="394">
                  <c:v>240.083</c:v>
                </c:pt>
                <c:pt idx="395">
                  <c:v>245.374</c:v>
                </c:pt>
                <c:pt idx="396">
                  <c:v>243.17</c:v>
                </c:pt>
                <c:pt idx="397">
                  <c:v>238.96700000000001</c:v>
                </c:pt>
                <c:pt idx="398">
                  <c:v>237.114</c:v>
                </c:pt>
                <c:pt idx="399">
                  <c:v>244.82900000000001</c:v>
                </c:pt>
                <c:pt idx="400">
                  <c:v>231.27199999999999</c:v>
                </c:pt>
                <c:pt idx="401">
                  <c:v>230.488</c:v>
                </c:pt>
                <c:pt idx="402">
                  <c:v>230.148</c:v>
                </c:pt>
                <c:pt idx="403">
                  <c:v>228.41</c:v>
                </c:pt>
                <c:pt idx="404">
                  <c:v>228.483</c:v>
                </c:pt>
                <c:pt idx="405">
                  <c:v>225.50700000000001</c:v>
                </c:pt>
                <c:pt idx="406">
                  <c:v>222.11199999999999</c:v>
                </c:pt>
                <c:pt idx="407">
                  <c:v>222.44800000000001</c:v>
                </c:pt>
                <c:pt idx="408">
                  <c:v>221.68299999999999</c:v>
                </c:pt>
                <c:pt idx="409">
                  <c:v>219.55600000000001</c:v>
                </c:pt>
                <c:pt idx="410">
                  <c:v>221.63499999999999</c:v>
                </c:pt>
                <c:pt idx="411">
                  <c:v>220.035</c:v>
                </c:pt>
                <c:pt idx="412">
                  <c:v>219.38200000000001</c:v>
                </c:pt>
                <c:pt idx="413">
                  <c:v>215.73599999999999</c:v>
                </c:pt>
                <c:pt idx="414">
                  <c:v>211.46700000000001</c:v>
                </c:pt>
                <c:pt idx="415">
                  <c:v>203.44499999999999</c:v>
                </c:pt>
                <c:pt idx="416">
                  <c:v>191.197</c:v>
                </c:pt>
                <c:pt idx="417">
                  <c:v>189.79</c:v>
                </c:pt>
                <c:pt idx="418">
                  <c:v>183.226</c:v>
                </c:pt>
                <c:pt idx="419">
                  <c:v>173.03899999999999</c:v>
                </c:pt>
                <c:pt idx="420">
                  <c:v>168.363</c:v>
                </c:pt>
                <c:pt idx="421">
                  <c:v>169.44200000000001</c:v>
                </c:pt>
                <c:pt idx="422">
                  <c:v>164.637</c:v>
                </c:pt>
                <c:pt idx="423">
                  <c:v>166.227</c:v>
                </c:pt>
                <c:pt idx="424">
                  <c:v>168.93600000000001</c:v>
                </c:pt>
                <c:pt idx="425">
                  <c:v>166.429</c:v>
                </c:pt>
                <c:pt idx="426">
                  <c:v>176.602</c:v>
                </c:pt>
                <c:pt idx="427">
                  <c:v>180.23099999999999</c:v>
                </c:pt>
                <c:pt idx="428">
                  <c:v>177.42400000000001</c:v>
                </c:pt>
                <c:pt idx="429">
                  <c:v>176.63800000000001</c:v>
                </c:pt>
                <c:pt idx="430">
                  <c:v>174.20400000000001</c:v>
                </c:pt>
                <c:pt idx="431">
                  <c:v>180.565</c:v>
                </c:pt>
                <c:pt idx="432">
                  <c:v>179.458</c:v>
                </c:pt>
                <c:pt idx="433">
                  <c:v>186.77199999999999</c:v>
                </c:pt>
                <c:pt idx="434">
                  <c:v>186.77199999999999</c:v>
                </c:pt>
                <c:pt idx="435">
                  <c:v>180.66399999999999</c:v>
                </c:pt>
                <c:pt idx="436">
                  <c:v>177.68700000000001</c:v>
                </c:pt>
                <c:pt idx="437">
                  <c:v>176.917</c:v>
                </c:pt>
                <c:pt idx="438">
                  <c:v>175.684</c:v>
                </c:pt>
                <c:pt idx="439">
                  <c:v>177.86</c:v>
                </c:pt>
                <c:pt idx="440">
                  <c:v>185.43899999999999</c:v>
                </c:pt>
                <c:pt idx="441">
                  <c:v>188.803</c:v>
                </c:pt>
                <c:pt idx="442">
                  <c:v>187.42099999999999</c:v>
                </c:pt>
                <c:pt idx="443">
                  <c:v>192.78</c:v>
                </c:pt>
                <c:pt idx="444">
                  <c:v>193.65</c:v>
                </c:pt>
                <c:pt idx="445">
                  <c:v>191.68600000000001</c:v>
                </c:pt>
                <c:pt idx="446">
                  <c:v>190.42099999999999</c:v>
                </c:pt>
                <c:pt idx="447">
                  <c:v>195.173</c:v>
                </c:pt>
                <c:pt idx="448">
                  <c:v>193.82400000000001</c:v>
                </c:pt>
                <c:pt idx="449">
                  <c:v>210.732</c:v>
                </c:pt>
                <c:pt idx="450">
                  <c:v>219.19200000000001</c:v>
                </c:pt>
                <c:pt idx="451">
                  <c:v>235.38399999999999</c:v>
                </c:pt>
                <c:pt idx="452">
                  <c:v>250.07400000000001</c:v>
                </c:pt>
                <c:pt idx="453">
                  <c:v>257.452</c:v>
                </c:pt>
                <c:pt idx="454">
                  <c:v>280.98099999999999</c:v>
                </c:pt>
                <c:pt idx="455">
                  <c:v>302.17899999999997</c:v>
                </c:pt>
                <c:pt idx="456">
                  <c:v>285.65199999999999</c:v>
                </c:pt>
                <c:pt idx="457">
                  <c:v>273.90899999999999</c:v>
                </c:pt>
                <c:pt idx="458">
                  <c:v>270.68700000000001</c:v>
                </c:pt>
                <c:pt idx="459">
                  <c:v>268.52499999999998</c:v>
                </c:pt>
                <c:pt idx="460">
                  <c:v>263.13499999999999</c:v>
                </c:pt>
                <c:pt idx="461">
                  <c:v>256.70499999999998</c:v>
                </c:pt>
                <c:pt idx="462">
                  <c:v>246.364</c:v>
                </c:pt>
                <c:pt idx="463">
                  <c:v>224.87899999999999</c:v>
                </c:pt>
                <c:pt idx="464">
                  <c:v>227.345</c:v>
                </c:pt>
                <c:pt idx="465">
                  <c:v>225.20400000000001</c:v>
                </c:pt>
                <c:pt idx="466">
                  <c:v>230.363</c:v>
                </c:pt>
                <c:pt idx="467">
                  <c:v>245.149</c:v>
                </c:pt>
                <c:pt idx="468">
                  <c:v>242.386</c:v>
                </c:pt>
                <c:pt idx="469">
                  <c:v>247.82</c:v>
                </c:pt>
                <c:pt idx="470">
                  <c:v>245.37700000000001</c:v>
                </c:pt>
                <c:pt idx="471">
                  <c:v>245.12700000000001</c:v>
                </c:pt>
                <c:pt idx="472">
                  <c:v>263.75700000000001</c:v>
                </c:pt>
                <c:pt idx="473">
                  <c:v>266.07499999999999</c:v>
                </c:pt>
                <c:pt idx="474">
                  <c:v>267.75799999999998</c:v>
                </c:pt>
                <c:pt idx="475">
                  <c:v>271.61799999999999</c:v>
                </c:pt>
                <c:pt idx="476">
                  <c:v>274.31700000000001</c:v>
                </c:pt>
                <c:pt idx="477">
                  <c:v>262.85300000000001</c:v>
                </c:pt>
                <c:pt idx="478">
                  <c:v>252.34899999999999</c:v>
                </c:pt>
                <c:pt idx="479">
                  <c:v>262.459</c:v>
                </c:pt>
                <c:pt idx="480">
                  <c:v>245.71700000000001</c:v>
                </c:pt>
                <c:pt idx="481">
                  <c:v>236.083</c:v>
                </c:pt>
                <c:pt idx="482">
                  <c:v>236.87299999999999</c:v>
                </c:pt>
                <c:pt idx="483">
                  <c:v>214.755</c:v>
                </c:pt>
                <c:pt idx="484">
                  <c:v>203.542</c:v>
                </c:pt>
                <c:pt idx="485">
                  <c:v>185.86199999999999</c:v>
                </c:pt>
                <c:pt idx="486">
                  <c:v>175.38399999999999</c:v>
                </c:pt>
                <c:pt idx="487">
                  <c:v>167.81100000000001</c:v>
                </c:pt>
                <c:pt idx="488">
                  <c:v>169.06</c:v>
                </c:pt>
                <c:pt idx="489">
                  <c:v>168.60499999999999</c:v>
                </c:pt>
                <c:pt idx="490">
                  <c:v>171.10599999999999</c:v>
                </c:pt>
                <c:pt idx="491">
                  <c:v>171.77500000000001</c:v>
                </c:pt>
                <c:pt idx="492">
                  <c:v>170.482</c:v>
                </c:pt>
                <c:pt idx="493">
                  <c:v>172.548</c:v>
                </c:pt>
                <c:pt idx="494">
                  <c:v>164.036</c:v>
                </c:pt>
                <c:pt idx="495">
                  <c:v>163.00299999999999</c:v>
                </c:pt>
                <c:pt idx="496">
                  <c:v>161.98099999999999</c:v>
                </c:pt>
                <c:pt idx="497">
                  <c:v>162.102</c:v>
                </c:pt>
                <c:pt idx="498">
                  <c:v>162.423</c:v>
                </c:pt>
                <c:pt idx="499">
                  <c:v>156.41399999999999</c:v>
                </c:pt>
                <c:pt idx="500">
                  <c:v>148.38999999999999</c:v>
                </c:pt>
                <c:pt idx="501">
                  <c:v>145.29</c:v>
                </c:pt>
                <c:pt idx="502">
                  <c:v>132.452</c:v>
                </c:pt>
                <c:pt idx="503">
                  <c:v>139.51499999999999</c:v>
                </c:pt>
                <c:pt idx="504">
                  <c:v>144.74600000000001</c:v>
                </c:pt>
                <c:pt idx="505">
                  <c:v>145.523</c:v>
                </c:pt>
                <c:pt idx="506">
                  <c:v>146.15199999999999</c:v>
                </c:pt>
                <c:pt idx="507">
                  <c:v>146.608</c:v>
                </c:pt>
                <c:pt idx="508">
                  <c:v>154.642</c:v>
                </c:pt>
                <c:pt idx="509">
                  <c:v>144.08699999999999</c:v>
                </c:pt>
                <c:pt idx="510">
                  <c:v>159.79499999999999</c:v>
                </c:pt>
                <c:pt idx="511">
                  <c:v>151.44</c:v>
                </c:pt>
                <c:pt idx="512">
                  <c:v>140.31899999999999</c:v>
                </c:pt>
                <c:pt idx="513">
                  <c:v>141.17400000000001</c:v>
                </c:pt>
                <c:pt idx="514">
                  <c:v>135.97499999999999</c:v>
                </c:pt>
                <c:pt idx="515">
                  <c:v>141.39699999999999</c:v>
                </c:pt>
                <c:pt idx="516">
                  <c:v>138.36500000000001</c:v>
                </c:pt>
                <c:pt idx="517">
                  <c:v>145.16</c:v>
                </c:pt>
                <c:pt idx="518">
                  <c:v>145.16</c:v>
                </c:pt>
                <c:pt idx="519">
                  <c:v>145.16</c:v>
                </c:pt>
                <c:pt idx="520">
                  <c:v>137.03700000000001</c:v>
                </c:pt>
                <c:pt idx="521">
                  <c:v>132.27500000000001</c:v>
                </c:pt>
                <c:pt idx="522">
                  <c:v>137.71299999999999</c:v>
                </c:pt>
                <c:pt idx="523">
                  <c:v>137.71299999999999</c:v>
                </c:pt>
                <c:pt idx="524">
                  <c:v>137.244</c:v>
                </c:pt>
                <c:pt idx="525">
                  <c:v>138.65</c:v>
                </c:pt>
                <c:pt idx="526">
                  <c:v>138.71899999999999</c:v>
                </c:pt>
                <c:pt idx="527">
                  <c:v>143.08500000000001</c:v>
                </c:pt>
                <c:pt idx="528">
                  <c:v>134.30799999999999</c:v>
                </c:pt>
                <c:pt idx="529">
                  <c:v>139.51400000000001</c:v>
                </c:pt>
                <c:pt idx="530">
                  <c:v>144.833</c:v>
                </c:pt>
                <c:pt idx="531">
                  <c:v>140.16</c:v>
                </c:pt>
                <c:pt idx="532">
                  <c:v>127.758</c:v>
                </c:pt>
                <c:pt idx="533">
                  <c:v>137.328</c:v>
                </c:pt>
                <c:pt idx="534">
                  <c:v>141.36799999999999</c:v>
                </c:pt>
                <c:pt idx="535">
                  <c:v>140.321</c:v>
                </c:pt>
                <c:pt idx="536">
                  <c:v>140.90299999999999</c:v>
                </c:pt>
                <c:pt idx="537">
                  <c:v>142.119</c:v>
                </c:pt>
                <c:pt idx="538">
                  <c:v>146.18100000000001</c:v>
                </c:pt>
                <c:pt idx="539">
                  <c:v>149.66800000000001</c:v>
                </c:pt>
                <c:pt idx="540">
                  <c:v>147.53200000000001</c:v>
                </c:pt>
                <c:pt idx="541">
                  <c:v>133.90199999999999</c:v>
                </c:pt>
                <c:pt idx="542">
                  <c:v>134.87200000000001</c:v>
                </c:pt>
                <c:pt idx="543">
                  <c:v>132.922</c:v>
                </c:pt>
                <c:pt idx="544">
                  <c:v>125.46899999999999</c:v>
                </c:pt>
                <c:pt idx="545">
                  <c:v>118.133</c:v>
                </c:pt>
                <c:pt idx="546">
                  <c:v>119.20699999999999</c:v>
                </c:pt>
                <c:pt idx="547">
                  <c:v>115.10299999999999</c:v>
                </c:pt>
                <c:pt idx="548">
                  <c:v>116.705</c:v>
                </c:pt>
                <c:pt idx="549">
                  <c:v>115.658</c:v>
                </c:pt>
                <c:pt idx="550">
                  <c:v>115.759</c:v>
                </c:pt>
                <c:pt idx="551">
                  <c:v>119.33199999999999</c:v>
                </c:pt>
                <c:pt idx="552">
                  <c:v>117.301</c:v>
                </c:pt>
                <c:pt idx="553">
                  <c:v>122.282</c:v>
                </c:pt>
                <c:pt idx="554">
                  <c:v>132.96</c:v>
                </c:pt>
                <c:pt idx="555">
                  <c:v>139.297</c:v>
                </c:pt>
                <c:pt idx="556">
                  <c:v>145.02500000000001</c:v>
                </c:pt>
                <c:pt idx="557">
                  <c:v>134.482</c:v>
                </c:pt>
                <c:pt idx="558">
                  <c:v>127.386</c:v>
                </c:pt>
                <c:pt idx="559">
                  <c:v>132.982</c:v>
                </c:pt>
                <c:pt idx="560">
                  <c:v>134.834</c:v>
                </c:pt>
                <c:pt idx="561">
                  <c:v>127.81</c:v>
                </c:pt>
                <c:pt idx="562">
                  <c:v>128.792</c:v>
                </c:pt>
                <c:pt idx="563">
                  <c:v>138.92599999999999</c:v>
                </c:pt>
                <c:pt idx="564">
                  <c:v>126.735</c:v>
                </c:pt>
                <c:pt idx="565">
                  <c:v>114.627</c:v>
                </c:pt>
                <c:pt idx="566">
                  <c:v>116.22499999999999</c:v>
                </c:pt>
                <c:pt idx="567">
                  <c:v>114.768</c:v>
                </c:pt>
                <c:pt idx="568">
                  <c:v>110.358</c:v>
                </c:pt>
                <c:pt idx="569">
                  <c:v>136.999</c:v>
                </c:pt>
                <c:pt idx="570">
                  <c:v>116.221</c:v>
                </c:pt>
                <c:pt idx="571">
                  <c:v>117.53700000000001</c:v>
                </c:pt>
                <c:pt idx="572">
                  <c:v>116.51</c:v>
                </c:pt>
                <c:pt idx="573">
                  <c:v>124.70399999999999</c:v>
                </c:pt>
                <c:pt idx="574">
                  <c:v>119.206</c:v>
                </c:pt>
                <c:pt idx="575">
                  <c:v>112.697</c:v>
                </c:pt>
                <c:pt idx="576">
                  <c:v>122.935</c:v>
                </c:pt>
                <c:pt idx="577">
                  <c:v>128.80199999999999</c:v>
                </c:pt>
                <c:pt idx="578">
                  <c:v>127.845</c:v>
                </c:pt>
                <c:pt idx="579">
                  <c:v>120.279</c:v>
                </c:pt>
                <c:pt idx="580">
                  <c:v>126.91</c:v>
                </c:pt>
                <c:pt idx="581">
                  <c:v>128.80699999999999</c:v>
                </c:pt>
                <c:pt idx="582">
                  <c:v>128.21</c:v>
                </c:pt>
                <c:pt idx="583">
                  <c:v>133.22999999999999</c:v>
                </c:pt>
                <c:pt idx="584">
                  <c:v>127.89400000000001</c:v>
                </c:pt>
                <c:pt idx="585">
                  <c:v>141.55199999999999</c:v>
                </c:pt>
                <c:pt idx="586">
                  <c:v>127.47499999999999</c:v>
                </c:pt>
                <c:pt idx="587">
                  <c:v>125.733</c:v>
                </c:pt>
                <c:pt idx="588">
                  <c:v>125.733</c:v>
                </c:pt>
                <c:pt idx="589">
                  <c:v>125.733</c:v>
                </c:pt>
                <c:pt idx="590">
                  <c:v>126.601</c:v>
                </c:pt>
                <c:pt idx="591">
                  <c:v>125.254</c:v>
                </c:pt>
                <c:pt idx="592">
                  <c:v>125.78100000000001</c:v>
                </c:pt>
                <c:pt idx="593">
                  <c:v>124.497</c:v>
                </c:pt>
                <c:pt idx="594">
                  <c:v>127.877</c:v>
                </c:pt>
                <c:pt idx="595">
                  <c:v>127.89400000000001</c:v>
                </c:pt>
                <c:pt idx="596">
                  <c:v>127.114</c:v>
                </c:pt>
                <c:pt idx="597">
                  <c:v>116.69799999999999</c:v>
                </c:pt>
                <c:pt idx="598">
                  <c:v>105.111</c:v>
                </c:pt>
                <c:pt idx="599">
                  <c:v>109.845</c:v>
                </c:pt>
                <c:pt idx="600">
                  <c:v>109.58499999999999</c:v>
                </c:pt>
                <c:pt idx="601">
                  <c:v>117.226</c:v>
                </c:pt>
                <c:pt idx="602">
                  <c:v>106</c:v>
                </c:pt>
                <c:pt idx="603">
                  <c:v>104.658</c:v>
                </c:pt>
                <c:pt idx="604">
                  <c:v>104.88500000000001</c:v>
                </c:pt>
                <c:pt idx="605">
                  <c:v>107.289</c:v>
                </c:pt>
                <c:pt idx="606">
                  <c:v>109.837</c:v>
                </c:pt>
                <c:pt idx="607">
                  <c:v>110.369</c:v>
                </c:pt>
                <c:pt idx="608">
                  <c:v>115.244</c:v>
                </c:pt>
                <c:pt idx="609">
                  <c:v>115.244</c:v>
                </c:pt>
                <c:pt idx="610">
                  <c:v>114.63500000000001</c:v>
                </c:pt>
                <c:pt idx="611">
                  <c:v>113.994</c:v>
                </c:pt>
                <c:pt idx="612">
                  <c:v>109.48099999999999</c:v>
                </c:pt>
                <c:pt idx="613">
                  <c:v>108.283</c:v>
                </c:pt>
                <c:pt idx="614">
                  <c:v>105.95</c:v>
                </c:pt>
                <c:pt idx="615">
                  <c:v>105.41500000000001</c:v>
                </c:pt>
                <c:pt idx="616">
                  <c:v>112.524</c:v>
                </c:pt>
                <c:pt idx="617">
                  <c:v>125.574</c:v>
                </c:pt>
                <c:pt idx="618">
                  <c:v>121.01600000000001</c:v>
                </c:pt>
                <c:pt idx="619">
                  <c:v>123.496</c:v>
                </c:pt>
                <c:pt idx="620">
                  <c:v>128.09200000000001</c:v>
                </c:pt>
                <c:pt idx="621">
                  <c:v>132.93700000000001</c:v>
                </c:pt>
                <c:pt idx="622">
                  <c:v>120.28400000000001</c:v>
                </c:pt>
                <c:pt idx="623">
                  <c:v>121.60299999999999</c:v>
                </c:pt>
              </c:numCache>
            </c:numRef>
          </c:val>
          <c:smooth val="0"/>
          <c:extLst>
            <c:ext xmlns:c16="http://schemas.microsoft.com/office/drawing/2014/chart" uri="{C3380CC4-5D6E-409C-BE32-E72D297353CC}">
              <c16:uniqueId val="{00000004-4EEE-436B-AFC1-C498D6096249}"/>
            </c:ext>
          </c:extLst>
        </c:ser>
        <c:ser>
          <c:idx val="5"/>
          <c:order val="5"/>
          <c:tx>
            <c:strRef>
              <c:f>Sheet1!$G$1</c:f>
              <c:strCache>
                <c:ptCount val="1"/>
                <c:pt idx="0">
                  <c:v>Բելառուս (2023թ.)</c:v>
                </c:pt>
              </c:strCache>
            </c:strRef>
          </c:tx>
          <c:spPr>
            <a:ln w="28575" cap="rnd">
              <a:solidFill>
                <a:schemeClr val="accent3">
                  <a:lumMod val="50000"/>
                </a:schemeClr>
              </a:solidFill>
              <a:round/>
            </a:ln>
            <a:effectLst/>
          </c:spPr>
          <c:marker>
            <c:symbol val="none"/>
          </c:marker>
          <c:cat>
            <c:numRef>
              <c:f>Sheet1!$A$2:$A$625</c:f>
              <c:numCache>
                <c:formatCode>m\/d\/yyyy</c:formatCode>
                <c:ptCount val="624"/>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numCache>
            </c:numRef>
          </c:cat>
          <c:val>
            <c:numRef>
              <c:f>Sheet1!$G$2:$G$625</c:f>
              <c:numCache>
                <c:formatCode>0</c:formatCode>
                <c:ptCount val="624"/>
                <c:pt idx="0">
                  <c:v>368.56099999999998</c:v>
                </c:pt>
                <c:pt idx="1">
                  <c:v>373.76499999999999</c:v>
                </c:pt>
                <c:pt idx="2">
                  <c:v>384.55</c:v>
                </c:pt>
                <c:pt idx="3">
                  <c:v>370.13600000000002</c:v>
                </c:pt>
                <c:pt idx="4">
                  <c:v>351.28399999999999</c:v>
                </c:pt>
                <c:pt idx="5">
                  <c:v>356.76</c:v>
                </c:pt>
                <c:pt idx="6">
                  <c:v>364.48899999999998</c:v>
                </c:pt>
                <c:pt idx="7">
                  <c:v>367.16800000000001</c:v>
                </c:pt>
                <c:pt idx="8">
                  <c:v>369.05200000000002</c:v>
                </c:pt>
                <c:pt idx="9">
                  <c:v>372.74400000000003</c:v>
                </c:pt>
                <c:pt idx="10">
                  <c:v>363.11</c:v>
                </c:pt>
                <c:pt idx="11">
                  <c:v>339.46199999999999</c:v>
                </c:pt>
                <c:pt idx="12">
                  <c:v>328.649</c:v>
                </c:pt>
                <c:pt idx="13">
                  <c:v>292.00599999999997</c:v>
                </c:pt>
                <c:pt idx="14">
                  <c:v>291.089</c:v>
                </c:pt>
                <c:pt idx="15">
                  <c:v>295.50900000000001</c:v>
                </c:pt>
                <c:pt idx="16">
                  <c:v>298.97199999999998</c:v>
                </c:pt>
                <c:pt idx="17">
                  <c:v>297.21100000000001</c:v>
                </c:pt>
                <c:pt idx="18">
                  <c:v>307.21699999999998</c:v>
                </c:pt>
                <c:pt idx="19">
                  <c:v>316.46199999999999</c:v>
                </c:pt>
                <c:pt idx="20">
                  <c:v>330.53899999999999</c:v>
                </c:pt>
                <c:pt idx="21">
                  <c:v>335.97300000000001</c:v>
                </c:pt>
                <c:pt idx="22">
                  <c:v>334.404</c:v>
                </c:pt>
                <c:pt idx="23">
                  <c:v>326.21899999999999</c:v>
                </c:pt>
                <c:pt idx="24">
                  <c:v>331.33199999999999</c:v>
                </c:pt>
                <c:pt idx="25">
                  <c:v>336.41399999999999</c:v>
                </c:pt>
                <c:pt idx="26">
                  <c:v>343.51400000000001</c:v>
                </c:pt>
                <c:pt idx="27">
                  <c:v>355.596</c:v>
                </c:pt>
                <c:pt idx="28">
                  <c:v>359.33199999999999</c:v>
                </c:pt>
                <c:pt idx="29">
                  <c:v>359.35300000000001</c:v>
                </c:pt>
                <c:pt idx="30">
                  <c:v>351.113</c:v>
                </c:pt>
                <c:pt idx="31">
                  <c:v>317.90600000000001</c:v>
                </c:pt>
                <c:pt idx="32">
                  <c:v>325.93700000000001</c:v>
                </c:pt>
                <c:pt idx="33">
                  <c:v>326.786</c:v>
                </c:pt>
                <c:pt idx="34">
                  <c:v>323.53300000000002</c:v>
                </c:pt>
                <c:pt idx="35">
                  <c:v>333.93099999999998</c:v>
                </c:pt>
                <c:pt idx="36">
                  <c:v>332.23399999999998</c:v>
                </c:pt>
                <c:pt idx="37">
                  <c:v>332.80799999999999</c:v>
                </c:pt>
                <c:pt idx="38">
                  <c:v>331.40100000000001</c:v>
                </c:pt>
                <c:pt idx="39">
                  <c:v>319.76499999999999</c:v>
                </c:pt>
                <c:pt idx="40">
                  <c:v>320.71899999999999</c:v>
                </c:pt>
                <c:pt idx="41">
                  <c:v>315.505</c:v>
                </c:pt>
                <c:pt idx="42">
                  <c:v>307.57900000000001</c:v>
                </c:pt>
                <c:pt idx="43">
                  <c:v>305.92200000000003</c:v>
                </c:pt>
                <c:pt idx="44">
                  <c:v>312.69799999999998</c:v>
                </c:pt>
                <c:pt idx="45">
                  <c:v>312.28199999999998</c:v>
                </c:pt>
                <c:pt idx="46">
                  <c:v>313.87</c:v>
                </c:pt>
                <c:pt idx="47">
                  <c:v>319.59500000000003</c:v>
                </c:pt>
                <c:pt idx="48">
                  <c:v>325.15300000000002</c:v>
                </c:pt>
                <c:pt idx="49">
                  <c:v>319.96100000000001</c:v>
                </c:pt>
                <c:pt idx="50">
                  <c:v>315.95299999999997</c:v>
                </c:pt>
                <c:pt idx="51">
                  <c:v>307.97899999999998</c:v>
                </c:pt>
                <c:pt idx="52">
                  <c:v>302.91000000000003</c:v>
                </c:pt>
                <c:pt idx="53">
                  <c:v>306.97899999999998</c:v>
                </c:pt>
                <c:pt idx="54">
                  <c:v>300.88799999999998</c:v>
                </c:pt>
                <c:pt idx="55">
                  <c:v>297.43700000000001</c:v>
                </c:pt>
                <c:pt idx="56">
                  <c:v>302.49799999999999</c:v>
                </c:pt>
                <c:pt idx="57">
                  <c:v>294.66899999999998</c:v>
                </c:pt>
                <c:pt idx="58">
                  <c:v>307.35899999999998</c:v>
                </c:pt>
                <c:pt idx="59">
                  <c:v>320.58999999999997</c:v>
                </c:pt>
                <c:pt idx="60">
                  <c:v>316.18400000000003</c:v>
                </c:pt>
                <c:pt idx="61">
                  <c:v>323.37200000000001</c:v>
                </c:pt>
                <c:pt idx="62">
                  <c:v>318.38600000000002</c:v>
                </c:pt>
                <c:pt idx="63">
                  <c:v>312.07299999999998</c:v>
                </c:pt>
                <c:pt idx="64">
                  <c:v>299.983</c:v>
                </c:pt>
                <c:pt idx="65">
                  <c:v>295.52100000000002</c:v>
                </c:pt>
                <c:pt idx="66">
                  <c:v>289.91500000000002</c:v>
                </c:pt>
                <c:pt idx="67">
                  <c:v>286.04399999999998</c:v>
                </c:pt>
                <c:pt idx="68">
                  <c:v>285.827</c:v>
                </c:pt>
                <c:pt idx="69">
                  <c:v>281.904</c:v>
                </c:pt>
                <c:pt idx="70">
                  <c:v>283.33499999999998</c:v>
                </c:pt>
                <c:pt idx="71">
                  <c:v>288.13299999999998</c:v>
                </c:pt>
                <c:pt idx="72">
                  <c:v>285.47699999999998</c:v>
                </c:pt>
                <c:pt idx="73">
                  <c:v>280.59899999999999</c:v>
                </c:pt>
                <c:pt idx="74">
                  <c:v>281.75400000000002</c:v>
                </c:pt>
                <c:pt idx="75">
                  <c:v>278.22300000000001</c:v>
                </c:pt>
                <c:pt idx="76">
                  <c:v>289.16899999999998</c:v>
                </c:pt>
                <c:pt idx="77">
                  <c:v>294.70400000000001</c:v>
                </c:pt>
                <c:pt idx="78">
                  <c:v>294.80500000000001</c:v>
                </c:pt>
                <c:pt idx="79">
                  <c:v>291.79300000000001</c:v>
                </c:pt>
                <c:pt idx="80">
                  <c:v>295.31599999999997</c:v>
                </c:pt>
                <c:pt idx="81">
                  <c:v>306.21800000000002</c:v>
                </c:pt>
                <c:pt idx="82">
                  <c:v>312.38200000000001</c:v>
                </c:pt>
                <c:pt idx="83">
                  <c:v>326.34899999999999</c:v>
                </c:pt>
                <c:pt idx="84">
                  <c:v>322.416</c:v>
                </c:pt>
                <c:pt idx="85">
                  <c:v>314.94200000000001</c:v>
                </c:pt>
                <c:pt idx="86">
                  <c:v>310.51400000000001</c:v>
                </c:pt>
                <c:pt idx="87">
                  <c:v>303.12200000000001</c:v>
                </c:pt>
                <c:pt idx="88">
                  <c:v>305.09399999999999</c:v>
                </c:pt>
                <c:pt idx="89">
                  <c:v>310.18200000000002</c:v>
                </c:pt>
                <c:pt idx="90">
                  <c:v>313.524</c:v>
                </c:pt>
                <c:pt idx="91">
                  <c:v>313.55</c:v>
                </c:pt>
                <c:pt idx="92">
                  <c:v>318.30099999999999</c:v>
                </c:pt>
                <c:pt idx="93">
                  <c:v>315.78199999999998</c:v>
                </c:pt>
                <c:pt idx="94">
                  <c:v>329.35399999999998</c:v>
                </c:pt>
                <c:pt idx="95">
                  <c:v>330.28699999999998</c:v>
                </c:pt>
                <c:pt idx="96">
                  <c:v>333.32499999999999</c:v>
                </c:pt>
                <c:pt idx="97">
                  <c:v>323.77499999999998</c:v>
                </c:pt>
                <c:pt idx="98">
                  <c:v>324.79700000000003</c:v>
                </c:pt>
                <c:pt idx="99">
                  <c:v>315.80900000000003</c:v>
                </c:pt>
                <c:pt idx="100">
                  <c:v>308.55799999999999</c:v>
                </c:pt>
                <c:pt idx="101">
                  <c:v>311.77999999999997</c:v>
                </c:pt>
                <c:pt idx="102">
                  <c:v>319.65800000000002</c:v>
                </c:pt>
                <c:pt idx="103">
                  <c:v>323.70400000000001</c:v>
                </c:pt>
                <c:pt idx="104">
                  <c:v>322.06700000000001</c:v>
                </c:pt>
                <c:pt idx="105">
                  <c:v>325.99</c:v>
                </c:pt>
                <c:pt idx="106">
                  <c:v>331.27300000000002</c:v>
                </c:pt>
                <c:pt idx="107">
                  <c:v>332.173</c:v>
                </c:pt>
                <c:pt idx="108">
                  <c:v>354.392</c:v>
                </c:pt>
                <c:pt idx="109">
                  <c:v>368.447</c:v>
                </c:pt>
                <c:pt idx="110">
                  <c:v>363.42</c:v>
                </c:pt>
                <c:pt idx="111">
                  <c:v>353.88900000000001</c:v>
                </c:pt>
                <c:pt idx="112">
                  <c:v>345.42599999999999</c:v>
                </c:pt>
                <c:pt idx="113">
                  <c:v>340.69799999999998</c:v>
                </c:pt>
                <c:pt idx="114">
                  <c:v>333.22300000000001</c:v>
                </c:pt>
                <c:pt idx="115">
                  <c:v>335.904</c:v>
                </c:pt>
                <c:pt idx="116">
                  <c:v>341.69099999999997</c:v>
                </c:pt>
                <c:pt idx="117">
                  <c:v>360.08499999999998</c:v>
                </c:pt>
                <c:pt idx="118">
                  <c:v>357.42200000000003</c:v>
                </c:pt>
                <c:pt idx="119">
                  <c:v>347.21499999999997</c:v>
                </c:pt>
                <c:pt idx="120">
                  <c:v>338.91</c:v>
                </c:pt>
                <c:pt idx="121">
                  <c:v>338.67200000000003</c:v>
                </c:pt>
                <c:pt idx="122">
                  <c:v>312.72199999999998</c:v>
                </c:pt>
                <c:pt idx="123">
                  <c:v>303.94</c:v>
                </c:pt>
                <c:pt idx="124">
                  <c:v>303.73200000000003</c:v>
                </c:pt>
                <c:pt idx="125">
                  <c:v>307.91399999999999</c:v>
                </c:pt>
                <c:pt idx="126">
                  <c:v>301.37299999999999</c:v>
                </c:pt>
                <c:pt idx="127">
                  <c:v>291.43299999999999</c:v>
                </c:pt>
                <c:pt idx="128">
                  <c:v>278.84199999999998</c:v>
                </c:pt>
                <c:pt idx="129">
                  <c:v>257.62200000000001</c:v>
                </c:pt>
                <c:pt idx="130">
                  <c:v>271.60700000000003</c:v>
                </c:pt>
                <c:pt idx="131">
                  <c:v>286.10399999999998</c:v>
                </c:pt>
                <c:pt idx="132">
                  <c:v>286.09300000000002</c:v>
                </c:pt>
                <c:pt idx="133">
                  <c:v>285.35399999999998</c:v>
                </c:pt>
                <c:pt idx="134">
                  <c:v>301.637</c:v>
                </c:pt>
                <c:pt idx="135">
                  <c:v>311.81299999999999</c:v>
                </c:pt>
                <c:pt idx="136">
                  <c:v>324.39100000000002</c:v>
                </c:pt>
                <c:pt idx="137">
                  <c:v>311.322</c:v>
                </c:pt>
                <c:pt idx="138">
                  <c:v>308.76400000000001</c:v>
                </c:pt>
                <c:pt idx="139">
                  <c:v>297.46499999999997</c:v>
                </c:pt>
                <c:pt idx="140">
                  <c:v>294.49299999999999</c:v>
                </c:pt>
                <c:pt idx="141">
                  <c:v>297.57100000000003</c:v>
                </c:pt>
                <c:pt idx="142">
                  <c:v>300.73099999999999</c:v>
                </c:pt>
                <c:pt idx="143">
                  <c:v>292.60899999999998</c:v>
                </c:pt>
                <c:pt idx="144">
                  <c:v>290.55799999999999</c:v>
                </c:pt>
                <c:pt idx="145">
                  <c:v>286.51499999999999</c:v>
                </c:pt>
                <c:pt idx="146">
                  <c:v>288.51900000000001</c:v>
                </c:pt>
                <c:pt idx="147">
                  <c:v>288.46100000000001</c:v>
                </c:pt>
                <c:pt idx="148">
                  <c:v>289.37299999999999</c:v>
                </c:pt>
                <c:pt idx="149">
                  <c:v>289.03899999999999</c:v>
                </c:pt>
                <c:pt idx="150">
                  <c:v>300.82299999999998</c:v>
                </c:pt>
                <c:pt idx="151">
                  <c:v>300.68799999999999</c:v>
                </c:pt>
                <c:pt idx="152">
                  <c:v>315.39</c:v>
                </c:pt>
                <c:pt idx="153">
                  <c:v>321.89100000000002</c:v>
                </c:pt>
                <c:pt idx="154">
                  <c:v>354.23599999999999</c:v>
                </c:pt>
                <c:pt idx="155">
                  <c:v>347.56299999999999</c:v>
                </c:pt>
                <c:pt idx="156">
                  <c:v>347.005</c:v>
                </c:pt>
                <c:pt idx="157">
                  <c:v>340.60700000000003</c:v>
                </c:pt>
                <c:pt idx="158">
                  <c:v>329.12700000000001</c:v>
                </c:pt>
                <c:pt idx="159">
                  <c:v>336.97</c:v>
                </c:pt>
                <c:pt idx="160">
                  <c:v>333.74</c:v>
                </c:pt>
                <c:pt idx="161">
                  <c:v>350.69400000000002</c:v>
                </c:pt>
                <c:pt idx="162">
                  <c:v>365.995</c:v>
                </c:pt>
                <c:pt idx="163">
                  <c:v>363.48</c:v>
                </c:pt>
                <c:pt idx="164">
                  <c:v>358.84899999999999</c:v>
                </c:pt>
                <c:pt idx="165">
                  <c:v>365.56400000000002</c:v>
                </c:pt>
                <c:pt idx="166">
                  <c:v>356.012</c:v>
                </c:pt>
                <c:pt idx="167">
                  <c:v>347.22300000000001</c:v>
                </c:pt>
                <c:pt idx="168">
                  <c:v>359.53300000000002</c:v>
                </c:pt>
                <c:pt idx="169">
                  <c:v>359.83199999999999</c:v>
                </c:pt>
                <c:pt idx="170">
                  <c:v>360.61599999999999</c:v>
                </c:pt>
                <c:pt idx="171">
                  <c:v>353.93799999999999</c:v>
                </c:pt>
                <c:pt idx="172">
                  <c:v>335.45</c:v>
                </c:pt>
                <c:pt idx="173">
                  <c:v>313.84300000000002</c:v>
                </c:pt>
                <c:pt idx="174">
                  <c:v>308.50700000000001</c:v>
                </c:pt>
                <c:pt idx="175">
                  <c:v>318.07299999999998</c:v>
                </c:pt>
                <c:pt idx="176">
                  <c:v>323.11599999999999</c:v>
                </c:pt>
                <c:pt idx="177">
                  <c:v>309.221</c:v>
                </c:pt>
                <c:pt idx="178">
                  <c:v>310.762</c:v>
                </c:pt>
                <c:pt idx="179">
                  <c:v>312.94900000000001</c:v>
                </c:pt>
                <c:pt idx="180">
                  <c:v>305.75099999999998</c:v>
                </c:pt>
                <c:pt idx="181">
                  <c:v>312.09300000000002</c:v>
                </c:pt>
                <c:pt idx="182">
                  <c:v>306.24299999999999</c:v>
                </c:pt>
                <c:pt idx="183">
                  <c:v>303.40899999999999</c:v>
                </c:pt>
                <c:pt idx="184">
                  <c:v>311.33199999999999</c:v>
                </c:pt>
                <c:pt idx="185">
                  <c:v>312.58699999999999</c:v>
                </c:pt>
                <c:pt idx="186">
                  <c:v>310.04599999999999</c:v>
                </c:pt>
                <c:pt idx="187">
                  <c:v>297.43799999999999</c:v>
                </c:pt>
                <c:pt idx="188">
                  <c:v>291.62299999999999</c:v>
                </c:pt>
                <c:pt idx="189">
                  <c:v>287.13099999999997</c:v>
                </c:pt>
                <c:pt idx="190">
                  <c:v>296.73099999999999</c:v>
                </c:pt>
                <c:pt idx="191">
                  <c:v>297.529</c:v>
                </c:pt>
                <c:pt idx="192">
                  <c:v>299.99700000000001</c:v>
                </c:pt>
                <c:pt idx="193">
                  <c:v>301.73200000000003</c:v>
                </c:pt>
                <c:pt idx="194">
                  <c:v>306.70999999999998</c:v>
                </c:pt>
                <c:pt idx="195">
                  <c:v>319.37799999999999</c:v>
                </c:pt>
                <c:pt idx="196">
                  <c:v>327.53899999999999</c:v>
                </c:pt>
                <c:pt idx="197">
                  <c:v>335.67</c:v>
                </c:pt>
                <c:pt idx="198">
                  <c:v>325.06</c:v>
                </c:pt>
                <c:pt idx="199">
                  <c:v>317.56</c:v>
                </c:pt>
                <c:pt idx="200">
                  <c:v>325.98099999999999</c:v>
                </c:pt>
                <c:pt idx="201">
                  <c:v>321.83800000000002</c:v>
                </c:pt>
                <c:pt idx="202">
                  <c:v>307.08</c:v>
                </c:pt>
                <c:pt idx="203">
                  <c:v>295.99</c:v>
                </c:pt>
                <c:pt idx="204">
                  <c:v>295.47399999999999</c:v>
                </c:pt>
                <c:pt idx="205">
                  <c:v>286.69600000000003</c:v>
                </c:pt>
                <c:pt idx="206">
                  <c:v>288.839</c:v>
                </c:pt>
                <c:pt idx="207">
                  <c:v>288.05500000000001</c:v>
                </c:pt>
                <c:pt idx="208">
                  <c:v>283.59899999999999</c:v>
                </c:pt>
                <c:pt idx="209">
                  <c:v>282.29300000000001</c:v>
                </c:pt>
                <c:pt idx="210">
                  <c:v>284.86</c:v>
                </c:pt>
                <c:pt idx="211">
                  <c:v>284.64299999999997</c:v>
                </c:pt>
                <c:pt idx="212">
                  <c:v>281.90300000000002</c:v>
                </c:pt>
                <c:pt idx="213">
                  <c:v>276.76499999999999</c:v>
                </c:pt>
                <c:pt idx="214">
                  <c:v>275.50900000000001</c:v>
                </c:pt>
                <c:pt idx="215">
                  <c:v>275.22000000000003</c:v>
                </c:pt>
                <c:pt idx="216">
                  <c:v>277.00799999999998</c:v>
                </c:pt>
                <c:pt idx="217">
                  <c:v>286.161</c:v>
                </c:pt>
                <c:pt idx="218">
                  <c:v>274.351</c:v>
                </c:pt>
                <c:pt idx="219">
                  <c:v>267.52</c:v>
                </c:pt>
                <c:pt idx="220">
                  <c:v>263.06099999999998</c:v>
                </c:pt>
                <c:pt idx="221">
                  <c:v>264.89299999999997</c:v>
                </c:pt>
                <c:pt idx="222">
                  <c:v>260.03899999999999</c:v>
                </c:pt>
                <c:pt idx="223">
                  <c:v>271.69799999999998</c:v>
                </c:pt>
                <c:pt idx="224">
                  <c:v>274.49400000000003</c:v>
                </c:pt>
                <c:pt idx="225">
                  <c:v>289.19499999999999</c:v>
                </c:pt>
                <c:pt idx="226">
                  <c:v>298.18400000000003</c:v>
                </c:pt>
                <c:pt idx="227">
                  <c:v>297.24700000000001</c:v>
                </c:pt>
                <c:pt idx="228">
                  <c:v>294.46899999999999</c:v>
                </c:pt>
                <c:pt idx="229">
                  <c:v>297.53699999999998</c:v>
                </c:pt>
                <c:pt idx="230">
                  <c:v>301.43900000000002</c:v>
                </c:pt>
                <c:pt idx="231">
                  <c:v>302.452</c:v>
                </c:pt>
                <c:pt idx="232">
                  <c:v>297.33800000000002</c:v>
                </c:pt>
                <c:pt idx="233">
                  <c:v>293.714</c:v>
                </c:pt>
                <c:pt idx="234">
                  <c:v>294.80700000000002</c:v>
                </c:pt>
                <c:pt idx="235">
                  <c:v>294.7</c:v>
                </c:pt>
                <c:pt idx="236">
                  <c:v>293.97500000000002</c:v>
                </c:pt>
                <c:pt idx="237">
                  <c:v>293.54500000000002</c:v>
                </c:pt>
                <c:pt idx="238">
                  <c:v>294.971</c:v>
                </c:pt>
                <c:pt idx="239">
                  <c:v>302.49900000000002</c:v>
                </c:pt>
                <c:pt idx="240">
                  <c:v>314.90800000000002</c:v>
                </c:pt>
                <c:pt idx="241">
                  <c:v>309.39999999999998</c:v>
                </c:pt>
                <c:pt idx="242">
                  <c:v>312.63200000000001</c:v>
                </c:pt>
                <c:pt idx="243">
                  <c:v>312.61500000000001</c:v>
                </c:pt>
                <c:pt idx="244">
                  <c:v>309.69400000000002</c:v>
                </c:pt>
                <c:pt idx="245">
                  <c:v>303.64499999999998</c:v>
                </c:pt>
                <c:pt idx="246">
                  <c:v>306.517</c:v>
                </c:pt>
                <c:pt idx="247">
                  <c:v>283.86</c:v>
                </c:pt>
                <c:pt idx="248">
                  <c:v>288.46899999999999</c:v>
                </c:pt>
                <c:pt idx="249">
                  <c:v>285.64600000000002</c:v>
                </c:pt>
                <c:pt idx="250">
                  <c:v>292.31200000000001</c:v>
                </c:pt>
                <c:pt idx="251">
                  <c:v>283.66500000000002</c:v>
                </c:pt>
                <c:pt idx="252">
                  <c:v>284.798</c:v>
                </c:pt>
                <c:pt idx="253">
                  <c:v>279.10500000000002</c:v>
                </c:pt>
                <c:pt idx="254">
                  <c:v>280.93900000000002</c:v>
                </c:pt>
                <c:pt idx="255">
                  <c:v>281.10000000000002</c:v>
                </c:pt>
                <c:pt idx="256">
                  <c:v>281.10000000000002</c:v>
                </c:pt>
                <c:pt idx="257">
                  <c:v>281.10000000000002</c:v>
                </c:pt>
                <c:pt idx="258">
                  <c:v>279.69499999999999</c:v>
                </c:pt>
                <c:pt idx="259">
                  <c:v>280.41300000000001</c:v>
                </c:pt>
                <c:pt idx="260">
                  <c:v>279.47399999999999</c:v>
                </c:pt>
                <c:pt idx="261">
                  <c:v>279.47399999999999</c:v>
                </c:pt>
                <c:pt idx="262">
                  <c:v>280.42599999999999</c:v>
                </c:pt>
                <c:pt idx="263">
                  <c:v>284.90899999999999</c:v>
                </c:pt>
                <c:pt idx="264">
                  <c:v>279.5</c:v>
                </c:pt>
                <c:pt idx="265">
                  <c:v>277.84699999999998</c:v>
                </c:pt>
                <c:pt idx="266">
                  <c:v>268.45999999999998</c:v>
                </c:pt>
                <c:pt idx="267">
                  <c:v>267.63200000000001</c:v>
                </c:pt>
                <c:pt idx="268">
                  <c:v>253.399</c:v>
                </c:pt>
                <c:pt idx="269">
                  <c:v>243.26</c:v>
                </c:pt>
                <c:pt idx="270">
                  <c:v>235.291</c:v>
                </c:pt>
                <c:pt idx="271">
                  <c:v>236.50399999999999</c:v>
                </c:pt>
                <c:pt idx="272">
                  <c:v>232.73099999999999</c:v>
                </c:pt>
                <c:pt idx="273">
                  <c:v>232.51599999999999</c:v>
                </c:pt>
                <c:pt idx="274">
                  <c:v>233.02</c:v>
                </c:pt>
                <c:pt idx="275">
                  <c:v>235.75</c:v>
                </c:pt>
                <c:pt idx="276">
                  <c:v>236.173</c:v>
                </c:pt>
                <c:pt idx="277">
                  <c:v>249.43799999999999</c:v>
                </c:pt>
                <c:pt idx="278">
                  <c:v>254.74799999999999</c:v>
                </c:pt>
                <c:pt idx="279">
                  <c:v>267.65699999999998</c:v>
                </c:pt>
                <c:pt idx="280">
                  <c:v>259.28699999999998</c:v>
                </c:pt>
                <c:pt idx="281">
                  <c:v>264.20800000000003</c:v>
                </c:pt>
                <c:pt idx="282">
                  <c:v>265.02999999999997</c:v>
                </c:pt>
                <c:pt idx="283">
                  <c:v>272.654</c:v>
                </c:pt>
                <c:pt idx="284">
                  <c:v>276.18200000000002</c:v>
                </c:pt>
                <c:pt idx="285">
                  <c:v>267.584</c:v>
                </c:pt>
                <c:pt idx="286">
                  <c:v>263.69200000000001</c:v>
                </c:pt>
                <c:pt idx="287">
                  <c:v>260.755</c:v>
                </c:pt>
                <c:pt idx="288">
                  <c:v>264.97199999999998</c:v>
                </c:pt>
                <c:pt idx="289">
                  <c:v>266.00799999999998</c:v>
                </c:pt>
                <c:pt idx="290">
                  <c:v>260.95800000000003</c:v>
                </c:pt>
                <c:pt idx="291">
                  <c:v>259.59899999999999</c:v>
                </c:pt>
                <c:pt idx="292">
                  <c:v>260.214</c:v>
                </c:pt>
                <c:pt idx="293">
                  <c:v>250.79400000000001</c:v>
                </c:pt>
                <c:pt idx="294">
                  <c:v>247.27699999999999</c:v>
                </c:pt>
                <c:pt idx="295">
                  <c:v>248.86500000000001</c:v>
                </c:pt>
                <c:pt idx="296">
                  <c:v>244.31899999999999</c:v>
                </c:pt>
                <c:pt idx="297">
                  <c:v>237.62899999999999</c:v>
                </c:pt>
                <c:pt idx="298">
                  <c:v>234.697</c:v>
                </c:pt>
                <c:pt idx="299">
                  <c:v>248.18899999999999</c:v>
                </c:pt>
                <c:pt idx="300">
                  <c:v>255.77</c:v>
                </c:pt>
                <c:pt idx="301">
                  <c:v>260.32100000000003</c:v>
                </c:pt>
                <c:pt idx="302">
                  <c:v>290.00799999999998</c:v>
                </c:pt>
                <c:pt idx="303">
                  <c:v>331.57600000000002</c:v>
                </c:pt>
                <c:pt idx="304">
                  <c:v>328.18700000000001</c:v>
                </c:pt>
                <c:pt idx="305">
                  <c:v>325.07600000000002</c:v>
                </c:pt>
                <c:pt idx="306">
                  <c:v>327.35599999999999</c:v>
                </c:pt>
                <c:pt idx="307">
                  <c:v>332.59</c:v>
                </c:pt>
                <c:pt idx="308">
                  <c:v>351.661</c:v>
                </c:pt>
                <c:pt idx="309">
                  <c:v>497.15899999999999</c:v>
                </c:pt>
                <c:pt idx="310">
                  <c:v>486.87299999999999</c:v>
                </c:pt>
                <c:pt idx="311">
                  <c:v>514.13</c:v>
                </c:pt>
                <c:pt idx="312">
                  <c:v>606.10500000000002</c:v>
                </c:pt>
                <c:pt idx="313">
                  <c:v>602.74599999999998</c:v>
                </c:pt>
                <c:pt idx="314">
                  <c:v>675.66499999999996</c:v>
                </c:pt>
                <c:pt idx="315">
                  <c:v>659.351</c:v>
                </c:pt>
                <c:pt idx="316">
                  <c:v>740.08299999999997</c:v>
                </c:pt>
                <c:pt idx="317">
                  <c:v>844.38</c:v>
                </c:pt>
                <c:pt idx="318">
                  <c:v>733.71400000000006</c:v>
                </c:pt>
                <c:pt idx="319">
                  <c:v>853.66899999999998</c:v>
                </c:pt>
                <c:pt idx="320">
                  <c:v>832.27800000000002</c:v>
                </c:pt>
                <c:pt idx="321">
                  <c:v>780.3</c:v>
                </c:pt>
                <c:pt idx="322">
                  <c:v>683.96400000000006</c:v>
                </c:pt>
                <c:pt idx="323">
                  <c:v>700.53499999999997</c:v>
                </c:pt>
                <c:pt idx="324">
                  <c:v>702.96500000000003</c:v>
                </c:pt>
                <c:pt idx="325">
                  <c:v>699.81200000000001</c:v>
                </c:pt>
                <c:pt idx="326">
                  <c:v>708.86699999999996</c:v>
                </c:pt>
                <c:pt idx="327">
                  <c:v>681.423</c:v>
                </c:pt>
                <c:pt idx="328">
                  <c:v>633.90200000000004</c:v>
                </c:pt>
                <c:pt idx="329">
                  <c:v>604.24699999999996</c:v>
                </c:pt>
                <c:pt idx="330">
                  <c:v>614.94399999999996</c:v>
                </c:pt>
                <c:pt idx="331">
                  <c:v>646.63400000000001</c:v>
                </c:pt>
                <c:pt idx="332">
                  <c:v>650.31700000000001</c:v>
                </c:pt>
                <c:pt idx="333">
                  <c:v>650.31700000000001</c:v>
                </c:pt>
                <c:pt idx="334">
                  <c:v>650.31700000000001</c:v>
                </c:pt>
                <c:pt idx="335">
                  <c:v>647.15700000000004</c:v>
                </c:pt>
                <c:pt idx="336">
                  <c:v>665.96199999999999</c:v>
                </c:pt>
                <c:pt idx="337">
                  <c:v>679.10500000000002</c:v>
                </c:pt>
                <c:pt idx="338">
                  <c:v>676.76</c:v>
                </c:pt>
                <c:pt idx="339">
                  <c:v>668.71699999999998</c:v>
                </c:pt>
                <c:pt idx="340">
                  <c:v>714.38</c:v>
                </c:pt>
                <c:pt idx="341">
                  <c:v>724.38900000000001</c:v>
                </c:pt>
                <c:pt idx="342">
                  <c:v>706.01099999999997</c:v>
                </c:pt>
                <c:pt idx="343">
                  <c:v>722.81799999999998</c:v>
                </c:pt>
                <c:pt idx="344">
                  <c:v>725.803</c:v>
                </c:pt>
                <c:pt idx="345">
                  <c:v>745.57100000000003</c:v>
                </c:pt>
                <c:pt idx="346">
                  <c:v>734.58299999999997</c:v>
                </c:pt>
                <c:pt idx="347">
                  <c:v>713.697</c:v>
                </c:pt>
                <c:pt idx="348">
                  <c:v>720.572</c:v>
                </c:pt>
                <c:pt idx="349">
                  <c:v>722.221</c:v>
                </c:pt>
                <c:pt idx="350">
                  <c:v>708.13699999999994</c:v>
                </c:pt>
                <c:pt idx="351">
                  <c:v>706.9</c:v>
                </c:pt>
                <c:pt idx="352">
                  <c:v>695.45799999999997</c:v>
                </c:pt>
                <c:pt idx="353">
                  <c:v>695.45799999999997</c:v>
                </c:pt>
                <c:pt idx="354">
                  <c:v>668.07799999999997</c:v>
                </c:pt>
                <c:pt idx="355">
                  <c:v>641.07399999999996</c:v>
                </c:pt>
                <c:pt idx="356">
                  <c:v>629.98199999999997</c:v>
                </c:pt>
                <c:pt idx="357">
                  <c:v>624.88699999999994</c:v>
                </c:pt>
                <c:pt idx="358">
                  <c:v>590.28599999999994</c:v>
                </c:pt>
                <c:pt idx="359">
                  <c:v>563.26800000000003</c:v>
                </c:pt>
                <c:pt idx="360">
                  <c:v>534.63699999999994</c:v>
                </c:pt>
                <c:pt idx="361">
                  <c:v>512.13900000000001</c:v>
                </c:pt>
                <c:pt idx="362">
                  <c:v>517.29399999999998</c:v>
                </c:pt>
                <c:pt idx="363">
                  <c:v>514.62400000000002</c:v>
                </c:pt>
                <c:pt idx="364">
                  <c:v>514.62400000000002</c:v>
                </c:pt>
                <c:pt idx="365">
                  <c:v>489.14400000000001</c:v>
                </c:pt>
                <c:pt idx="366">
                  <c:v>495.202</c:v>
                </c:pt>
                <c:pt idx="367">
                  <c:v>489.19299999999998</c:v>
                </c:pt>
                <c:pt idx="368">
                  <c:v>498.29399999999998</c:v>
                </c:pt>
                <c:pt idx="369">
                  <c:v>492.714</c:v>
                </c:pt>
                <c:pt idx="370">
                  <c:v>488.03699999999998</c:v>
                </c:pt>
                <c:pt idx="371">
                  <c:v>486.26</c:v>
                </c:pt>
                <c:pt idx="372">
                  <c:v>486.70299999999997</c:v>
                </c:pt>
                <c:pt idx="373">
                  <c:v>478.88299999999998</c:v>
                </c:pt>
                <c:pt idx="374">
                  <c:v>488.92</c:v>
                </c:pt>
                <c:pt idx="375">
                  <c:v>492.678</c:v>
                </c:pt>
                <c:pt idx="376">
                  <c:v>489.87599999999998</c:v>
                </c:pt>
                <c:pt idx="377">
                  <c:v>513.90200000000004</c:v>
                </c:pt>
                <c:pt idx="378">
                  <c:v>517.08900000000006</c:v>
                </c:pt>
                <c:pt idx="379">
                  <c:v>546.89700000000005</c:v>
                </c:pt>
                <c:pt idx="380">
                  <c:v>559.77800000000002</c:v>
                </c:pt>
                <c:pt idx="381">
                  <c:v>555.04</c:v>
                </c:pt>
                <c:pt idx="382">
                  <c:v>546.94500000000005</c:v>
                </c:pt>
                <c:pt idx="383">
                  <c:v>544.851</c:v>
                </c:pt>
                <c:pt idx="384">
                  <c:v>556.88900000000001</c:v>
                </c:pt>
                <c:pt idx="385">
                  <c:v>568.697</c:v>
                </c:pt>
                <c:pt idx="386">
                  <c:v>587.92899999999997</c:v>
                </c:pt>
                <c:pt idx="387">
                  <c:v>654.51300000000003</c:v>
                </c:pt>
                <c:pt idx="388">
                  <c:v>647.89400000000001</c:v>
                </c:pt>
                <c:pt idx="389">
                  <c:v>647.85199999999998</c:v>
                </c:pt>
                <c:pt idx="390">
                  <c:v>648.12</c:v>
                </c:pt>
                <c:pt idx="391">
                  <c:v>636.09500000000003</c:v>
                </c:pt>
                <c:pt idx="392">
                  <c:v>621.38800000000003</c:v>
                </c:pt>
                <c:pt idx="393">
                  <c:v>614.42600000000004</c:v>
                </c:pt>
                <c:pt idx="394">
                  <c:v>609.85299999999995</c:v>
                </c:pt>
                <c:pt idx="395">
                  <c:v>611.72799999999995</c:v>
                </c:pt>
                <c:pt idx="396">
                  <c:v>609.15099999999995</c:v>
                </c:pt>
                <c:pt idx="397">
                  <c:v>627.23099999999999</c:v>
                </c:pt>
                <c:pt idx="398">
                  <c:v>624.83500000000004</c:v>
                </c:pt>
                <c:pt idx="399">
                  <c:v>640.70399999999995</c:v>
                </c:pt>
                <c:pt idx="400">
                  <c:v>669.51300000000003</c:v>
                </c:pt>
                <c:pt idx="401">
                  <c:v>673.59199999999998</c:v>
                </c:pt>
                <c:pt idx="402">
                  <c:v>670.49400000000003</c:v>
                </c:pt>
                <c:pt idx="403">
                  <c:v>662.029</c:v>
                </c:pt>
                <c:pt idx="404">
                  <c:v>657.55600000000004</c:v>
                </c:pt>
                <c:pt idx="405">
                  <c:v>656.62400000000002</c:v>
                </c:pt>
                <c:pt idx="406">
                  <c:v>661.51800000000003</c:v>
                </c:pt>
                <c:pt idx="407">
                  <c:v>651.423</c:v>
                </c:pt>
                <c:pt idx="408">
                  <c:v>657.54499999999996</c:v>
                </c:pt>
                <c:pt idx="409">
                  <c:v>649.09100000000001</c:v>
                </c:pt>
                <c:pt idx="410">
                  <c:v>638.774</c:v>
                </c:pt>
                <c:pt idx="411">
                  <c:v>626.34699999999998</c:v>
                </c:pt>
                <c:pt idx="412">
                  <c:v>624.03499999999997</c:v>
                </c:pt>
                <c:pt idx="413">
                  <c:v>603.13099999999997</c:v>
                </c:pt>
                <c:pt idx="414">
                  <c:v>586.47</c:v>
                </c:pt>
                <c:pt idx="415">
                  <c:v>577.97900000000004</c:v>
                </c:pt>
                <c:pt idx="416">
                  <c:v>565.97799999999995</c:v>
                </c:pt>
                <c:pt idx="417">
                  <c:v>577.60799999999995</c:v>
                </c:pt>
                <c:pt idx="418">
                  <c:v>587.79999999999995</c:v>
                </c:pt>
                <c:pt idx="419">
                  <c:v>595.024</c:v>
                </c:pt>
                <c:pt idx="420">
                  <c:v>650.40800000000002</c:v>
                </c:pt>
                <c:pt idx="421">
                  <c:v>647.88699999999994</c:v>
                </c:pt>
                <c:pt idx="422">
                  <c:v>742.73400000000004</c:v>
                </c:pt>
                <c:pt idx="423">
                  <c:v>854.55399999999997</c:v>
                </c:pt>
                <c:pt idx="424">
                  <c:v>955.05499999999995</c:v>
                </c:pt>
                <c:pt idx="425">
                  <c:v>859.39800000000002</c:v>
                </c:pt>
                <c:pt idx="426">
                  <c:v>826.44500000000005</c:v>
                </c:pt>
                <c:pt idx="427">
                  <c:v>777.59199999999998</c:v>
                </c:pt>
                <c:pt idx="428">
                  <c:v>782.23500000000001</c:v>
                </c:pt>
                <c:pt idx="429">
                  <c:v>801.875</c:v>
                </c:pt>
                <c:pt idx="430">
                  <c:v>807.39700000000005</c:v>
                </c:pt>
                <c:pt idx="431">
                  <c:v>782.58799999999997</c:v>
                </c:pt>
                <c:pt idx="432">
                  <c:v>718.63499999999999</c:v>
                </c:pt>
                <c:pt idx="433">
                  <c:v>717.21400000000006</c:v>
                </c:pt>
                <c:pt idx="434">
                  <c:v>717.21400000000006</c:v>
                </c:pt>
                <c:pt idx="435">
                  <c:v>657.572</c:v>
                </c:pt>
                <c:pt idx="436">
                  <c:v>646.15800000000002</c:v>
                </c:pt>
                <c:pt idx="437">
                  <c:v>639.84400000000005</c:v>
                </c:pt>
                <c:pt idx="438">
                  <c:v>635.74599999999998</c:v>
                </c:pt>
                <c:pt idx="439">
                  <c:v>643.505</c:v>
                </c:pt>
                <c:pt idx="440">
                  <c:v>704.20899999999995</c:v>
                </c:pt>
                <c:pt idx="441">
                  <c:v>701.35599999999999</c:v>
                </c:pt>
                <c:pt idx="442">
                  <c:v>706.72900000000004</c:v>
                </c:pt>
                <c:pt idx="443">
                  <c:v>719.77800000000002</c:v>
                </c:pt>
                <c:pt idx="444">
                  <c:v>689.50199999999995</c:v>
                </c:pt>
                <c:pt idx="445">
                  <c:v>668.00300000000004</c:v>
                </c:pt>
                <c:pt idx="446">
                  <c:v>681.48299999999995</c:v>
                </c:pt>
                <c:pt idx="447">
                  <c:v>694.90300000000002</c:v>
                </c:pt>
                <c:pt idx="448">
                  <c:v>667.48199999999997</c:v>
                </c:pt>
                <c:pt idx="449">
                  <c:v>757.29</c:v>
                </c:pt>
                <c:pt idx="450">
                  <c:v>738.70600000000002</c:v>
                </c:pt>
                <c:pt idx="451">
                  <c:v>772.99400000000003</c:v>
                </c:pt>
                <c:pt idx="452">
                  <c:v>797.16499999999996</c:v>
                </c:pt>
                <c:pt idx="453">
                  <c:v>798.15800000000002</c:v>
                </c:pt>
                <c:pt idx="454">
                  <c:v>777.83500000000004</c:v>
                </c:pt>
                <c:pt idx="455">
                  <c:v>798.43399999999997</c:v>
                </c:pt>
                <c:pt idx="456">
                  <c:v>792.34500000000003</c:v>
                </c:pt>
                <c:pt idx="457">
                  <c:v>765.39099999999996</c:v>
                </c:pt>
                <c:pt idx="458">
                  <c:v>762.73199999999997</c:v>
                </c:pt>
                <c:pt idx="459">
                  <c:v>736.93</c:v>
                </c:pt>
                <c:pt idx="460">
                  <c:v>699.94600000000003</c:v>
                </c:pt>
                <c:pt idx="461">
                  <c:v>701.04</c:v>
                </c:pt>
                <c:pt idx="462">
                  <c:v>679.01499999999999</c:v>
                </c:pt>
                <c:pt idx="463">
                  <c:v>673.77099999999996</c:v>
                </c:pt>
                <c:pt idx="464">
                  <c:v>669.84199999999998</c:v>
                </c:pt>
                <c:pt idx="465">
                  <c:v>701.68799999999999</c:v>
                </c:pt>
                <c:pt idx="466">
                  <c:v>729.95399999999995</c:v>
                </c:pt>
                <c:pt idx="467">
                  <c:v>774.44899999999996</c:v>
                </c:pt>
                <c:pt idx="468">
                  <c:v>745.65700000000004</c:v>
                </c:pt>
                <c:pt idx="469">
                  <c:v>727.02800000000002</c:v>
                </c:pt>
                <c:pt idx="470">
                  <c:v>735.10900000000004</c:v>
                </c:pt>
                <c:pt idx="471">
                  <c:v>718.93200000000002</c:v>
                </c:pt>
                <c:pt idx="472">
                  <c:v>730.851</c:v>
                </c:pt>
                <c:pt idx="473">
                  <c:v>702.74599999999998</c:v>
                </c:pt>
                <c:pt idx="474">
                  <c:v>720.87</c:v>
                </c:pt>
                <c:pt idx="475">
                  <c:v>701.00599999999997</c:v>
                </c:pt>
                <c:pt idx="476">
                  <c:v>697.75900000000001</c:v>
                </c:pt>
                <c:pt idx="477">
                  <c:v>697.51400000000001</c:v>
                </c:pt>
                <c:pt idx="478">
                  <c:v>716.27300000000002</c:v>
                </c:pt>
                <c:pt idx="479">
                  <c:v>721.38900000000001</c:v>
                </c:pt>
                <c:pt idx="480">
                  <c:v>706.85799999999995</c:v>
                </c:pt>
                <c:pt idx="481">
                  <c:v>675.32799999999997</c:v>
                </c:pt>
                <c:pt idx="482">
                  <c:v>650.39800000000002</c:v>
                </c:pt>
                <c:pt idx="483">
                  <c:v>649.15300000000002</c:v>
                </c:pt>
                <c:pt idx="484">
                  <c:v>619.04200000000003</c:v>
                </c:pt>
                <c:pt idx="485">
                  <c:v>611.81899999999996</c:v>
                </c:pt>
                <c:pt idx="486">
                  <c:v>593.65099999999995</c:v>
                </c:pt>
                <c:pt idx="487">
                  <c:v>591.16</c:v>
                </c:pt>
                <c:pt idx="488">
                  <c:v>588.63499999999999</c:v>
                </c:pt>
                <c:pt idx="489">
                  <c:v>595.91399999999999</c:v>
                </c:pt>
                <c:pt idx="490">
                  <c:v>604.93799999999999</c:v>
                </c:pt>
                <c:pt idx="491">
                  <c:v>595.57299999999998</c:v>
                </c:pt>
                <c:pt idx="492">
                  <c:v>600.17999999999995</c:v>
                </c:pt>
                <c:pt idx="493">
                  <c:v>603.98099999999999</c:v>
                </c:pt>
                <c:pt idx="494">
                  <c:v>592.28099999999995</c:v>
                </c:pt>
                <c:pt idx="495">
                  <c:v>569.39800000000002</c:v>
                </c:pt>
                <c:pt idx="496">
                  <c:v>530.94500000000005</c:v>
                </c:pt>
                <c:pt idx="497">
                  <c:v>536.53200000000004</c:v>
                </c:pt>
                <c:pt idx="498">
                  <c:v>500.14</c:v>
                </c:pt>
                <c:pt idx="499">
                  <c:v>489.72500000000002</c:v>
                </c:pt>
                <c:pt idx="500">
                  <c:v>460.774</c:v>
                </c:pt>
                <c:pt idx="501">
                  <c:v>440.32900000000001</c:v>
                </c:pt>
                <c:pt idx="502">
                  <c:v>399.71100000000001</c:v>
                </c:pt>
                <c:pt idx="503">
                  <c:v>390.69499999999999</c:v>
                </c:pt>
                <c:pt idx="504">
                  <c:v>394.2</c:v>
                </c:pt>
                <c:pt idx="505">
                  <c:v>396.315</c:v>
                </c:pt>
                <c:pt idx="506">
                  <c:v>431.5</c:v>
                </c:pt>
                <c:pt idx="507">
                  <c:v>435.82799999999997</c:v>
                </c:pt>
                <c:pt idx="508">
                  <c:v>431.18</c:v>
                </c:pt>
                <c:pt idx="509">
                  <c:v>410.7</c:v>
                </c:pt>
                <c:pt idx="510">
                  <c:v>415.255</c:v>
                </c:pt>
                <c:pt idx="511">
                  <c:v>416.87400000000002</c:v>
                </c:pt>
                <c:pt idx="512">
                  <c:v>413.99700000000001</c:v>
                </c:pt>
                <c:pt idx="513">
                  <c:v>414.03800000000001</c:v>
                </c:pt>
                <c:pt idx="514">
                  <c:v>396.24599999999998</c:v>
                </c:pt>
                <c:pt idx="515">
                  <c:v>425.08699999999999</c:v>
                </c:pt>
                <c:pt idx="516">
                  <c:v>429.34100000000001</c:v>
                </c:pt>
                <c:pt idx="517">
                  <c:v>443.67700000000002</c:v>
                </c:pt>
                <c:pt idx="518">
                  <c:v>443.67700000000002</c:v>
                </c:pt>
                <c:pt idx="519">
                  <c:v>443.67700000000002</c:v>
                </c:pt>
                <c:pt idx="520">
                  <c:v>435.125</c:v>
                </c:pt>
                <c:pt idx="521">
                  <c:v>429.74799999999999</c:v>
                </c:pt>
                <c:pt idx="522">
                  <c:v>428.92899999999997</c:v>
                </c:pt>
                <c:pt idx="523">
                  <c:v>428.92899999999997</c:v>
                </c:pt>
                <c:pt idx="524">
                  <c:v>435.80599999999998</c:v>
                </c:pt>
                <c:pt idx="525">
                  <c:v>441.16699999999997</c:v>
                </c:pt>
                <c:pt idx="526">
                  <c:v>441.37900000000002</c:v>
                </c:pt>
                <c:pt idx="527">
                  <c:v>441.245</c:v>
                </c:pt>
                <c:pt idx="528">
                  <c:v>433.01499999999999</c:v>
                </c:pt>
                <c:pt idx="529">
                  <c:v>440.08699999999999</c:v>
                </c:pt>
                <c:pt idx="530">
                  <c:v>463.76400000000001</c:v>
                </c:pt>
                <c:pt idx="531">
                  <c:v>464.26</c:v>
                </c:pt>
                <c:pt idx="532">
                  <c:v>457.315</c:v>
                </c:pt>
                <c:pt idx="533">
                  <c:v>460.392</c:v>
                </c:pt>
                <c:pt idx="534">
                  <c:v>465.87900000000002</c:v>
                </c:pt>
                <c:pt idx="535">
                  <c:v>455.28800000000001</c:v>
                </c:pt>
                <c:pt idx="536">
                  <c:v>449.91899999999998</c:v>
                </c:pt>
                <c:pt idx="537">
                  <c:v>441.65</c:v>
                </c:pt>
                <c:pt idx="538">
                  <c:v>460.86099999999999</c:v>
                </c:pt>
                <c:pt idx="539">
                  <c:v>456.21300000000002</c:v>
                </c:pt>
                <c:pt idx="540">
                  <c:v>460.62599999999998</c:v>
                </c:pt>
                <c:pt idx="541">
                  <c:v>458.13099999999997</c:v>
                </c:pt>
                <c:pt idx="542">
                  <c:v>456.846</c:v>
                </c:pt>
                <c:pt idx="543">
                  <c:v>454.01900000000001</c:v>
                </c:pt>
                <c:pt idx="544">
                  <c:v>443.29500000000002</c:v>
                </c:pt>
                <c:pt idx="545">
                  <c:v>422.423</c:v>
                </c:pt>
                <c:pt idx="546">
                  <c:v>417.69299999999998</c:v>
                </c:pt>
                <c:pt idx="547">
                  <c:v>419.017</c:v>
                </c:pt>
                <c:pt idx="548">
                  <c:v>415.358</c:v>
                </c:pt>
                <c:pt idx="549">
                  <c:v>419.59399999999999</c:v>
                </c:pt>
                <c:pt idx="550">
                  <c:v>429.24200000000002</c:v>
                </c:pt>
                <c:pt idx="551">
                  <c:v>435.20299999999997</c:v>
                </c:pt>
                <c:pt idx="552">
                  <c:v>443.66500000000002</c:v>
                </c:pt>
                <c:pt idx="553">
                  <c:v>448.06900000000002</c:v>
                </c:pt>
                <c:pt idx="554">
                  <c:v>453.12099999999998</c:v>
                </c:pt>
                <c:pt idx="555">
                  <c:v>450.28800000000001</c:v>
                </c:pt>
                <c:pt idx="556">
                  <c:v>447.529</c:v>
                </c:pt>
                <c:pt idx="557">
                  <c:v>437.29899999999998</c:v>
                </c:pt>
                <c:pt idx="558">
                  <c:v>431.99900000000002</c:v>
                </c:pt>
                <c:pt idx="559">
                  <c:v>450.92500000000001</c:v>
                </c:pt>
                <c:pt idx="560">
                  <c:v>447.56799999999998</c:v>
                </c:pt>
                <c:pt idx="561">
                  <c:v>436.572</c:v>
                </c:pt>
                <c:pt idx="562">
                  <c:v>440.17200000000003</c:v>
                </c:pt>
                <c:pt idx="563">
                  <c:v>454.31099999999998</c:v>
                </c:pt>
                <c:pt idx="564">
                  <c:v>436.34699999999998</c:v>
                </c:pt>
                <c:pt idx="565">
                  <c:v>448.88900000000001</c:v>
                </c:pt>
                <c:pt idx="566">
                  <c:v>452.23599999999999</c:v>
                </c:pt>
                <c:pt idx="567">
                  <c:v>465.71899999999999</c:v>
                </c:pt>
                <c:pt idx="568">
                  <c:v>475.61700000000002</c:v>
                </c:pt>
                <c:pt idx="569">
                  <c:v>505.73599999999999</c:v>
                </c:pt>
                <c:pt idx="570">
                  <c:v>491.24400000000003</c:v>
                </c:pt>
                <c:pt idx="571">
                  <c:v>496.33100000000002</c:v>
                </c:pt>
                <c:pt idx="572">
                  <c:v>500.327</c:v>
                </c:pt>
                <c:pt idx="573">
                  <c:v>518.77200000000005</c:v>
                </c:pt>
                <c:pt idx="574">
                  <c:v>532.63699999999994</c:v>
                </c:pt>
                <c:pt idx="575">
                  <c:v>508.61200000000002</c:v>
                </c:pt>
                <c:pt idx="576">
                  <c:v>518.83299999999997</c:v>
                </c:pt>
                <c:pt idx="577">
                  <c:v>522.34</c:v>
                </c:pt>
                <c:pt idx="578">
                  <c:v>499.99299999999999</c:v>
                </c:pt>
                <c:pt idx="579">
                  <c:v>496.18900000000002</c:v>
                </c:pt>
                <c:pt idx="580">
                  <c:v>503.16300000000001</c:v>
                </c:pt>
                <c:pt idx="581">
                  <c:v>504.75799999999998</c:v>
                </c:pt>
                <c:pt idx="582">
                  <c:v>516.16399999999999</c:v>
                </c:pt>
                <c:pt idx="583">
                  <c:v>515.28</c:v>
                </c:pt>
                <c:pt idx="584">
                  <c:v>515.02300000000002</c:v>
                </c:pt>
                <c:pt idx="585">
                  <c:v>536.79999999999995</c:v>
                </c:pt>
                <c:pt idx="586">
                  <c:v>535.21900000000005</c:v>
                </c:pt>
                <c:pt idx="587">
                  <c:v>538.54700000000003</c:v>
                </c:pt>
                <c:pt idx="588">
                  <c:v>535.66</c:v>
                </c:pt>
                <c:pt idx="589">
                  <c:v>535.66</c:v>
                </c:pt>
                <c:pt idx="590">
                  <c:v>541.98800000000006</c:v>
                </c:pt>
                <c:pt idx="591">
                  <c:v>538.27099999999996</c:v>
                </c:pt>
                <c:pt idx="592">
                  <c:v>540.68499999999995</c:v>
                </c:pt>
                <c:pt idx="593">
                  <c:v>544.59699999999998</c:v>
                </c:pt>
                <c:pt idx="594">
                  <c:v>546.40899999999999</c:v>
                </c:pt>
                <c:pt idx="595">
                  <c:v>543.29700000000003</c:v>
                </c:pt>
                <c:pt idx="596">
                  <c:v>540.35599999999999</c:v>
                </c:pt>
                <c:pt idx="597">
                  <c:v>535.34</c:v>
                </c:pt>
                <c:pt idx="598">
                  <c:v>534.92999999999995</c:v>
                </c:pt>
                <c:pt idx="599">
                  <c:v>527.49099999999999</c:v>
                </c:pt>
                <c:pt idx="600">
                  <c:v>518.65899999999999</c:v>
                </c:pt>
                <c:pt idx="601">
                  <c:v>521.20500000000004</c:v>
                </c:pt>
                <c:pt idx="602">
                  <c:v>507.76499999999999</c:v>
                </c:pt>
                <c:pt idx="603">
                  <c:v>501.28500000000003</c:v>
                </c:pt>
                <c:pt idx="604">
                  <c:v>504.56099999999998</c:v>
                </c:pt>
                <c:pt idx="605">
                  <c:v>498.47399999999999</c:v>
                </c:pt>
                <c:pt idx="606">
                  <c:v>511.95100000000002</c:v>
                </c:pt>
                <c:pt idx="607">
                  <c:v>513.20299999999997</c:v>
                </c:pt>
                <c:pt idx="608">
                  <c:v>528.21799999999996</c:v>
                </c:pt>
                <c:pt idx="609">
                  <c:v>528.21799999999996</c:v>
                </c:pt>
                <c:pt idx="610">
                  <c:v>525.67100000000005</c:v>
                </c:pt>
                <c:pt idx="611">
                  <c:v>521.779</c:v>
                </c:pt>
                <c:pt idx="612">
                  <c:v>515.18600000000004</c:v>
                </c:pt>
                <c:pt idx="613">
                  <c:v>511.005</c:v>
                </c:pt>
                <c:pt idx="614">
                  <c:v>516.92200000000003</c:v>
                </c:pt>
                <c:pt idx="615">
                  <c:v>521.12199999999996</c:v>
                </c:pt>
                <c:pt idx="616">
                  <c:v>515.17200000000003</c:v>
                </c:pt>
                <c:pt idx="617">
                  <c:v>515.41600000000005</c:v>
                </c:pt>
                <c:pt idx="618">
                  <c:v>511.57499999999999</c:v>
                </c:pt>
                <c:pt idx="619">
                  <c:v>513.93899999999996</c:v>
                </c:pt>
                <c:pt idx="620">
                  <c:v>511.58600000000001</c:v>
                </c:pt>
                <c:pt idx="621">
                  <c:v>514.53099999999995</c:v>
                </c:pt>
                <c:pt idx="622">
                  <c:v>510.76400000000001</c:v>
                </c:pt>
                <c:pt idx="623">
                  <c:v>501.72300000000001</c:v>
                </c:pt>
              </c:numCache>
            </c:numRef>
          </c:val>
          <c:smooth val="0"/>
          <c:extLst>
            <c:ext xmlns:c16="http://schemas.microsoft.com/office/drawing/2014/chart" uri="{C3380CC4-5D6E-409C-BE32-E72D297353CC}">
              <c16:uniqueId val="{00000005-4EEE-436B-AFC1-C498D6096249}"/>
            </c:ext>
          </c:extLst>
        </c:ser>
        <c:ser>
          <c:idx val="6"/>
          <c:order val="6"/>
          <c:tx>
            <c:strRef>
              <c:f>Sheet1!$H$1</c:f>
              <c:strCache>
                <c:ptCount val="1"/>
                <c:pt idx="0">
                  <c:v>Ղազախստան (2025 թ.)</c:v>
                </c:pt>
              </c:strCache>
            </c:strRef>
          </c:tx>
          <c:spPr>
            <a:ln w="28575" cap="rnd">
              <a:solidFill>
                <a:schemeClr val="accent1">
                  <a:lumMod val="60000"/>
                </a:schemeClr>
              </a:solidFill>
              <a:round/>
            </a:ln>
            <a:effectLst/>
          </c:spPr>
          <c:marker>
            <c:symbol val="none"/>
          </c:marker>
          <c:cat>
            <c:numRef>
              <c:f>Sheet1!$A$2:$A$625</c:f>
              <c:numCache>
                <c:formatCode>m\/d\/yyyy</c:formatCode>
                <c:ptCount val="624"/>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numCache>
            </c:numRef>
          </c:cat>
          <c:val>
            <c:numRef>
              <c:f>Sheet1!$H$2:$H$625</c:f>
              <c:numCache>
                <c:formatCode>0</c:formatCode>
                <c:ptCount val="624"/>
                <c:pt idx="0">
                  <c:v>142.02199999999999</c:v>
                </c:pt>
                <c:pt idx="1">
                  <c:v>147.65</c:v>
                </c:pt>
                <c:pt idx="2">
                  <c:v>145.41999999999999</c:v>
                </c:pt>
                <c:pt idx="3">
                  <c:v>144.89699999999999</c:v>
                </c:pt>
                <c:pt idx="4">
                  <c:v>135.917</c:v>
                </c:pt>
                <c:pt idx="5">
                  <c:v>129.06200000000001</c:v>
                </c:pt>
                <c:pt idx="6">
                  <c:v>124.55800000000001</c:v>
                </c:pt>
                <c:pt idx="7">
                  <c:v>124.38</c:v>
                </c:pt>
                <c:pt idx="8">
                  <c:v>118.393</c:v>
                </c:pt>
                <c:pt idx="9">
                  <c:v>121.194</c:v>
                </c:pt>
                <c:pt idx="10">
                  <c:v>118.187</c:v>
                </c:pt>
                <c:pt idx="11">
                  <c:v>109.827</c:v>
                </c:pt>
                <c:pt idx="12">
                  <c:v>111.08199999999999</c:v>
                </c:pt>
                <c:pt idx="13">
                  <c:v>105.51900000000001</c:v>
                </c:pt>
                <c:pt idx="14">
                  <c:v>105.51900000000001</c:v>
                </c:pt>
                <c:pt idx="15">
                  <c:v>103.28400000000001</c:v>
                </c:pt>
                <c:pt idx="16">
                  <c:v>104.27</c:v>
                </c:pt>
                <c:pt idx="17">
                  <c:v>104.559</c:v>
                </c:pt>
                <c:pt idx="18">
                  <c:v>105.71599999999999</c:v>
                </c:pt>
                <c:pt idx="19">
                  <c:v>103.61199999999999</c:v>
                </c:pt>
                <c:pt idx="20">
                  <c:v>110.607</c:v>
                </c:pt>
                <c:pt idx="21">
                  <c:v>113.61499999999999</c:v>
                </c:pt>
                <c:pt idx="22">
                  <c:v>113.90300000000001</c:v>
                </c:pt>
                <c:pt idx="23">
                  <c:v>115.167</c:v>
                </c:pt>
                <c:pt idx="24">
                  <c:v>110.88500000000001</c:v>
                </c:pt>
                <c:pt idx="25">
                  <c:v>109.913</c:v>
                </c:pt>
                <c:pt idx="26">
                  <c:v>110.374</c:v>
                </c:pt>
                <c:pt idx="27">
                  <c:v>112.486</c:v>
                </c:pt>
                <c:pt idx="28">
                  <c:v>117.02800000000001</c:v>
                </c:pt>
                <c:pt idx="29">
                  <c:v>117.267</c:v>
                </c:pt>
                <c:pt idx="30">
                  <c:v>114.59699999999999</c:v>
                </c:pt>
                <c:pt idx="31">
                  <c:v>115.33499999999999</c:v>
                </c:pt>
                <c:pt idx="32">
                  <c:v>111.955</c:v>
                </c:pt>
                <c:pt idx="33">
                  <c:v>112.508</c:v>
                </c:pt>
                <c:pt idx="34">
                  <c:v>112.508</c:v>
                </c:pt>
                <c:pt idx="35">
                  <c:v>110.679</c:v>
                </c:pt>
                <c:pt idx="36">
                  <c:v>113.06699999999999</c:v>
                </c:pt>
                <c:pt idx="37">
                  <c:v>110.7</c:v>
                </c:pt>
                <c:pt idx="38">
                  <c:v>112.837</c:v>
                </c:pt>
                <c:pt idx="39">
                  <c:v>112.366</c:v>
                </c:pt>
                <c:pt idx="40">
                  <c:v>114.003</c:v>
                </c:pt>
                <c:pt idx="41">
                  <c:v>116.712</c:v>
                </c:pt>
                <c:pt idx="42">
                  <c:v>111.441</c:v>
                </c:pt>
                <c:pt idx="43">
                  <c:v>106.773</c:v>
                </c:pt>
                <c:pt idx="44">
                  <c:v>106.51900000000001</c:v>
                </c:pt>
                <c:pt idx="45">
                  <c:v>107.15</c:v>
                </c:pt>
                <c:pt idx="46">
                  <c:v>106.958</c:v>
                </c:pt>
                <c:pt idx="47">
                  <c:v>108.99</c:v>
                </c:pt>
                <c:pt idx="48">
                  <c:v>114.842</c:v>
                </c:pt>
                <c:pt idx="49">
                  <c:v>113.074</c:v>
                </c:pt>
                <c:pt idx="50">
                  <c:v>109.30200000000001</c:v>
                </c:pt>
                <c:pt idx="51">
                  <c:v>111.71599999999999</c:v>
                </c:pt>
                <c:pt idx="52">
                  <c:v>109.16</c:v>
                </c:pt>
                <c:pt idx="53">
                  <c:v>110.036</c:v>
                </c:pt>
                <c:pt idx="54">
                  <c:v>111.80800000000001</c:v>
                </c:pt>
                <c:pt idx="55">
                  <c:v>110.61799999999999</c:v>
                </c:pt>
                <c:pt idx="56">
                  <c:v>114.65600000000001</c:v>
                </c:pt>
                <c:pt idx="57">
                  <c:v>113.57</c:v>
                </c:pt>
                <c:pt idx="58">
                  <c:v>116.456</c:v>
                </c:pt>
                <c:pt idx="59">
                  <c:v>121.274</c:v>
                </c:pt>
                <c:pt idx="60">
                  <c:v>123.759</c:v>
                </c:pt>
                <c:pt idx="61">
                  <c:v>130.57499999999999</c:v>
                </c:pt>
                <c:pt idx="62">
                  <c:v>126.88500000000001</c:v>
                </c:pt>
                <c:pt idx="63">
                  <c:v>120.264</c:v>
                </c:pt>
                <c:pt idx="64">
                  <c:v>113.58199999999999</c:v>
                </c:pt>
                <c:pt idx="65">
                  <c:v>112.53400000000001</c:v>
                </c:pt>
                <c:pt idx="66">
                  <c:v>108.542</c:v>
                </c:pt>
                <c:pt idx="67">
                  <c:v>110.423</c:v>
                </c:pt>
                <c:pt idx="68">
                  <c:v>106.18300000000001</c:v>
                </c:pt>
                <c:pt idx="69">
                  <c:v>108.001</c:v>
                </c:pt>
                <c:pt idx="70">
                  <c:v>104.798</c:v>
                </c:pt>
                <c:pt idx="71">
                  <c:v>105.46</c:v>
                </c:pt>
                <c:pt idx="72">
                  <c:v>107.754</c:v>
                </c:pt>
                <c:pt idx="73">
                  <c:v>102.173</c:v>
                </c:pt>
                <c:pt idx="74">
                  <c:v>98.382999999999996</c:v>
                </c:pt>
                <c:pt idx="75">
                  <c:v>97.605000000000004</c:v>
                </c:pt>
                <c:pt idx="76">
                  <c:v>91.061999999999998</c:v>
                </c:pt>
                <c:pt idx="77">
                  <c:v>96.048000000000002</c:v>
                </c:pt>
                <c:pt idx="78">
                  <c:v>96.048000000000002</c:v>
                </c:pt>
                <c:pt idx="79">
                  <c:v>92.802000000000007</c:v>
                </c:pt>
                <c:pt idx="80">
                  <c:v>93.054000000000002</c:v>
                </c:pt>
                <c:pt idx="81">
                  <c:v>96.995000000000005</c:v>
                </c:pt>
                <c:pt idx="82">
                  <c:v>96.861000000000004</c:v>
                </c:pt>
                <c:pt idx="83">
                  <c:v>92.718000000000004</c:v>
                </c:pt>
                <c:pt idx="84">
                  <c:v>91.88</c:v>
                </c:pt>
                <c:pt idx="85">
                  <c:v>88.825999999999993</c:v>
                </c:pt>
                <c:pt idx="86">
                  <c:v>89.028000000000006</c:v>
                </c:pt>
                <c:pt idx="87">
                  <c:v>83.962999999999994</c:v>
                </c:pt>
                <c:pt idx="88">
                  <c:v>83.635999999999996</c:v>
                </c:pt>
                <c:pt idx="89">
                  <c:v>91.613</c:v>
                </c:pt>
                <c:pt idx="90">
                  <c:v>90.945999999999998</c:v>
                </c:pt>
                <c:pt idx="91">
                  <c:v>94.463999999999999</c:v>
                </c:pt>
                <c:pt idx="92">
                  <c:v>94.966999999999999</c:v>
                </c:pt>
                <c:pt idx="93">
                  <c:v>93.650999999999996</c:v>
                </c:pt>
                <c:pt idx="94">
                  <c:v>96.162999999999997</c:v>
                </c:pt>
                <c:pt idx="95">
                  <c:v>99.652000000000001</c:v>
                </c:pt>
                <c:pt idx="96">
                  <c:v>102.693</c:v>
                </c:pt>
                <c:pt idx="97">
                  <c:v>103.568</c:v>
                </c:pt>
                <c:pt idx="98">
                  <c:v>103.649</c:v>
                </c:pt>
                <c:pt idx="99">
                  <c:v>101.23399999999999</c:v>
                </c:pt>
                <c:pt idx="100">
                  <c:v>99.778999999999996</c:v>
                </c:pt>
                <c:pt idx="101">
                  <c:v>98.783000000000001</c:v>
                </c:pt>
                <c:pt idx="102">
                  <c:v>106.973</c:v>
                </c:pt>
                <c:pt idx="103">
                  <c:v>110.123</c:v>
                </c:pt>
                <c:pt idx="104">
                  <c:v>110.123</c:v>
                </c:pt>
                <c:pt idx="105">
                  <c:v>114.384</c:v>
                </c:pt>
                <c:pt idx="106">
                  <c:v>120.693</c:v>
                </c:pt>
                <c:pt idx="107">
                  <c:v>116.675</c:v>
                </c:pt>
                <c:pt idx="108">
                  <c:v>130.72300000000001</c:v>
                </c:pt>
                <c:pt idx="109">
                  <c:v>140.732</c:v>
                </c:pt>
                <c:pt idx="110">
                  <c:v>143.85400000000001</c:v>
                </c:pt>
                <c:pt idx="111">
                  <c:v>137.76499999999999</c:v>
                </c:pt>
                <c:pt idx="112">
                  <c:v>136.48599999999999</c:v>
                </c:pt>
                <c:pt idx="113">
                  <c:v>121.708</c:v>
                </c:pt>
                <c:pt idx="114">
                  <c:v>111.857</c:v>
                </c:pt>
                <c:pt idx="115">
                  <c:v>106.15</c:v>
                </c:pt>
                <c:pt idx="116">
                  <c:v>112.175</c:v>
                </c:pt>
                <c:pt idx="117">
                  <c:v>113.974</c:v>
                </c:pt>
                <c:pt idx="118">
                  <c:v>120.79300000000001</c:v>
                </c:pt>
                <c:pt idx="119">
                  <c:v>114.256</c:v>
                </c:pt>
                <c:pt idx="120">
                  <c:v>114.961</c:v>
                </c:pt>
                <c:pt idx="121">
                  <c:v>96.703000000000003</c:v>
                </c:pt>
                <c:pt idx="122">
                  <c:v>93.25</c:v>
                </c:pt>
                <c:pt idx="123">
                  <c:v>92.662000000000006</c:v>
                </c:pt>
                <c:pt idx="124">
                  <c:v>96.596000000000004</c:v>
                </c:pt>
                <c:pt idx="125">
                  <c:v>99.382999999999996</c:v>
                </c:pt>
                <c:pt idx="126">
                  <c:v>99.742999999999995</c:v>
                </c:pt>
                <c:pt idx="127">
                  <c:v>97.003</c:v>
                </c:pt>
                <c:pt idx="128">
                  <c:v>94.492000000000004</c:v>
                </c:pt>
                <c:pt idx="129">
                  <c:v>91</c:v>
                </c:pt>
                <c:pt idx="130">
                  <c:v>89.674999999999997</c:v>
                </c:pt>
                <c:pt idx="131">
                  <c:v>92.457999999999998</c:v>
                </c:pt>
                <c:pt idx="132">
                  <c:v>92.457999999999998</c:v>
                </c:pt>
                <c:pt idx="133">
                  <c:v>90.727000000000004</c:v>
                </c:pt>
                <c:pt idx="134">
                  <c:v>88.661000000000001</c:v>
                </c:pt>
                <c:pt idx="135">
                  <c:v>87.826999999999998</c:v>
                </c:pt>
                <c:pt idx="136">
                  <c:v>88.114999999999995</c:v>
                </c:pt>
                <c:pt idx="137">
                  <c:v>92.320999999999998</c:v>
                </c:pt>
                <c:pt idx="138">
                  <c:v>86.021000000000001</c:v>
                </c:pt>
                <c:pt idx="139">
                  <c:v>88.900999999999996</c:v>
                </c:pt>
                <c:pt idx="140">
                  <c:v>90.658000000000001</c:v>
                </c:pt>
                <c:pt idx="141">
                  <c:v>90.039000000000001</c:v>
                </c:pt>
                <c:pt idx="142">
                  <c:v>95.58</c:v>
                </c:pt>
                <c:pt idx="143">
                  <c:v>98.721000000000004</c:v>
                </c:pt>
                <c:pt idx="144">
                  <c:v>97.834000000000003</c:v>
                </c:pt>
                <c:pt idx="145">
                  <c:v>97.126999999999995</c:v>
                </c:pt>
                <c:pt idx="146">
                  <c:v>98.203000000000003</c:v>
                </c:pt>
                <c:pt idx="147">
                  <c:v>98.146000000000001</c:v>
                </c:pt>
                <c:pt idx="148">
                  <c:v>95.108999999999995</c:v>
                </c:pt>
                <c:pt idx="149">
                  <c:v>94.718999999999994</c:v>
                </c:pt>
                <c:pt idx="150">
                  <c:v>96.24</c:v>
                </c:pt>
                <c:pt idx="151">
                  <c:v>96.305000000000007</c:v>
                </c:pt>
                <c:pt idx="152">
                  <c:v>96.771000000000001</c:v>
                </c:pt>
                <c:pt idx="153">
                  <c:v>117.22199999999999</c:v>
                </c:pt>
                <c:pt idx="154">
                  <c:v>125.024</c:v>
                </c:pt>
                <c:pt idx="155">
                  <c:v>129.739</c:v>
                </c:pt>
                <c:pt idx="156">
                  <c:v>134.67699999999999</c:v>
                </c:pt>
                <c:pt idx="157">
                  <c:v>128.66300000000001</c:v>
                </c:pt>
                <c:pt idx="158">
                  <c:v>129.05000000000001</c:v>
                </c:pt>
                <c:pt idx="159">
                  <c:v>128.80500000000001</c:v>
                </c:pt>
                <c:pt idx="160">
                  <c:v>132.518</c:v>
                </c:pt>
                <c:pt idx="161">
                  <c:v>128.18600000000001</c:v>
                </c:pt>
                <c:pt idx="162">
                  <c:v>135.13900000000001</c:v>
                </c:pt>
                <c:pt idx="163">
                  <c:v>135.441</c:v>
                </c:pt>
                <c:pt idx="164">
                  <c:v>130.934</c:v>
                </c:pt>
                <c:pt idx="165">
                  <c:v>134.536</c:v>
                </c:pt>
                <c:pt idx="166">
                  <c:v>132.34299999999999</c:v>
                </c:pt>
                <c:pt idx="167">
                  <c:v>130.31899999999999</c:v>
                </c:pt>
                <c:pt idx="168">
                  <c:v>122.202</c:v>
                </c:pt>
                <c:pt idx="169">
                  <c:v>140.40600000000001</c:v>
                </c:pt>
                <c:pt idx="170">
                  <c:v>131.96700000000001</c:v>
                </c:pt>
                <c:pt idx="171">
                  <c:v>129.85300000000001</c:v>
                </c:pt>
                <c:pt idx="172">
                  <c:v>126.14400000000001</c:v>
                </c:pt>
                <c:pt idx="173">
                  <c:v>120.858</c:v>
                </c:pt>
                <c:pt idx="174">
                  <c:v>120.858</c:v>
                </c:pt>
                <c:pt idx="175">
                  <c:v>116.184</c:v>
                </c:pt>
                <c:pt idx="176">
                  <c:v>113.27800000000001</c:v>
                </c:pt>
                <c:pt idx="177">
                  <c:v>102.57899999999999</c:v>
                </c:pt>
                <c:pt idx="178">
                  <c:v>97.129000000000005</c:v>
                </c:pt>
                <c:pt idx="179">
                  <c:v>96.781000000000006</c:v>
                </c:pt>
                <c:pt idx="180">
                  <c:v>96.727999999999994</c:v>
                </c:pt>
                <c:pt idx="181">
                  <c:v>96.745999999999995</c:v>
                </c:pt>
                <c:pt idx="182">
                  <c:v>93.367000000000004</c:v>
                </c:pt>
                <c:pt idx="183">
                  <c:v>89.784000000000006</c:v>
                </c:pt>
                <c:pt idx="184">
                  <c:v>90.724000000000004</c:v>
                </c:pt>
                <c:pt idx="185">
                  <c:v>91.933999999999997</c:v>
                </c:pt>
                <c:pt idx="186">
                  <c:v>94.57</c:v>
                </c:pt>
                <c:pt idx="187">
                  <c:v>94.591999999999999</c:v>
                </c:pt>
                <c:pt idx="188">
                  <c:v>93.015000000000001</c:v>
                </c:pt>
                <c:pt idx="189">
                  <c:v>95.572999999999993</c:v>
                </c:pt>
                <c:pt idx="190">
                  <c:v>92.534999999999997</c:v>
                </c:pt>
                <c:pt idx="191">
                  <c:v>103.34399999999999</c:v>
                </c:pt>
                <c:pt idx="192">
                  <c:v>105.866</c:v>
                </c:pt>
                <c:pt idx="193">
                  <c:v>104.122</c:v>
                </c:pt>
                <c:pt idx="194">
                  <c:v>107.672</c:v>
                </c:pt>
                <c:pt idx="195">
                  <c:v>105.04600000000001</c:v>
                </c:pt>
                <c:pt idx="196">
                  <c:v>119.22199999999999</c:v>
                </c:pt>
                <c:pt idx="197">
                  <c:v>122.226</c:v>
                </c:pt>
                <c:pt idx="198">
                  <c:v>125.637</c:v>
                </c:pt>
                <c:pt idx="199">
                  <c:v>121.128</c:v>
                </c:pt>
                <c:pt idx="200">
                  <c:v>121.172</c:v>
                </c:pt>
                <c:pt idx="201">
                  <c:v>122.88800000000001</c:v>
                </c:pt>
                <c:pt idx="202">
                  <c:v>120.443</c:v>
                </c:pt>
                <c:pt idx="203">
                  <c:v>112.85</c:v>
                </c:pt>
                <c:pt idx="204">
                  <c:v>112.85</c:v>
                </c:pt>
                <c:pt idx="205">
                  <c:v>109.023</c:v>
                </c:pt>
                <c:pt idx="206">
                  <c:v>105.76300000000001</c:v>
                </c:pt>
                <c:pt idx="207">
                  <c:v>99.861000000000004</c:v>
                </c:pt>
                <c:pt idx="208">
                  <c:v>101.10599999999999</c:v>
                </c:pt>
                <c:pt idx="209">
                  <c:v>101.008</c:v>
                </c:pt>
                <c:pt idx="210">
                  <c:v>100.002</c:v>
                </c:pt>
                <c:pt idx="211">
                  <c:v>102.008</c:v>
                </c:pt>
                <c:pt idx="212">
                  <c:v>98.513000000000005</c:v>
                </c:pt>
                <c:pt idx="213">
                  <c:v>98.227000000000004</c:v>
                </c:pt>
                <c:pt idx="214">
                  <c:v>94.057000000000002</c:v>
                </c:pt>
                <c:pt idx="215">
                  <c:v>95.903999999999996</c:v>
                </c:pt>
                <c:pt idx="216">
                  <c:v>95.997</c:v>
                </c:pt>
                <c:pt idx="217">
                  <c:v>99.989000000000004</c:v>
                </c:pt>
                <c:pt idx="218">
                  <c:v>103.913</c:v>
                </c:pt>
                <c:pt idx="219">
                  <c:v>96.516000000000005</c:v>
                </c:pt>
                <c:pt idx="220">
                  <c:v>90.539000000000001</c:v>
                </c:pt>
                <c:pt idx="221">
                  <c:v>88.784000000000006</c:v>
                </c:pt>
                <c:pt idx="222">
                  <c:v>85.537999999999997</c:v>
                </c:pt>
                <c:pt idx="223">
                  <c:v>81.98</c:v>
                </c:pt>
                <c:pt idx="224">
                  <c:v>81.98</c:v>
                </c:pt>
                <c:pt idx="225">
                  <c:v>81.194000000000003</c:v>
                </c:pt>
                <c:pt idx="226">
                  <c:v>86.608000000000004</c:v>
                </c:pt>
                <c:pt idx="227">
                  <c:v>90.034999999999997</c:v>
                </c:pt>
                <c:pt idx="228">
                  <c:v>86.355999999999995</c:v>
                </c:pt>
                <c:pt idx="229">
                  <c:v>85.603999999999999</c:v>
                </c:pt>
                <c:pt idx="230">
                  <c:v>85.244</c:v>
                </c:pt>
                <c:pt idx="231">
                  <c:v>93.558999999999997</c:v>
                </c:pt>
                <c:pt idx="232">
                  <c:v>86.097999999999999</c:v>
                </c:pt>
                <c:pt idx="233">
                  <c:v>84.852000000000004</c:v>
                </c:pt>
                <c:pt idx="234">
                  <c:v>80.691000000000003</c:v>
                </c:pt>
                <c:pt idx="235">
                  <c:v>83.531999999999996</c:v>
                </c:pt>
                <c:pt idx="236">
                  <c:v>81.792000000000002</c:v>
                </c:pt>
                <c:pt idx="237">
                  <c:v>81.792000000000002</c:v>
                </c:pt>
                <c:pt idx="238">
                  <c:v>77.106999999999999</c:v>
                </c:pt>
                <c:pt idx="239">
                  <c:v>72.149000000000001</c:v>
                </c:pt>
                <c:pt idx="240">
                  <c:v>73.872</c:v>
                </c:pt>
                <c:pt idx="241">
                  <c:v>79.948999999999998</c:v>
                </c:pt>
                <c:pt idx="242">
                  <c:v>75.296000000000006</c:v>
                </c:pt>
                <c:pt idx="243">
                  <c:v>72.5</c:v>
                </c:pt>
                <c:pt idx="244">
                  <c:v>68.856999999999999</c:v>
                </c:pt>
                <c:pt idx="245">
                  <c:v>65.343999999999994</c:v>
                </c:pt>
                <c:pt idx="246">
                  <c:v>62.505000000000003</c:v>
                </c:pt>
                <c:pt idx="247">
                  <c:v>61.738999999999997</c:v>
                </c:pt>
                <c:pt idx="248">
                  <c:v>53.234000000000002</c:v>
                </c:pt>
                <c:pt idx="249">
                  <c:v>57.143000000000001</c:v>
                </c:pt>
                <c:pt idx="250">
                  <c:v>54.381999999999998</c:v>
                </c:pt>
                <c:pt idx="251">
                  <c:v>52.497999999999998</c:v>
                </c:pt>
                <c:pt idx="252">
                  <c:v>47.658000000000001</c:v>
                </c:pt>
                <c:pt idx="253">
                  <c:v>47.387</c:v>
                </c:pt>
                <c:pt idx="254">
                  <c:v>48.947000000000003</c:v>
                </c:pt>
                <c:pt idx="255">
                  <c:v>46.155999999999999</c:v>
                </c:pt>
                <c:pt idx="256">
                  <c:v>46.155999999999999</c:v>
                </c:pt>
                <c:pt idx="257">
                  <c:v>47.651000000000003</c:v>
                </c:pt>
                <c:pt idx="258">
                  <c:v>49.615000000000002</c:v>
                </c:pt>
                <c:pt idx="259">
                  <c:v>47.500999999999998</c:v>
                </c:pt>
                <c:pt idx="260">
                  <c:v>48.935000000000002</c:v>
                </c:pt>
                <c:pt idx="261">
                  <c:v>48.935000000000002</c:v>
                </c:pt>
                <c:pt idx="262">
                  <c:v>45.301000000000002</c:v>
                </c:pt>
                <c:pt idx="263">
                  <c:v>53.616999999999997</c:v>
                </c:pt>
                <c:pt idx="264">
                  <c:v>56.494999999999997</c:v>
                </c:pt>
                <c:pt idx="265">
                  <c:v>54.387999999999998</c:v>
                </c:pt>
                <c:pt idx="266">
                  <c:v>54.639000000000003</c:v>
                </c:pt>
                <c:pt idx="267">
                  <c:v>47.170999999999999</c:v>
                </c:pt>
                <c:pt idx="268">
                  <c:v>48.273000000000003</c:v>
                </c:pt>
                <c:pt idx="269">
                  <c:v>48.356000000000002</c:v>
                </c:pt>
                <c:pt idx="270">
                  <c:v>48.234999999999999</c:v>
                </c:pt>
                <c:pt idx="271">
                  <c:v>50.801000000000002</c:v>
                </c:pt>
                <c:pt idx="272">
                  <c:v>49.453000000000003</c:v>
                </c:pt>
                <c:pt idx="273">
                  <c:v>47.921999999999997</c:v>
                </c:pt>
                <c:pt idx="274">
                  <c:v>47.921999999999997</c:v>
                </c:pt>
                <c:pt idx="275">
                  <c:v>49.485999999999997</c:v>
                </c:pt>
                <c:pt idx="276">
                  <c:v>52.497</c:v>
                </c:pt>
                <c:pt idx="277">
                  <c:v>56.387</c:v>
                </c:pt>
                <c:pt idx="278">
                  <c:v>57.948999999999998</c:v>
                </c:pt>
                <c:pt idx="279">
                  <c:v>71.040000000000006</c:v>
                </c:pt>
                <c:pt idx="280">
                  <c:v>75.036000000000001</c:v>
                </c:pt>
                <c:pt idx="281">
                  <c:v>70.875</c:v>
                </c:pt>
                <c:pt idx="282">
                  <c:v>73.662999999999997</c:v>
                </c:pt>
                <c:pt idx="283">
                  <c:v>72.793999999999997</c:v>
                </c:pt>
                <c:pt idx="284">
                  <c:v>76.534000000000006</c:v>
                </c:pt>
                <c:pt idx="285">
                  <c:v>72.072000000000003</c:v>
                </c:pt>
                <c:pt idx="286">
                  <c:v>68.153999999999996</c:v>
                </c:pt>
                <c:pt idx="287">
                  <c:v>66.849000000000004</c:v>
                </c:pt>
                <c:pt idx="288">
                  <c:v>69.349999999999994</c:v>
                </c:pt>
                <c:pt idx="289">
                  <c:v>72.183000000000007</c:v>
                </c:pt>
                <c:pt idx="290">
                  <c:v>70.724999999999994</c:v>
                </c:pt>
                <c:pt idx="291">
                  <c:v>66.754000000000005</c:v>
                </c:pt>
                <c:pt idx="292">
                  <c:v>68.731999999999999</c:v>
                </c:pt>
                <c:pt idx="293">
                  <c:v>66.959999999999994</c:v>
                </c:pt>
                <c:pt idx="294">
                  <c:v>66.959999999999994</c:v>
                </c:pt>
                <c:pt idx="295">
                  <c:v>69.135999999999996</c:v>
                </c:pt>
                <c:pt idx="296">
                  <c:v>67.108000000000004</c:v>
                </c:pt>
                <c:pt idx="297">
                  <c:v>65.497</c:v>
                </c:pt>
                <c:pt idx="298">
                  <c:v>68.411000000000001</c:v>
                </c:pt>
                <c:pt idx="299">
                  <c:v>77.718000000000004</c:v>
                </c:pt>
                <c:pt idx="300">
                  <c:v>78.64</c:v>
                </c:pt>
                <c:pt idx="301">
                  <c:v>82.715999999999994</c:v>
                </c:pt>
                <c:pt idx="302">
                  <c:v>87.992000000000004</c:v>
                </c:pt>
                <c:pt idx="303">
                  <c:v>114.45699999999999</c:v>
                </c:pt>
                <c:pt idx="304">
                  <c:v>124.90300000000001</c:v>
                </c:pt>
                <c:pt idx="305">
                  <c:v>108.443</c:v>
                </c:pt>
                <c:pt idx="306">
                  <c:v>124.065</c:v>
                </c:pt>
                <c:pt idx="307">
                  <c:v>115.30800000000001</c:v>
                </c:pt>
                <c:pt idx="308">
                  <c:v>127.96</c:v>
                </c:pt>
                <c:pt idx="309">
                  <c:v>181.91800000000001</c:v>
                </c:pt>
                <c:pt idx="310">
                  <c:v>166.619</c:v>
                </c:pt>
                <c:pt idx="311">
                  <c:v>167.02099999999999</c:v>
                </c:pt>
                <c:pt idx="312">
                  <c:v>187.79499999999999</c:v>
                </c:pt>
                <c:pt idx="313">
                  <c:v>198.59100000000001</c:v>
                </c:pt>
                <c:pt idx="314">
                  <c:v>199.81299999999999</c:v>
                </c:pt>
                <c:pt idx="315">
                  <c:v>222.71799999999999</c:v>
                </c:pt>
                <c:pt idx="316">
                  <c:v>241.886</c:v>
                </c:pt>
                <c:pt idx="317">
                  <c:v>300.64400000000001</c:v>
                </c:pt>
                <c:pt idx="318">
                  <c:v>321.04399999999998</c:v>
                </c:pt>
                <c:pt idx="319">
                  <c:v>360.77499999999998</c:v>
                </c:pt>
                <c:pt idx="320">
                  <c:v>367.14800000000002</c:v>
                </c:pt>
                <c:pt idx="321">
                  <c:v>338.29</c:v>
                </c:pt>
                <c:pt idx="322">
                  <c:v>334.63099999999997</c:v>
                </c:pt>
                <c:pt idx="323">
                  <c:v>296.38900000000001</c:v>
                </c:pt>
                <c:pt idx="324">
                  <c:v>305.68400000000003</c:v>
                </c:pt>
                <c:pt idx="325">
                  <c:v>298.33699999999999</c:v>
                </c:pt>
                <c:pt idx="326">
                  <c:v>297.178</c:v>
                </c:pt>
                <c:pt idx="327">
                  <c:v>285.62400000000002</c:v>
                </c:pt>
                <c:pt idx="328">
                  <c:v>265.262</c:v>
                </c:pt>
                <c:pt idx="329">
                  <c:v>235.523</c:v>
                </c:pt>
                <c:pt idx="330">
                  <c:v>211.34899999999999</c:v>
                </c:pt>
                <c:pt idx="331">
                  <c:v>200.804</c:v>
                </c:pt>
                <c:pt idx="332">
                  <c:v>202.91300000000001</c:v>
                </c:pt>
                <c:pt idx="333">
                  <c:v>202.91300000000001</c:v>
                </c:pt>
                <c:pt idx="334">
                  <c:v>197.70500000000001</c:v>
                </c:pt>
                <c:pt idx="335">
                  <c:v>198.12899999999999</c:v>
                </c:pt>
                <c:pt idx="336">
                  <c:v>202.13399999999999</c:v>
                </c:pt>
                <c:pt idx="337">
                  <c:v>206.315</c:v>
                </c:pt>
                <c:pt idx="338">
                  <c:v>204.03100000000001</c:v>
                </c:pt>
                <c:pt idx="339">
                  <c:v>204.14099999999999</c:v>
                </c:pt>
                <c:pt idx="340">
                  <c:v>220.50700000000001</c:v>
                </c:pt>
                <c:pt idx="341">
                  <c:v>239.69399999999999</c:v>
                </c:pt>
                <c:pt idx="342">
                  <c:v>240.20699999999999</c:v>
                </c:pt>
                <c:pt idx="343">
                  <c:v>239.166</c:v>
                </c:pt>
                <c:pt idx="344">
                  <c:v>237.87899999999999</c:v>
                </c:pt>
                <c:pt idx="345">
                  <c:v>236.60300000000001</c:v>
                </c:pt>
                <c:pt idx="346">
                  <c:v>239.96899999999999</c:v>
                </c:pt>
                <c:pt idx="347">
                  <c:v>235.09800000000001</c:v>
                </c:pt>
                <c:pt idx="348">
                  <c:v>235.19800000000001</c:v>
                </c:pt>
                <c:pt idx="349">
                  <c:v>236.02</c:v>
                </c:pt>
                <c:pt idx="350">
                  <c:v>229.249</c:v>
                </c:pt>
                <c:pt idx="351">
                  <c:v>218.21899999999999</c:v>
                </c:pt>
                <c:pt idx="352">
                  <c:v>214.03899999999999</c:v>
                </c:pt>
                <c:pt idx="353">
                  <c:v>216.52500000000001</c:v>
                </c:pt>
                <c:pt idx="354">
                  <c:v>208.07400000000001</c:v>
                </c:pt>
                <c:pt idx="355">
                  <c:v>200.898</c:v>
                </c:pt>
                <c:pt idx="356">
                  <c:v>195.81399999999999</c:v>
                </c:pt>
                <c:pt idx="357">
                  <c:v>196.45699999999999</c:v>
                </c:pt>
                <c:pt idx="358">
                  <c:v>190.24100000000001</c:v>
                </c:pt>
                <c:pt idx="359">
                  <c:v>179.51599999999999</c:v>
                </c:pt>
                <c:pt idx="360">
                  <c:v>166.78100000000001</c:v>
                </c:pt>
                <c:pt idx="361">
                  <c:v>160.42599999999999</c:v>
                </c:pt>
                <c:pt idx="362">
                  <c:v>155.422</c:v>
                </c:pt>
                <c:pt idx="363">
                  <c:v>154.36799999999999</c:v>
                </c:pt>
                <c:pt idx="364">
                  <c:v>154.36799999999999</c:v>
                </c:pt>
                <c:pt idx="365">
                  <c:v>146.41800000000001</c:v>
                </c:pt>
                <c:pt idx="366">
                  <c:v>143.99100000000001</c:v>
                </c:pt>
                <c:pt idx="367">
                  <c:v>143.71</c:v>
                </c:pt>
                <c:pt idx="368">
                  <c:v>142.203</c:v>
                </c:pt>
                <c:pt idx="369">
                  <c:v>142.083</c:v>
                </c:pt>
                <c:pt idx="370">
                  <c:v>139.56899999999999</c:v>
                </c:pt>
                <c:pt idx="371">
                  <c:v>126.693</c:v>
                </c:pt>
                <c:pt idx="372">
                  <c:v>117.367</c:v>
                </c:pt>
                <c:pt idx="373">
                  <c:v>109.55800000000001</c:v>
                </c:pt>
                <c:pt idx="374">
                  <c:v>104.717</c:v>
                </c:pt>
                <c:pt idx="375">
                  <c:v>109.398</c:v>
                </c:pt>
                <c:pt idx="376">
                  <c:v>113.426</c:v>
                </c:pt>
                <c:pt idx="377">
                  <c:v>123.154</c:v>
                </c:pt>
                <c:pt idx="378">
                  <c:v>128.21899999999999</c:v>
                </c:pt>
                <c:pt idx="379">
                  <c:v>136.84</c:v>
                </c:pt>
                <c:pt idx="380">
                  <c:v>132.05799999999999</c:v>
                </c:pt>
                <c:pt idx="381">
                  <c:v>131.982</c:v>
                </c:pt>
                <c:pt idx="382">
                  <c:v>132.334</c:v>
                </c:pt>
                <c:pt idx="383">
                  <c:v>131.589</c:v>
                </c:pt>
                <c:pt idx="384">
                  <c:v>132.57300000000001</c:v>
                </c:pt>
                <c:pt idx="385">
                  <c:v>130.17500000000001</c:v>
                </c:pt>
                <c:pt idx="386">
                  <c:v>130.36699999999999</c:v>
                </c:pt>
                <c:pt idx="387">
                  <c:v>138.19900000000001</c:v>
                </c:pt>
                <c:pt idx="388">
                  <c:v>137.68299999999999</c:v>
                </c:pt>
                <c:pt idx="389">
                  <c:v>140.22499999999999</c:v>
                </c:pt>
                <c:pt idx="390">
                  <c:v>143.16900000000001</c:v>
                </c:pt>
                <c:pt idx="391">
                  <c:v>140.41399999999999</c:v>
                </c:pt>
                <c:pt idx="392">
                  <c:v>137.74600000000001</c:v>
                </c:pt>
                <c:pt idx="393">
                  <c:v>137.74600000000001</c:v>
                </c:pt>
                <c:pt idx="394">
                  <c:v>135.72999999999999</c:v>
                </c:pt>
                <c:pt idx="395">
                  <c:v>136.06800000000001</c:v>
                </c:pt>
                <c:pt idx="396">
                  <c:v>136.15700000000001</c:v>
                </c:pt>
                <c:pt idx="397">
                  <c:v>134.61600000000001</c:v>
                </c:pt>
                <c:pt idx="398">
                  <c:v>135.715</c:v>
                </c:pt>
                <c:pt idx="399">
                  <c:v>132.63</c:v>
                </c:pt>
                <c:pt idx="400">
                  <c:v>133.79</c:v>
                </c:pt>
                <c:pt idx="401">
                  <c:v>132.66200000000001</c:v>
                </c:pt>
                <c:pt idx="402">
                  <c:v>131.42699999999999</c:v>
                </c:pt>
                <c:pt idx="403">
                  <c:v>131.87100000000001</c:v>
                </c:pt>
                <c:pt idx="404">
                  <c:v>130.06299999999999</c:v>
                </c:pt>
                <c:pt idx="405">
                  <c:v>128.79400000000001</c:v>
                </c:pt>
                <c:pt idx="406">
                  <c:v>130.04300000000001</c:v>
                </c:pt>
                <c:pt idx="407">
                  <c:v>129.10900000000001</c:v>
                </c:pt>
                <c:pt idx="408">
                  <c:v>129.54599999999999</c:v>
                </c:pt>
                <c:pt idx="409">
                  <c:v>130.80099999999999</c:v>
                </c:pt>
                <c:pt idx="410">
                  <c:v>127.736</c:v>
                </c:pt>
                <c:pt idx="411">
                  <c:v>127.53400000000001</c:v>
                </c:pt>
                <c:pt idx="412">
                  <c:v>127.92700000000001</c:v>
                </c:pt>
                <c:pt idx="413">
                  <c:v>128.88900000000001</c:v>
                </c:pt>
                <c:pt idx="414">
                  <c:v>124.795</c:v>
                </c:pt>
                <c:pt idx="415">
                  <c:v>121.274</c:v>
                </c:pt>
                <c:pt idx="416">
                  <c:v>112.955</c:v>
                </c:pt>
                <c:pt idx="417">
                  <c:v>105.84399999999999</c:v>
                </c:pt>
                <c:pt idx="418">
                  <c:v>99.481999999999999</c:v>
                </c:pt>
                <c:pt idx="419">
                  <c:v>94.936000000000007</c:v>
                </c:pt>
                <c:pt idx="420">
                  <c:v>87.843999999999994</c:v>
                </c:pt>
                <c:pt idx="421">
                  <c:v>86.093000000000004</c:v>
                </c:pt>
                <c:pt idx="422">
                  <c:v>87.323999999999998</c:v>
                </c:pt>
                <c:pt idx="423">
                  <c:v>88.262</c:v>
                </c:pt>
                <c:pt idx="424">
                  <c:v>89.828999999999994</c:v>
                </c:pt>
                <c:pt idx="425">
                  <c:v>97.221999999999994</c:v>
                </c:pt>
                <c:pt idx="426">
                  <c:v>100.393</c:v>
                </c:pt>
                <c:pt idx="427">
                  <c:v>102.435</c:v>
                </c:pt>
                <c:pt idx="428">
                  <c:v>108.33799999999999</c:v>
                </c:pt>
                <c:pt idx="429">
                  <c:v>109.828</c:v>
                </c:pt>
                <c:pt idx="430">
                  <c:v>107.05500000000001</c:v>
                </c:pt>
                <c:pt idx="431">
                  <c:v>106.378</c:v>
                </c:pt>
                <c:pt idx="432">
                  <c:v>109.06100000000001</c:v>
                </c:pt>
                <c:pt idx="433">
                  <c:v>108.462</c:v>
                </c:pt>
                <c:pt idx="434">
                  <c:v>107.84099999999999</c:v>
                </c:pt>
                <c:pt idx="435">
                  <c:v>108.248</c:v>
                </c:pt>
                <c:pt idx="436">
                  <c:v>103.581</c:v>
                </c:pt>
                <c:pt idx="437">
                  <c:v>102.018</c:v>
                </c:pt>
                <c:pt idx="438">
                  <c:v>104.887</c:v>
                </c:pt>
                <c:pt idx="439">
                  <c:v>104.887</c:v>
                </c:pt>
                <c:pt idx="440">
                  <c:v>107.74299999999999</c:v>
                </c:pt>
                <c:pt idx="441">
                  <c:v>111.872</c:v>
                </c:pt>
                <c:pt idx="442">
                  <c:v>111.342</c:v>
                </c:pt>
                <c:pt idx="443">
                  <c:v>111.148</c:v>
                </c:pt>
                <c:pt idx="444">
                  <c:v>114.148</c:v>
                </c:pt>
                <c:pt idx="445">
                  <c:v>114.52</c:v>
                </c:pt>
                <c:pt idx="446">
                  <c:v>112.648</c:v>
                </c:pt>
                <c:pt idx="447">
                  <c:v>114.01600000000001</c:v>
                </c:pt>
                <c:pt idx="448">
                  <c:v>114.342</c:v>
                </c:pt>
                <c:pt idx="449">
                  <c:v>117.898</c:v>
                </c:pt>
                <c:pt idx="450">
                  <c:v>122.917</c:v>
                </c:pt>
                <c:pt idx="451">
                  <c:v>124.166</c:v>
                </c:pt>
                <c:pt idx="452">
                  <c:v>129.93199999999999</c:v>
                </c:pt>
                <c:pt idx="453">
                  <c:v>131.83000000000001</c:v>
                </c:pt>
                <c:pt idx="454">
                  <c:v>132.297</c:v>
                </c:pt>
                <c:pt idx="455">
                  <c:v>134.72300000000001</c:v>
                </c:pt>
                <c:pt idx="456">
                  <c:v>134.375</c:v>
                </c:pt>
                <c:pt idx="457">
                  <c:v>130.66200000000001</c:v>
                </c:pt>
                <c:pt idx="458">
                  <c:v>131.54499999999999</c:v>
                </c:pt>
                <c:pt idx="459">
                  <c:v>128.89400000000001</c:v>
                </c:pt>
                <c:pt idx="460">
                  <c:v>125.83799999999999</c:v>
                </c:pt>
                <c:pt idx="461">
                  <c:v>121.32599999999999</c:v>
                </c:pt>
                <c:pt idx="462">
                  <c:v>118.604</c:v>
                </c:pt>
                <c:pt idx="463">
                  <c:v>118.38</c:v>
                </c:pt>
                <c:pt idx="464">
                  <c:v>118.38</c:v>
                </c:pt>
                <c:pt idx="465">
                  <c:v>116.65300000000001</c:v>
                </c:pt>
                <c:pt idx="466">
                  <c:v>119.134</c:v>
                </c:pt>
                <c:pt idx="467">
                  <c:v>120.236</c:v>
                </c:pt>
                <c:pt idx="468">
                  <c:v>117.883</c:v>
                </c:pt>
                <c:pt idx="469">
                  <c:v>114.654</c:v>
                </c:pt>
                <c:pt idx="470">
                  <c:v>114.10899999999999</c:v>
                </c:pt>
                <c:pt idx="471">
                  <c:v>112.684</c:v>
                </c:pt>
                <c:pt idx="472">
                  <c:v>112.685</c:v>
                </c:pt>
                <c:pt idx="473">
                  <c:v>111.125</c:v>
                </c:pt>
                <c:pt idx="474">
                  <c:v>114.446</c:v>
                </c:pt>
                <c:pt idx="475">
                  <c:v>116.21</c:v>
                </c:pt>
                <c:pt idx="476">
                  <c:v>118.61</c:v>
                </c:pt>
                <c:pt idx="477">
                  <c:v>115.642</c:v>
                </c:pt>
                <c:pt idx="478">
                  <c:v>113.09</c:v>
                </c:pt>
                <c:pt idx="479">
                  <c:v>111.57299999999999</c:v>
                </c:pt>
                <c:pt idx="480">
                  <c:v>109.11799999999999</c:v>
                </c:pt>
                <c:pt idx="481">
                  <c:v>109.351</c:v>
                </c:pt>
                <c:pt idx="482">
                  <c:v>104.41500000000001</c:v>
                </c:pt>
                <c:pt idx="483">
                  <c:v>98.548000000000002</c:v>
                </c:pt>
                <c:pt idx="484">
                  <c:v>96.578000000000003</c:v>
                </c:pt>
                <c:pt idx="485">
                  <c:v>88.146000000000001</c:v>
                </c:pt>
                <c:pt idx="486">
                  <c:v>88.146000000000001</c:v>
                </c:pt>
                <c:pt idx="487">
                  <c:v>87.149000000000001</c:v>
                </c:pt>
                <c:pt idx="488">
                  <c:v>88.054000000000002</c:v>
                </c:pt>
                <c:pt idx="489">
                  <c:v>88.754999999999995</c:v>
                </c:pt>
                <c:pt idx="490">
                  <c:v>84.4</c:v>
                </c:pt>
                <c:pt idx="491">
                  <c:v>84.921999999999997</c:v>
                </c:pt>
                <c:pt idx="492">
                  <c:v>82.188999999999993</c:v>
                </c:pt>
                <c:pt idx="493">
                  <c:v>80.911000000000001</c:v>
                </c:pt>
                <c:pt idx="494">
                  <c:v>79.727000000000004</c:v>
                </c:pt>
                <c:pt idx="495">
                  <c:v>77.521000000000001</c:v>
                </c:pt>
                <c:pt idx="496">
                  <c:v>74.38</c:v>
                </c:pt>
                <c:pt idx="497">
                  <c:v>74.38</c:v>
                </c:pt>
                <c:pt idx="498">
                  <c:v>73.734999999999999</c:v>
                </c:pt>
                <c:pt idx="499">
                  <c:v>73.917000000000002</c:v>
                </c:pt>
                <c:pt idx="500">
                  <c:v>74.662000000000006</c:v>
                </c:pt>
                <c:pt idx="501">
                  <c:v>72.19</c:v>
                </c:pt>
                <c:pt idx="502">
                  <c:v>71.730999999999995</c:v>
                </c:pt>
                <c:pt idx="503">
                  <c:v>68.771000000000001</c:v>
                </c:pt>
                <c:pt idx="504">
                  <c:v>67.897999999999996</c:v>
                </c:pt>
                <c:pt idx="505">
                  <c:v>69.400000000000006</c:v>
                </c:pt>
                <c:pt idx="506">
                  <c:v>67.522000000000006</c:v>
                </c:pt>
                <c:pt idx="507">
                  <c:v>66.903000000000006</c:v>
                </c:pt>
                <c:pt idx="508">
                  <c:v>69.477000000000004</c:v>
                </c:pt>
                <c:pt idx="509">
                  <c:v>69.521000000000001</c:v>
                </c:pt>
                <c:pt idx="510">
                  <c:v>69.436999999999998</c:v>
                </c:pt>
                <c:pt idx="511">
                  <c:v>67.912000000000006</c:v>
                </c:pt>
                <c:pt idx="512">
                  <c:v>65.847999999999999</c:v>
                </c:pt>
                <c:pt idx="513">
                  <c:v>61.572000000000003</c:v>
                </c:pt>
                <c:pt idx="514">
                  <c:v>64.087000000000003</c:v>
                </c:pt>
                <c:pt idx="515">
                  <c:v>62.383000000000003</c:v>
                </c:pt>
                <c:pt idx="516">
                  <c:v>60.668999999999997</c:v>
                </c:pt>
                <c:pt idx="517">
                  <c:v>58.536000000000001</c:v>
                </c:pt>
                <c:pt idx="518">
                  <c:v>58.536000000000001</c:v>
                </c:pt>
                <c:pt idx="519">
                  <c:v>58.978000000000002</c:v>
                </c:pt>
                <c:pt idx="520">
                  <c:v>58.753</c:v>
                </c:pt>
                <c:pt idx="521">
                  <c:v>56.701999999999998</c:v>
                </c:pt>
                <c:pt idx="522">
                  <c:v>57.195999999999998</c:v>
                </c:pt>
                <c:pt idx="523">
                  <c:v>57.195999999999998</c:v>
                </c:pt>
                <c:pt idx="524">
                  <c:v>57.198999999999998</c:v>
                </c:pt>
                <c:pt idx="525">
                  <c:v>55.292999999999999</c:v>
                </c:pt>
                <c:pt idx="526">
                  <c:v>52.533000000000001</c:v>
                </c:pt>
                <c:pt idx="527">
                  <c:v>53.02</c:v>
                </c:pt>
                <c:pt idx="528">
                  <c:v>50.054000000000002</c:v>
                </c:pt>
                <c:pt idx="529">
                  <c:v>49.066000000000003</c:v>
                </c:pt>
                <c:pt idx="530">
                  <c:v>46.808999999999997</c:v>
                </c:pt>
                <c:pt idx="531">
                  <c:v>47.017000000000003</c:v>
                </c:pt>
                <c:pt idx="532">
                  <c:v>47.933</c:v>
                </c:pt>
                <c:pt idx="533">
                  <c:v>48.155999999999999</c:v>
                </c:pt>
                <c:pt idx="534">
                  <c:v>48.155999999999999</c:v>
                </c:pt>
                <c:pt idx="535">
                  <c:v>48.978000000000002</c:v>
                </c:pt>
                <c:pt idx="536">
                  <c:v>49.531999999999996</c:v>
                </c:pt>
                <c:pt idx="537">
                  <c:v>48.883000000000003</c:v>
                </c:pt>
                <c:pt idx="538">
                  <c:v>49.41</c:v>
                </c:pt>
                <c:pt idx="539">
                  <c:v>49.908999999999999</c:v>
                </c:pt>
                <c:pt idx="540">
                  <c:v>50.834000000000003</c:v>
                </c:pt>
                <c:pt idx="541">
                  <c:v>49.695999999999998</c:v>
                </c:pt>
                <c:pt idx="542">
                  <c:v>50.076000000000001</c:v>
                </c:pt>
                <c:pt idx="543">
                  <c:v>47.902999999999999</c:v>
                </c:pt>
                <c:pt idx="544">
                  <c:v>46.991999999999997</c:v>
                </c:pt>
                <c:pt idx="545">
                  <c:v>45.712000000000003</c:v>
                </c:pt>
                <c:pt idx="546">
                  <c:v>43.91</c:v>
                </c:pt>
                <c:pt idx="547">
                  <c:v>42.734999999999999</c:v>
                </c:pt>
                <c:pt idx="548">
                  <c:v>41.9</c:v>
                </c:pt>
                <c:pt idx="549">
                  <c:v>40.58</c:v>
                </c:pt>
                <c:pt idx="550">
                  <c:v>42.098999999999997</c:v>
                </c:pt>
                <c:pt idx="551">
                  <c:v>41.384</c:v>
                </c:pt>
                <c:pt idx="552">
                  <c:v>42.722999999999999</c:v>
                </c:pt>
                <c:pt idx="553">
                  <c:v>41.524000000000001</c:v>
                </c:pt>
                <c:pt idx="554">
                  <c:v>41.524000000000001</c:v>
                </c:pt>
                <c:pt idx="555">
                  <c:v>38.713000000000001</c:v>
                </c:pt>
                <c:pt idx="556">
                  <c:v>39.610999999999997</c:v>
                </c:pt>
                <c:pt idx="557">
                  <c:v>41.718000000000004</c:v>
                </c:pt>
                <c:pt idx="558">
                  <c:v>40.942999999999998</c:v>
                </c:pt>
                <c:pt idx="559">
                  <c:v>40.549999999999997</c:v>
                </c:pt>
                <c:pt idx="560">
                  <c:v>42.756999999999998</c:v>
                </c:pt>
                <c:pt idx="561">
                  <c:v>42.895000000000003</c:v>
                </c:pt>
                <c:pt idx="562">
                  <c:v>39.167000000000002</c:v>
                </c:pt>
                <c:pt idx="563">
                  <c:v>38.064</c:v>
                </c:pt>
                <c:pt idx="564">
                  <c:v>42.658999999999999</c:v>
                </c:pt>
                <c:pt idx="565">
                  <c:v>43.161000000000001</c:v>
                </c:pt>
                <c:pt idx="566">
                  <c:v>43.213000000000001</c:v>
                </c:pt>
                <c:pt idx="567">
                  <c:v>42.975999999999999</c:v>
                </c:pt>
                <c:pt idx="568">
                  <c:v>44.689</c:v>
                </c:pt>
                <c:pt idx="569">
                  <c:v>44.98</c:v>
                </c:pt>
                <c:pt idx="570">
                  <c:v>50.921999999999997</c:v>
                </c:pt>
                <c:pt idx="571">
                  <c:v>48.28</c:v>
                </c:pt>
                <c:pt idx="572">
                  <c:v>50.273000000000003</c:v>
                </c:pt>
                <c:pt idx="573">
                  <c:v>45.24</c:v>
                </c:pt>
                <c:pt idx="574">
                  <c:v>45.478999999999999</c:v>
                </c:pt>
                <c:pt idx="575">
                  <c:v>45.570999999999998</c:v>
                </c:pt>
                <c:pt idx="576">
                  <c:v>43.823999999999998</c:v>
                </c:pt>
                <c:pt idx="577">
                  <c:v>44.732999999999997</c:v>
                </c:pt>
                <c:pt idx="578">
                  <c:v>44.594999999999999</c:v>
                </c:pt>
                <c:pt idx="579">
                  <c:v>43.363999999999997</c:v>
                </c:pt>
                <c:pt idx="580">
                  <c:v>43.976999999999997</c:v>
                </c:pt>
                <c:pt idx="581">
                  <c:v>43.68</c:v>
                </c:pt>
                <c:pt idx="582">
                  <c:v>42.332999999999998</c:v>
                </c:pt>
                <c:pt idx="583">
                  <c:v>39.875</c:v>
                </c:pt>
                <c:pt idx="584">
                  <c:v>40.417000000000002</c:v>
                </c:pt>
                <c:pt idx="585">
                  <c:v>35.654000000000003</c:v>
                </c:pt>
                <c:pt idx="586">
                  <c:v>35.594999999999999</c:v>
                </c:pt>
                <c:pt idx="587">
                  <c:v>32.609000000000002</c:v>
                </c:pt>
                <c:pt idx="588">
                  <c:v>33.381</c:v>
                </c:pt>
                <c:pt idx="589">
                  <c:v>27.370999999999999</c:v>
                </c:pt>
                <c:pt idx="590">
                  <c:v>29.170999999999999</c:v>
                </c:pt>
                <c:pt idx="591">
                  <c:v>33.545999999999999</c:v>
                </c:pt>
                <c:pt idx="592">
                  <c:v>33.334000000000003</c:v>
                </c:pt>
                <c:pt idx="593">
                  <c:v>30.911000000000001</c:v>
                </c:pt>
                <c:pt idx="594">
                  <c:v>31.454999999999998</c:v>
                </c:pt>
                <c:pt idx="595">
                  <c:v>31.166</c:v>
                </c:pt>
                <c:pt idx="596">
                  <c:v>32.314999999999998</c:v>
                </c:pt>
                <c:pt idx="597">
                  <c:v>32.652000000000001</c:v>
                </c:pt>
                <c:pt idx="598">
                  <c:v>32.219000000000001</c:v>
                </c:pt>
                <c:pt idx="599">
                  <c:v>32.478999999999999</c:v>
                </c:pt>
                <c:pt idx="600">
                  <c:v>33.476999999999997</c:v>
                </c:pt>
                <c:pt idx="601">
                  <c:v>33.930999999999997</c:v>
                </c:pt>
                <c:pt idx="602">
                  <c:v>33.11</c:v>
                </c:pt>
                <c:pt idx="603">
                  <c:v>32.451999999999998</c:v>
                </c:pt>
                <c:pt idx="604">
                  <c:v>29.343</c:v>
                </c:pt>
                <c:pt idx="605">
                  <c:v>28.963999999999999</c:v>
                </c:pt>
                <c:pt idx="606">
                  <c:v>26.401</c:v>
                </c:pt>
                <c:pt idx="607">
                  <c:v>26.02</c:v>
                </c:pt>
                <c:pt idx="608">
                  <c:v>28.013999999999999</c:v>
                </c:pt>
                <c:pt idx="609">
                  <c:v>26.853000000000002</c:v>
                </c:pt>
                <c:pt idx="610">
                  <c:v>29.091999999999999</c:v>
                </c:pt>
                <c:pt idx="611">
                  <c:v>28.963999999999999</c:v>
                </c:pt>
                <c:pt idx="612">
                  <c:v>29.317</c:v>
                </c:pt>
                <c:pt idx="613">
                  <c:v>27.242000000000001</c:v>
                </c:pt>
                <c:pt idx="614">
                  <c:v>30.472000000000001</c:v>
                </c:pt>
                <c:pt idx="615">
                  <c:v>29.855</c:v>
                </c:pt>
                <c:pt idx="616">
                  <c:v>30.245000000000001</c:v>
                </c:pt>
                <c:pt idx="617">
                  <c:v>29.056999999999999</c:v>
                </c:pt>
                <c:pt idx="618">
                  <c:v>32.417000000000002</c:v>
                </c:pt>
                <c:pt idx="619">
                  <c:v>29.914000000000001</c:v>
                </c:pt>
                <c:pt idx="620">
                  <c:v>31.753</c:v>
                </c:pt>
                <c:pt idx="621">
                  <c:v>32.433999999999997</c:v>
                </c:pt>
                <c:pt idx="622">
                  <c:v>31.692</c:v>
                </c:pt>
                <c:pt idx="623">
                  <c:v>31.692</c:v>
                </c:pt>
              </c:numCache>
            </c:numRef>
          </c:val>
          <c:smooth val="0"/>
          <c:extLst>
            <c:ext xmlns:c16="http://schemas.microsoft.com/office/drawing/2014/chart" uri="{C3380CC4-5D6E-409C-BE32-E72D297353CC}">
              <c16:uniqueId val="{00000006-4EEE-436B-AFC1-C498D6096249}"/>
            </c:ext>
          </c:extLst>
        </c:ser>
        <c:ser>
          <c:idx val="7"/>
          <c:order val="7"/>
          <c:tx>
            <c:strRef>
              <c:f>Sheet1!$I$1</c:f>
              <c:strCache>
                <c:ptCount val="1"/>
                <c:pt idx="0">
                  <c:v>Ուկրաինա ( 2025 թ.)</c:v>
                </c:pt>
              </c:strCache>
            </c:strRef>
          </c:tx>
          <c:spPr>
            <a:ln w="28575" cap="rnd">
              <a:solidFill>
                <a:schemeClr val="accent4">
                  <a:lumMod val="75000"/>
                </a:schemeClr>
              </a:solidFill>
              <a:round/>
            </a:ln>
            <a:effectLst/>
          </c:spPr>
          <c:marker>
            <c:symbol val="none"/>
          </c:marker>
          <c:cat>
            <c:numRef>
              <c:f>Sheet1!$A$2:$A$625</c:f>
              <c:numCache>
                <c:formatCode>m\/d\/yyyy</c:formatCode>
                <c:ptCount val="624"/>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numCache>
            </c:numRef>
          </c:cat>
          <c:val>
            <c:numRef>
              <c:f>Sheet1!$I$2:$I$625</c:f>
              <c:numCache>
                <c:formatCode>0</c:formatCode>
                <c:ptCount val="624"/>
                <c:pt idx="0">
                  <c:v>779.18299999999999</c:v>
                </c:pt>
                <c:pt idx="1">
                  <c:v>799.90899999999999</c:v>
                </c:pt>
                <c:pt idx="2">
                  <c:v>833.84299999999996</c:v>
                </c:pt>
                <c:pt idx="3">
                  <c:v>806.15800000000002</c:v>
                </c:pt>
                <c:pt idx="4">
                  <c:v>780.59</c:v>
                </c:pt>
                <c:pt idx="5">
                  <c:v>779.87900000000002</c:v>
                </c:pt>
                <c:pt idx="6">
                  <c:v>767.00699999999995</c:v>
                </c:pt>
                <c:pt idx="7">
                  <c:v>766.72299999999996</c:v>
                </c:pt>
                <c:pt idx="8">
                  <c:v>756.08799999999997</c:v>
                </c:pt>
                <c:pt idx="9">
                  <c:v>751.15499999999997</c:v>
                </c:pt>
                <c:pt idx="10">
                  <c:v>725.64300000000003</c:v>
                </c:pt>
                <c:pt idx="11">
                  <c:v>705.30200000000002</c:v>
                </c:pt>
                <c:pt idx="12">
                  <c:v>706.76599999999996</c:v>
                </c:pt>
                <c:pt idx="13">
                  <c:v>665.61800000000005</c:v>
                </c:pt>
                <c:pt idx="14">
                  <c:v>665.71400000000006</c:v>
                </c:pt>
                <c:pt idx="15">
                  <c:v>684.59799999999996</c:v>
                </c:pt>
                <c:pt idx="16">
                  <c:v>672.26800000000003</c:v>
                </c:pt>
                <c:pt idx="17">
                  <c:v>660.89700000000005</c:v>
                </c:pt>
                <c:pt idx="18">
                  <c:v>665.495</c:v>
                </c:pt>
                <c:pt idx="19">
                  <c:v>681.86699999999996</c:v>
                </c:pt>
                <c:pt idx="20">
                  <c:v>689.65599999999995</c:v>
                </c:pt>
                <c:pt idx="21">
                  <c:v>694.99800000000005</c:v>
                </c:pt>
                <c:pt idx="22">
                  <c:v>675.83799999999997</c:v>
                </c:pt>
                <c:pt idx="23">
                  <c:v>673.96400000000006</c:v>
                </c:pt>
                <c:pt idx="24">
                  <c:v>681.68799999999999</c:v>
                </c:pt>
                <c:pt idx="25">
                  <c:v>673.19500000000005</c:v>
                </c:pt>
                <c:pt idx="26">
                  <c:v>683.36800000000005</c:v>
                </c:pt>
                <c:pt idx="27">
                  <c:v>701.97199999999998</c:v>
                </c:pt>
                <c:pt idx="28">
                  <c:v>725.88199999999995</c:v>
                </c:pt>
                <c:pt idx="29">
                  <c:v>740.20299999999997</c:v>
                </c:pt>
                <c:pt idx="30">
                  <c:v>751.05499999999995</c:v>
                </c:pt>
                <c:pt idx="31">
                  <c:v>745.76099999999997</c:v>
                </c:pt>
                <c:pt idx="32">
                  <c:v>753.57600000000002</c:v>
                </c:pt>
                <c:pt idx="33">
                  <c:v>727.78200000000004</c:v>
                </c:pt>
                <c:pt idx="34">
                  <c:v>722.66</c:v>
                </c:pt>
                <c:pt idx="35">
                  <c:v>707.40899999999999</c:v>
                </c:pt>
                <c:pt idx="36">
                  <c:v>695.31100000000004</c:v>
                </c:pt>
                <c:pt idx="37">
                  <c:v>687.21699999999998</c:v>
                </c:pt>
                <c:pt idx="38">
                  <c:v>653.38699999999994</c:v>
                </c:pt>
                <c:pt idx="39">
                  <c:v>641.928</c:v>
                </c:pt>
                <c:pt idx="40">
                  <c:v>647.66</c:v>
                </c:pt>
                <c:pt idx="41">
                  <c:v>647.53700000000003</c:v>
                </c:pt>
                <c:pt idx="42">
                  <c:v>650.35900000000004</c:v>
                </c:pt>
                <c:pt idx="43">
                  <c:v>649.03599999999994</c:v>
                </c:pt>
                <c:pt idx="44">
                  <c:v>655.97799999999995</c:v>
                </c:pt>
                <c:pt idx="45">
                  <c:v>660.94399999999996</c:v>
                </c:pt>
                <c:pt idx="46">
                  <c:v>665.71199999999999</c:v>
                </c:pt>
                <c:pt idx="47">
                  <c:v>673.81100000000004</c:v>
                </c:pt>
                <c:pt idx="48">
                  <c:v>680.28300000000002</c:v>
                </c:pt>
                <c:pt idx="49">
                  <c:v>655.35299999999995</c:v>
                </c:pt>
                <c:pt idx="50">
                  <c:v>654.30999999999995</c:v>
                </c:pt>
                <c:pt idx="51">
                  <c:v>658.42600000000004</c:v>
                </c:pt>
                <c:pt idx="52">
                  <c:v>651.678</c:v>
                </c:pt>
                <c:pt idx="53">
                  <c:v>635.60699999999997</c:v>
                </c:pt>
                <c:pt idx="54">
                  <c:v>626.37099999999998</c:v>
                </c:pt>
                <c:pt idx="55">
                  <c:v>623.428</c:v>
                </c:pt>
                <c:pt idx="56">
                  <c:v>631.37599999999998</c:v>
                </c:pt>
                <c:pt idx="57">
                  <c:v>620.25099999999998</c:v>
                </c:pt>
                <c:pt idx="58">
                  <c:v>630.452</c:v>
                </c:pt>
                <c:pt idx="59">
                  <c:v>642.24300000000005</c:v>
                </c:pt>
                <c:pt idx="60">
                  <c:v>634.66499999999996</c:v>
                </c:pt>
                <c:pt idx="61">
                  <c:v>644.47500000000002</c:v>
                </c:pt>
                <c:pt idx="62">
                  <c:v>647.23199999999997</c:v>
                </c:pt>
                <c:pt idx="63">
                  <c:v>637.54200000000003</c:v>
                </c:pt>
                <c:pt idx="64">
                  <c:v>615.221</c:v>
                </c:pt>
                <c:pt idx="65">
                  <c:v>608.35599999999999</c:v>
                </c:pt>
                <c:pt idx="66">
                  <c:v>600.32000000000005</c:v>
                </c:pt>
                <c:pt idx="67">
                  <c:v>599.54200000000003</c:v>
                </c:pt>
                <c:pt idx="68">
                  <c:v>595.202</c:v>
                </c:pt>
                <c:pt idx="69">
                  <c:v>589.12800000000004</c:v>
                </c:pt>
                <c:pt idx="70">
                  <c:v>576.14800000000002</c:v>
                </c:pt>
                <c:pt idx="71">
                  <c:v>586.97500000000002</c:v>
                </c:pt>
                <c:pt idx="72">
                  <c:v>595.24099999999999</c:v>
                </c:pt>
                <c:pt idx="73">
                  <c:v>589.70000000000005</c:v>
                </c:pt>
                <c:pt idx="74">
                  <c:v>586.99699999999996</c:v>
                </c:pt>
                <c:pt idx="75">
                  <c:v>574.38</c:v>
                </c:pt>
                <c:pt idx="76">
                  <c:v>570.01199999999994</c:v>
                </c:pt>
                <c:pt idx="77">
                  <c:v>596.02</c:v>
                </c:pt>
                <c:pt idx="78">
                  <c:v>596.02</c:v>
                </c:pt>
                <c:pt idx="79">
                  <c:v>596.02</c:v>
                </c:pt>
                <c:pt idx="80">
                  <c:v>608.98</c:v>
                </c:pt>
                <c:pt idx="81">
                  <c:v>627.93799999999999</c:v>
                </c:pt>
                <c:pt idx="82">
                  <c:v>656.17200000000003</c:v>
                </c:pt>
                <c:pt idx="83">
                  <c:v>655.05399999999997</c:v>
                </c:pt>
                <c:pt idx="84">
                  <c:v>660.12800000000004</c:v>
                </c:pt>
                <c:pt idx="85">
                  <c:v>650.43799999999999</c:v>
                </c:pt>
                <c:pt idx="86">
                  <c:v>650.43799999999999</c:v>
                </c:pt>
                <c:pt idx="87">
                  <c:v>639.06200000000001</c:v>
                </c:pt>
                <c:pt idx="88">
                  <c:v>632.279</c:v>
                </c:pt>
                <c:pt idx="89">
                  <c:v>632.279</c:v>
                </c:pt>
                <c:pt idx="90">
                  <c:v>652.404</c:v>
                </c:pt>
                <c:pt idx="91">
                  <c:v>659.58399999999995</c:v>
                </c:pt>
                <c:pt idx="92">
                  <c:v>667.31399999999996</c:v>
                </c:pt>
                <c:pt idx="93">
                  <c:v>663.09699999999998</c:v>
                </c:pt>
                <c:pt idx="94">
                  <c:v>678.88199999999995</c:v>
                </c:pt>
                <c:pt idx="95">
                  <c:v>672.94299999999998</c:v>
                </c:pt>
                <c:pt idx="96">
                  <c:v>666.64700000000005</c:v>
                </c:pt>
                <c:pt idx="97">
                  <c:v>650.92999999999995</c:v>
                </c:pt>
                <c:pt idx="98">
                  <c:v>660.28499999999997</c:v>
                </c:pt>
                <c:pt idx="99">
                  <c:v>651.13199999999995</c:v>
                </c:pt>
                <c:pt idx="100">
                  <c:v>641.077</c:v>
                </c:pt>
                <c:pt idx="101">
                  <c:v>655.303</c:v>
                </c:pt>
                <c:pt idx="102">
                  <c:v>675.93799999999999</c:v>
                </c:pt>
                <c:pt idx="103">
                  <c:v>670.27700000000004</c:v>
                </c:pt>
                <c:pt idx="104">
                  <c:v>670.27700000000004</c:v>
                </c:pt>
                <c:pt idx="105">
                  <c:v>679.98400000000004</c:v>
                </c:pt>
                <c:pt idx="106">
                  <c:v>684.88900000000001</c:v>
                </c:pt>
                <c:pt idx="107">
                  <c:v>660.77200000000005</c:v>
                </c:pt>
                <c:pt idx="108">
                  <c:v>674.54100000000005</c:v>
                </c:pt>
                <c:pt idx="109">
                  <c:v>682.63199999999995</c:v>
                </c:pt>
                <c:pt idx="110">
                  <c:v>670.15800000000002</c:v>
                </c:pt>
                <c:pt idx="111">
                  <c:v>649.28899999999999</c:v>
                </c:pt>
                <c:pt idx="112">
                  <c:v>629.60500000000002</c:v>
                </c:pt>
                <c:pt idx="113">
                  <c:v>605.07299999999998</c:v>
                </c:pt>
                <c:pt idx="114">
                  <c:v>587.476</c:v>
                </c:pt>
                <c:pt idx="115">
                  <c:v>586.71199999999999</c:v>
                </c:pt>
                <c:pt idx="116">
                  <c:v>597.50099999999998</c:v>
                </c:pt>
                <c:pt idx="117">
                  <c:v>603.18100000000004</c:v>
                </c:pt>
                <c:pt idx="118">
                  <c:v>582.43499999999995</c:v>
                </c:pt>
                <c:pt idx="119">
                  <c:v>586.55100000000004</c:v>
                </c:pt>
                <c:pt idx="120">
                  <c:v>575.95299999999997</c:v>
                </c:pt>
                <c:pt idx="121">
                  <c:v>558.14499999999998</c:v>
                </c:pt>
                <c:pt idx="122">
                  <c:v>544.85599999999999</c:v>
                </c:pt>
                <c:pt idx="123">
                  <c:v>536.447</c:v>
                </c:pt>
                <c:pt idx="124">
                  <c:v>536.95500000000004</c:v>
                </c:pt>
                <c:pt idx="125">
                  <c:v>551.60799999999995</c:v>
                </c:pt>
                <c:pt idx="126">
                  <c:v>536.54899999999998</c:v>
                </c:pt>
                <c:pt idx="127">
                  <c:v>524.06200000000001</c:v>
                </c:pt>
                <c:pt idx="128">
                  <c:v>517.63</c:v>
                </c:pt>
                <c:pt idx="129">
                  <c:v>510.72399999999999</c:v>
                </c:pt>
                <c:pt idx="130">
                  <c:v>526.89400000000001</c:v>
                </c:pt>
                <c:pt idx="131">
                  <c:v>524.875</c:v>
                </c:pt>
                <c:pt idx="132">
                  <c:v>525.16899999999998</c:v>
                </c:pt>
                <c:pt idx="133">
                  <c:v>523.39300000000003</c:v>
                </c:pt>
                <c:pt idx="134">
                  <c:v>536.29399999999998</c:v>
                </c:pt>
                <c:pt idx="135">
                  <c:v>548.59799999999996</c:v>
                </c:pt>
                <c:pt idx="136">
                  <c:v>549.31899999999996</c:v>
                </c:pt>
                <c:pt idx="137">
                  <c:v>531.90200000000004</c:v>
                </c:pt>
                <c:pt idx="138">
                  <c:v>531.89200000000005</c:v>
                </c:pt>
                <c:pt idx="139">
                  <c:v>527.48299999999995</c:v>
                </c:pt>
                <c:pt idx="140">
                  <c:v>517.64800000000002</c:v>
                </c:pt>
                <c:pt idx="141">
                  <c:v>514.35400000000004</c:v>
                </c:pt>
                <c:pt idx="142">
                  <c:v>509.63</c:v>
                </c:pt>
                <c:pt idx="143">
                  <c:v>498.83100000000002</c:v>
                </c:pt>
                <c:pt idx="144">
                  <c:v>469.69900000000001</c:v>
                </c:pt>
                <c:pt idx="145">
                  <c:v>449.642</c:v>
                </c:pt>
                <c:pt idx="146">
                  <c:v>454.36599999999999</c:v>
                </c:pt>
                <c:pt idx="147">
                  <c:v>454.178</c:v>
                </c:pt>
                <c:pt idx="148">
                  <c:v>477.589</c:v>
                </c:pt>
                <c:pt idx="149">
                  <c:v>504.04599999999999</c:v>
                </c:pt>
                <c:pt idx="150">
                  <c:v>477.79300000000001</c:v>
                </c:pt>
                <c:pt idx="151">
                  <c:v>471.93400000000003</c:v>
                </c:pt>
                <c:pt idx="152">
                  <c:v>483.01600000000002</c:v>
                </c:pt>
                <c:pt idx="153">
                  <c:v>502.83800000000002</c:v>
                </c:pt>
                <c:pt idx="154">
                  <c:v>544.61</c:v>
                </c:pt>
                <c:pt idx="155">
                  <c:v>535.73</c:v>
                </c:pt>
                <c:pt idx="156">
                  <c:v>542.96799999999996</c:v>
                </c:pt>
                <c:pt idx="157">
                  <c:v>527.16099999999994</c:v>
                </c:pt>
                <c:pt idx="158">
                  <c:v>517.28599999999994</c:v>
                </c:pt>
                <c:pt idx="159">
                  <c:v>550.95799999999997</c:v>
                </c:pt>
                <c:pt idx="160">
                  <c:v>551.89</c:v>
                </c:pt>
                <c:pt idx="161">
                  <c:v>577.02</c:v>
                </c:pt>
                <c:pt idx="162">
                  <c:v>597.76900000000001</c:v>
                </c:pt>
                <c:pt idx="163">
                  <c:v>577.39</c:v>
                </c:pt>
                <c:pt idx="164">
                  <c:v>553.49400000000003</c:v>
                </c:pt>
                <c:pt idx="165">
                  <c:v>552.68399999999997</c:v>
                </c:pt>
                <c:pt idx="166">
                  <c:v>556.06100000000004</c:v>
                </c:pt>
                <c:pt idx="167">
                  <c:v>556.06100000000004</c:v>
                </c:pt>
                <c:pt idx="168">
                  <c:v>538.69000000000005</c:v>
                </c:pt>
                <c:pt idx="169">
                  <c:v>538.69000000000005</c:v>
                </c:pt>
                <c:pt idx="170">
                  <c:v>549.10799999999995</c:v>
                </c:pt>
                <c:pt idx="171">
                  <c:v>546.25400000000002</c:v>
                </c:pt>
                <c:pt idx="172">
                  <c:v>539.59100000000001</c:v>
                </c:pt>
                <c:pt idx="173">
                  <c:v>530.14400000000001</c:v>
                </c:pt>
                <c:pt idx="174">
                  <c:v>507.95</c:v>
                </c:pt>
                <c:pt idx="175">
                  <c:v>507.93</c:v>
                </c:pt>
                <c:pt idx="176">
                  <c:v>478.98700000000002</c:v>
                </c:pt>
                <c:pt idx="177">
                  <c:v>464.99599999999998</c:v>
                </c:pt>
                <c:pt idx="178">
                  <c:v>467.89400000000001</c:v>
                </c:pt>
                <c:pt idx="179">
                  <c:v>457.774</c:v>
                </c:pt>
                <c:pt idx="180">
                  <c:v>457.911</c:v>
                </c:pt>
                <c:pt idx="181">
                  <c:v>456.47800000000001</c:v>
                </c:pt>
                <c:pt idx="182">
                  <c:v>445.726</c:v>
                </c:pt>
                <c:pt idx="183">
                  <c:v>439.94900000000001</c:v>
                </c:pt>
                <c:pt idx="184">
                  <c:v>436.54599999999999</c:v>
                </c:pt>
                <c:pt idx="185">
                  <c:v>457.42099999999999</c:v>
                </c:pt>
                <c:pt idx="186">
                  <c:v>461.096</c:v>
                </c:pt>
                <c:pt idx="187">
                  <c:v>465.15499999999997</c:v>
                </c:pt>
                <c:pt idx="188">
                  <c:v>464.096</c:v>
                </c:pt>
                <c:pt idx="189">
                  <c:v>480.79</c:v>
                </c:pt>
                <c:pt idx="190">
                  <c:v>504.02199999999999</c:v>
                </c:pt>
                <c:pt idx="191">
                  <c:v>502.99700000000001</c:v>
                </c:pt>
                <c:pt idx="192">
                  <c:v>494.392</c:v>
                </c:pt>
                <c:pt idx="193">
                  <c:v>492.83100000000002</c:v>
                </c:pt>
                <c:pt idx="194">
                  <c:v>512.60799999999995</c:v>
                </c:pt>
                <c:pt idx="195">
                  <c:v>512.17999999999995</c:v>
                </c:pt>
                <c:pt idx="196">
                  <c:v>534.54100000000005</c:v>
                </c:pt>
                <c:pt idx="197">
                  <c:v>540.51800000000003</c:v>
                </c:pt>
                <c:pt idx="198">
                  <c:v>522.38499999999999</c:v>
                </c:pt>
                <c:pt idx="199">
                  <c:v>518.67200000000003</c:v>
                </c:pt>
                <c:pt idx="200">
                  <c:v>521.43299999999999</c:v>
                </c:pt>
                <c:pt idx="201">
                  <c:v>517.66499999999996</c:v>
                </c:pt>
                <c:pt idx="202">
                  <c:v>506.791</c:v>
                </c:pt>
                <c:pt idx="203">
                  <c:v>494.846</c:v>
                </c:pt>
                <c:pt idx="204">
                  <c:v>498.96899999999999</c:v>
                </c:pt>
                <c:pt idx="205">
                  <c:v>492.64100000000002</c:v>
                </c:pt>
                <c:pt idx="206">
                  <c:v>495.58300000000003</c:v>
                </c:pt>
                <c:pt idx="207">
                  <c:v>495.17899999999997</c:v>
                </c:pt>
                <c:pt idx="208">
                  <c:v>488.67</c:v>
                </c:pt>
                <c:pt idx="209">
                  <c:v>474.65699999999998</c:v>
                </c:pt>
                <c:pt idx="210">
                  <c:v>469.49799999999999</c:v>
                </c:pt>
                <c:pt idx="211">
                  <c:v>470.654</c:v>
                </c:pt>
                <c:pt idx="212">
                  <c:v>462.13299999999998</c:v>
                </c:pt>
                <c:pt idx="213">
                  <c:v>442.50900000000001</c:v>
                </c:pt>
                <c:pt idx="214">
                  <c:v>438.41899999999998</c:v>
                </c:pt>
                <c:pt idx="215">
                  <c:v>450.12</c:v>
                </c:pt>
                <c:pt idx="216">
                  <c:v>457.24</c:v>
                </c:pt>
                <c:pt idx="217">
                  <c:v>468.45299999999997</c:v>
                </c:pt>
                <c:pt idx="218">
                  <c:v>455.13</c:v>
                </c:pt>
                <c:pt idx="219">
                  <c:v>449.04300000000001</c:v>
                </c:pt>
                <c:pt idx="220">
                  <c:v>452.87200000000001</c:v>
                </c:pt>
                <c:pt idx="221">
                  <c:v>455.358</c:v>
                </c:pt>
                <c:pt idx="222">
                  <c:v>439.74400000000003</c:v>
                </c:pt>
                <c:pt idx="223">
                  <c:v>444.15899999999999</c:v>
                </c:pt>
                <c:pt idx="224">
                  <c:v>442.411</c:v>
                </c:pt>
                <c:pt idx="225">
                  <c:v>442.86099999999999</c:v>
                </c:pt>
                <c:pt idx="226">
                  <c:v>452.48700000000002</c:v>
                </c:pt>
                <c:pt idx="227">
                  <c:v>452.15800000000002</c:v>
                </c:pt>
                <c:pt idx="228">
                  <c:v>448.98599999999999</c:v>
                </c:pt>
                <c:pt idx="229">
                  <c:v>452.82100000000003</c:v>
                </c:pt>
                <c:pt idx="230">
                  <c:v>459.17599999999999</c:v>
                </c:pt>
                <c:pt idx="231">
                  <c:v>480.62799999999999</c:v>
                </c:pt>
                <c:pt idx="232">
                  <c:v>480.78100000000001</c:v>
                </c:pt>
                <c:pt idx="233">
                  <c:v>480.48</c:v>
                </c:pt>
                <c:pt idx="234">
                  <c:v>485.27699999999999</c:v>
                </c:pt>
                <c:pt idx="235">
                  <c:v>486.459</c:v>
                </c:pt>
                <c:pt idx="236">
                  <c:v>485.315</c:v>
                </c:pt>
                <c:pt idx="237">
                  <c:v>483.63900000000001</c:v>
                </c:pt>
                <c:pt idx="238">
                  <c:v>491.29300000000001</c:v>
                </c:pt>
                <c:pt idx="239">
                  <c:v>497.28899999999999</c:v>
                </c:pt>
                <c:pt idx="240">
                  <c:v>511.524</c:v>
                </c:pt>
                <c:pt idx="241">
                  <c:v>506.33499999999998</c:v>
                </c:pt>
                <c:pt idx="242">
                  <c:v>500.68400000000003</c:v>
                </c:pt>
                <c:pt idx="243">
                  <c:v>494.1</c:v>
                </c:pt>
                <c:pt idx="244">
                  <c:v>451.221</c:v>
                </c:pt>
                <c:pt idx="245">
                  <c:v>446.31599999999997</c:v>
                </c:pt>
                <c:pt idx="246">
                  <c:v>432.608</c:v>
                </c:pt>
                <c:pt idx="247">
                  <c:v>419.72899999999998</c:v>
                </c:pt>
                <c:pt idx="248">
                  <c:v>419.28500000000003</c:v>
                </c:pt>
                <c:pt idx="249">
                  <c:v>407.84699999999998</c:v>
                </c:pt>
                <c:pt idx="250">
                  <c:v>403.24099999999999</c:v>
                </c:pt>
                <c:pt idx="251">
                  <c:v>405.45600000000002</c:v>
                </c:pt>
                <c:pt idx="252">
                  <c:v>410.61200000000002</c:v>
                </c:pt>
                <c:pt idx="253">
                  <c:v>401.46600000000001</c:v>
                </c:pt>
                <c:pt idx="254">
                  <c:v>395.51299999999998</c:v>
                </c:pt>
                <c:pt idx="255">
                  <c:v>395.51299999999998</c:v>
                </c:pt>
                <c:pt idx="256">
                  <c:v>395.51299999999998</c:v>
                </c:pt>
                <c:pt idx="257">
                  <c:v>395.51299999999998</c:v>
                </c:pt>
                <c:pt idx="258">
                  <c:v>396.14100000000002</c:v>
                </c:pt>
                <c:pt idx="259">
                  <c:v>395.56900000000002</c:v>
                </c:pt>
                <c:pt idx="260">
                  <c:v>396.815</c:v>
                </c:pt>
                <c:pt idx="261">
                  <c:v>396.815</c:v>
                </c:pt>
                <c:pt idx="262">
                  <c:v>372.476</c:v>
                </c:pt>
                <c:pt idx="263">
                  <c:v>375.17</c:v>
                </c:pt>
                <c:pt idx="264">
                  <c:v>377.005</c:v>
                </c:pt>
                <c:pt idx="265">
                  <c:v>376.97300000000001</c:v>
                </c:pt>
                <c:pt idx="266">
                  <c:v>369.79899999999998</c:v>
                </c:pt>
                <c:pt idx="267">
                  <c:v>359.29399999999998</c:v>
                </c:pt>
                <c:pt idx="268">
                  <c:v>362.43599999999998</c:v>
                </c:pt>
                <c:pt idx="269">
                  <c:v>350.78</c:v>
                </c:pt>
                <c:pt idx="270">
                  <c:v>350.77</c:v>
                </c:pt>
                <c:pt idx="271">
                  <c:v>338.36700000000002</c:v>
                </c:pt>
                <c:pt idx="272">
                  <c:v>326.16300000000001</c:v>
                </c:pt>
                <c:pt idx="273">
                  <c:v>323.63099999999997</c:v>
                </c:pt>
                <c:pt idx="274">
                  <c:v>324.43099999999998</c:v>
                </c:pt>
                <c:pt idx="275">
                  <c:v>333.24299999999999</c:v>
                </c:pt>
                <c:pt idx="276">
                  <c:v>327.24200000000002</c:v>
                </c:pt>
                <c:pt idx="277">
                  <c:v>351.02699999999999</c:v>
                </c:pt>
                <c:pt idx="278">
                  <c:v>349.35199999999998</c:v>
                </c:pt>
                <c:pt idx="279">
                  <c:v>376.59199999999998</c:v>
                </c:pt>
                <c:pt idx="280">
                  <c:v>362.714</c:v>
                </c:pt>
                <c:pt idx="281">
                  <c:v>358.42899999999997</c:v>
                </c:pt>
                <c:pt idx="282">
                  <c:v>369.73</c:v>
                </c:pt>
                <c:pt idx="283">
                  <c:v>372.012</c:v>
                </c:pt>
                <c:pt idx="284">
                  <c:v>374.01900000000001</c:v>
                </c:pt>
                <c:pt idx="285">
                  <c:v>357.71899999999999</c:v>
                </c:pt>
                <c:pt idx="286">
                  <c:v>345.495</c:v>
                </c:pt>
                <c:pt idx="287">
                  <c:v>334.95400000000001</c:v>
                </c:pt>
                <c:pt idx="288">
                  <c:v>347.983</c:v>
                </c:pt>
                <c:pt idx="289">
                  <c:v>361.11</c:v>
                </c:pt>
                <c:pt idx="290">
                  <c:v>347.44099999999997</c:v>
                </c:pt>
                <c:pt idx="291">
                  <c:v>335.87400000000002</c:v>
                </c:pt>
                <c:pt idx="292">
                  <c:v>330.83699999999999</c:v>
                </c:pt>
                <c:pt idx="293">
                  <c:v>327.76</c:v>
                </c:pt>
                <c:pt idx="294">
                  <c:v>325.62299999999999</c:v>
                </c:pt>
                <c:pt idx="295">
                  <c:v>335.899</c:v>
                </c:pt>
                <c:pt idx="296">
                  <c:v>330.279</c:v>
                </c:pt>
                <c:pt idx="297">
                  <c:v>331.66199999999998</c:v>
                </c:pt>
                <c:pt idx="298">
                  <c:v>348.209</c:v>
                </c:pt>
                <c:pt idx="299">
                  <c:v>376.63</c:v>
                </c:pt>
                <c:pt idx="300">
                  <c:v>390.51</c:v>
                </c:pt>
                <c:pt idx="301">
                  <c:v>411.74</c:v>
                </c:pt>
                <c:pt idx="302">
                  <c:v>442.64699999999999</c:v>
                </c:pt>
                <c:pt idx="303">
                  <c:v>474.08800000000002</c:v>
                </c:pt>
                <c:pt idx="304">
                  <c:v>470.40600000000001</c:v>
                </c:pt>
                <c:pt idx="305">
                  <c:v>444.25099999999998</c:v>
                </c:pt>
                <c:pt idx="306">
                  <c:v>470.86399999999998</c:v>
                </c:pt>
                <c:pt idx="307">
                  <c:v>530.029</c:v>
                </c:pt>
                <c:pt idx="308">
                  <c:v>584.57299999999998</c:v>
                </c:pt>
                <c:pt idx="309">
                  <c:v>688.93299999999999</c:v>
                </c:pt>
                <c:pt idx="310">
                  <c:v>702.52599999999995</c:v>
                </c:pt>
                <c:pt idx="311">
                  <c:v>743.70299999999997</c:v>
                </c:pt>
                <c:pt idx="312">
                  <c:v>999.779</c:v>
                </c:pt>
                <c:pt idx="313">
                  <c:v>912.99300000000005</c:v>
                </c:pt>
                <c:pt idx="314">
                  <c:v>1025.827</c:v>
                </c:pt>
                <c:pt idx="315">
                  <c:v>1063.0709999999999</c:v>
                </c:pt>
                <c:pt idx="316">
                  <c:v>1328.04</c:v>
                </c:pt>
                <c:pt idx="317">
                  <c:v>1342.3150000000001</c:v>
                </c:pt>
                <c:pt idx="318">
                  <c:v>1299.22</c:v>
                </c:pt>
                <c:pt idx="319">
                  <c:v>1330.2360000000001</c:v>
                </c:pt>
                <c:pt idx="320">
                  <c:v>1226.1410000000001</c:v>
                </c:pt>
                <c:pt idx="321">
                  <c:v>1066.2619999999999</c:v>
                </c:pt>
                <c:pt idx="322">
                  <c:v>1014.348</c:v>
                </c:pt>
                <c:pt idx="323">
                  <c:v>1024.3130000000001</c:v>
                </c:pt>
                <c:pt idx="324">
                  <c:v>1065.867</c:v>
                </c:pt>
                <c:pt idx="325">
                  <c:v>924.13099999999997</c:v>
                </c:pt>
                <c:pt idx="326">
                  <c:v>939.12199999999996</c:v>
                </c:pt>
                <c:pt idx="327">
                  <c:v>943.154</c:v>
                </c:pt>
                <c:pt idx="328">
                  <c:v>936.49199999999996</c:v>
                </c:pt>
                <c:pt idx="329">
                  <c:v>919.71199999999999</c:v>
                </c:pt>
                <c:pt idx="330">
                  <c:v>849.57899999999995</c:v>
                </c:pt>
                <c:pt idx="331">
                  <c:v>811.13199999999995</c:v>
                </c:pt>
                <c:pt idx="332">
                  <c:v>803.995</c:v>
                </c:pt>
                <c:pt idx="333">
                  <c:v>803.995</c:v>
                </c:pt>
                <c:pt idx="334">
                  <c:v>803.995</c:v>
                </c:pt>
                <c:pt idx="335">
                  <c:v>773.09699999999998</c:v>
                </c:pt>
                <c:pt idx="336">
                  <c:v>795.43399999999997</c:v>
                </c:pt>
                <c:pt idx="337">
                  <c:v>811.35699999999997</c:v>
                </c:pt>
                <c:pt idx="338">
                  <c:v>816.88300000000004</c:v>
                </c:pt>
                <c:pt idx="339">
                  <c:v>851.21600000000001</c:v>
                </c:pt>
                <c:pt idx="340">
                  <c:v>877.678</c:v>
                </c:pt>
                <c:pt idx="341">
                  <c:v>898.03800000000001</c:v>
                </c:pt>
                <c:pt idx="342">
                  <c:v>881.86800000000005</c:v>
                </c:pt>
                <c:pt idx="343">
                  <c:v>864.57799999999997</c:v>
                </c:pt>
                <c:pt idx="344">
                  <c:v>863.85599999999999</c:v>
                </c:pt>
                <c:pt idx="345">
                  <c:v>874.154</c:v>
                </c:pt>
                <c:pt idx="346">
                  <c:v>884.952</c:v>
                </c:pt>
                <c:pt idx="347">
                  <c:v>880.04399999999998</c:v>
                </c:pt>
                <c:pt idx="348">
                  <c:v>880.04399999999998</c:v>
                </c:pt>
                <c:pt idx="349">
                  <c:v>859.05700000000002</c:v>
                </c:pt>
                <c:pt idx="350">
                  <c:v>798.40499999999997</c:v>
                </c:pt>
                <c:pt idx="351">
                  <c:v>780.83799999999997</c:v>
                </c:pt>
                <c:pt idx="352">
                  <c:v>762.36300000000006</c:v>
                </c:pt>
                <c:pt idx="353">
                  <c:v>765.50099999999998</c:v>
                </c:pt>
                <c:pt idx="354">
                  <c:v>735.42100000000005</c:v>
                </c:pt>
                <c:pt idx="355">
                  <c:v>705.44799999999998</c:v>
                </c:pt>
                <c:pt idx="356">
                  <c:v>686.56200000000001</c:v>
                </c:pt>
                <c:pt idx="357">
                  <c:v>727.76</c:v>
                </c:pt>
                <c:pt idx="358">
                  <c:v>706.31200000000001</c:v>
                </c:pt>
                <c:pt idx="359">
                  <c:v>685.39400000000001</c:v>
                </c:pt>
                <c:pt idx="360">
                  <c:v>694.24900000000002</c:v>
                </c:pt>
                <c:pt idx="361">
                  <c:v>682.17700000000002</c:v>
                </c:pt>
                <c:pt idx="362">
                  <c:v>678.99199999999996</c:v>
                </c:pt>
                <c:pt idx="363">
                  <c:v>691.77300000000002</c:v>
                </c:pt>
                <c:pt idx="364">
                  <c:v>691.77300000000002</c:v>
                </c:pt>
                <c:pt idx="365">
                  <c:v>687.18100000000004</c:v>
                </c:pt>
                <c:pt idx="366">
                  <c:v>701.27099999999996</c:v>
                </c:pt>
                <c:pt idx="367">
                  <c:v>699.322</c:v>
                </c:pt>
                <c:pt idx="368">
                  <c:v>715.04</c:v>
                </c:pt>
                <c:pt idx="369">
                  <c:v>704.74199999999996</c:v>
                </c:pt>
                <c:pt idx="370">
                  <c:v>704.74199999999996</c:v>
                </c:pt>
                <c:pt idx="371">
                  <c:v>642.29</c:v>
                </c:pt>
                <c:pt idx="372">
                  <c:v>624.63699999999994</c:v>
                </c:pt>
                <c:pt idx="373">
                  <c:v>556.10900000000004</c:v>
                </c:pt>
                <c:pt idx="374">
                  <c:v>552.61800000000005</c:v>
                </c:pt>
                <c:pt idx="375">
                  <c:v>570.82600000000002</c:v>
                </c:pt>
                <c:pt idx="376">
                  <c:v>573.80399999999997</c:v>
                </c:pt>
                <c:pt idx="377">
                  <c:v>605.08299999999997</c:v>
                </c:pt>
                <c:pt idx="378">
                  <c:v>610.41899999999998</c:v>
                </c:pt>
                <c:pt idx="379">
                  <c:v>627.60299999999995</c:v>
                </c:pt>
                <c:pt idx="380">
                  <c:v>587.06399999999996</c:v>
                </c:pt>
                <c:pt idx="381">
                  <c:v>593.44799999999998</c:v>
                </c:pt>
                <c:pt idx="382">
                  <c:v>601.88300000000004</c:v>
                </c:pt>
                <c:pt idx="383">
                  <c:v>599.59699999999998</c:v>
                </c:pt>
                <c:pt idx="384">
                  <c:v>609.74300000000005</c:v>
                </c:pt>
                <c:pt idx="385">
                  <c:v>605.60699999999997</c:v>
                </c:pt>
                <c:pt idx="386">
                  <c:v>612.39400000000001</c:v>
                </c:pt>
                <c:pt idx="387">
                  <c:v>629.97299999999996</c:v>
                </c:pt>
                <c:pt idx="388">
                  <c:v>641.99099999999999</c:v>
                </c:pt>
                <c:pt idx="389">
                  <c:v>645.12699999999995</c:v>
                </c:pt>
                <c:pt idx="390">
                  <c:v>633.46699999999998</c:v>
                </c:pt>
                <c:pt idx="391">
                  <c:v>590.48599999999999</c:v>
                </c:pt>
                <c:pt idx="392">
                  <c:v>610.20699999999999</c:v>
                </c:pt>
                <c:pt idx="393">
                  <c:v>604.524</c:v>
                </c:pt>
                <c:pt idx="394">
                  <c:v>610.66</c:v>
                </c:pt>
                <c:pt idx="395">
                  <c:v>625.95500000000004</c:v>
                </c:pt>
                <c:pt idx="396">
                  <c:v>643.01599999999996</c:v>
                </c:pt>
                <c:pt idx="397">
                  <c:v>665.96699999999998</c:v>
                </c:pt>
                <c:pt idx="398">
                  <c:v>698.38099999999997</c:v>
                </c:pt>
                <c:pt idx="399">
                  <c:v>696.58699999999999</c:v>
                </c:pt>
                <c:pt idx="400">
                  <c:v>715.32799999999997</c:v>
                </c:pt>
                <c:pt idx="401">
                  <c:v>662.59199999999998</c:v>
                </c:pt>
                <c:pt idx="402">
                  <c:v>644.95399999999995</c:v>
                </c:pt>
                <c:pt idx="403">
                  <c:v>642.23599999999999</c:v>
                </c:pt>
                <c:pt idx="404">
                  <c:v>638.04700000000003</c:v>
                </c:pt>
                <c:pt idx="405">
                  <c:v>619.96799999999996</c:v>
                </c:pt>
                <c:pt idx="406">
                  <c:v>616.79200000000003</c:v>
                </c:pt>
                <c:pt idx="407">
                  <c:v>615.01499999999999</c:v>
                </c:pt>
                <c:pt idx="408">
                  <c:v>623.94799999999998</c:v>
                </c:pt>
                <c:pt idx="409">
                  <c:v>617.20600000000002</c:v>
                </c:pt>
                <c:pt idx="410">
                  <c:v>628.21600000000001</c:v>
                </c:pt>
                <c:pt idx="411">
                  <c:v>634.22400000000005</c:v>
                </c:pt>
                <c:pt idx="412">
                  <c:v>656.36199999999997</c:v>
                </c:pt>
                <c:pt idx="413">
                  <c:v>668.76199999999994</c:v>
                </c:pt>
                <c:pt idx="414">
                  <c:v>674.572</c:v>
                </c:pt>
                <c:pt idx="415">
                  <c:v>669.81899999999996</c:v>
                </c:pt>
                <c:pt idx="416">
                  <c:v>656.25</c:v>
                </c:pt>
                <c:pt idx="417">
                  <c:v>666.76800000000003</c:v>
                </c:pt>
                <c:pt idx="418">
                  <c:v>680.57399999999996</c:v>
                </c:pt>
                <c:pt idx="419">
                  <c:v>681.375</c:v>
                </c:pt>
                <c:pt idx="420">
                  <c:v>658.56899999999996</c:v>
                </c:pt>
                <c:pt idx="421">
                  <c:v>643.02099999999996</c:v>
                </c:pt>
                <c:pt idx="422">
                  <c:v>642.53099999999995</c:v>
                </c:pt>
                <c:pt idx="423">
                  <c:v>635.30700000000002</c:v>
                </c:pt>
                <c:pt idx="424">
                  <c:v>622.61400000000003</c:v>
                </c:pt>
                <c:pt idx="425">
                  <c:v>615.99699999999996</c:v>
                </c:pt>
                <c:pt idx="426">
                  <c:v>607.88900000000001</c:v>
                </c:pt>
                <c:pt idx="427">
                  <c:v>608.59500000000003</c:v>
                </c:pt>
                <c:pt idx="428">
                  <c:v>606.56299999999999</c:v>
                </c:pt>
                <c:pt idx="429">
                  <c:v>596.91600000000005</c:v>
                </c:pt>
                <c:pt idx="430">
                  <c:v>596.72299999999996</c:v>
                </c:pt>
                <c:pt idx="431">
                  <c:v>608.95799999999997</c:v>
                </c:pt>
                <c:pt idx="432">
                  <c:v>602.59699999999998</c:v>
                </c:pt>
                <c:pt idx="433">
                  <c:v>600.13099999999997</c:v>
                </c:pt>
                <c:pt idx="434">
                  <c:v>600.13099999999997</c:v>
                </c:pt>
                <c:pt idx="435">
                  <c:v>586.42100000000005</c:v>
                </c:pt>
                <c:pt idx="436">
                  <c:v>577.31700000000001</c:v>
                </c:pt>
                <c:pt idx="437">
                  <c:v>587.92100000000005</c:v>
                </c:pt>
                <c:pt idx="438">
                  <c:v>585.87599999999998</c:v>
                </c:pt>
                <c:pt idx="439">
                  <c:v>582.851</c:v>
                </c:pt>
                <c:pt idx="440">
                  <c:v>601.86199999999997</c:v>
                </c:pt>
                <c:pt idx="441">
                  <c:v>603.78</c:v>
                </c:pt>
                <c:pt idx="442">
                  <c:v>603.87599999999998</c:v>
                </c:pt>
                <c:pt idx="443">
                  <c:v>615.22699999999998</c:v>
                </c:pt>
                <c:pt idx="444">
                  <c:v>623.83000000000004</c:v>
                </c:pt>
                <c:pt idx="445">
                  <c:v>610.79899999999998</c:v>
                </c:pt>
                <c:pt idx="446">
                  <c:v>611.572</c:v>
                </c:pt>
                <c:pt idx="447">
                  <c:v>624.9</c:v>
                </c:pt>
                <c:pt idx="448">
                  <c:v>624.72699999999998</c:v>
                </c:pt>
                <c:pt idx="449">
                  <c:v>662.47900000000004</c:v>
                </c:pt>
                <c:pt idx="450">
                  <c:v>668.99099999999999</c:v>
                </c:pt>
                <c:pt idx="451">
                  <c:v>679.53899999999999</c:v>
                </c:pt>
                <c:pt idx="452">
                  <c:v>714.76400000000001</c:v>
                </c:pt>
                <c:pt idx="453">
                  <c:v>710.01</c:v>
                </c:pt>
                <c:pt idx="454">
                  <c:v>702.82299999999998</c:v>
                </c:pt>
                <c:pt idx="455">
                  <c:v>716.15300000000002</c:v>
                </c:pt>
                <c:pt idx="456">
                  <c:v>728.10199999999998</c:v>
                </c:pt>
                <c:pt idx="457">
                  <c:v>714.72699999999998</c:v>
                </c:pt>
                <c:pt idx="458">
                  <c:v>728.62400000000002</c:v>
                </c:pt>
                <c:pt idx="459">
                  <c:v>710.98400000000004</c:v>
                </c:pt>
                <c:pt idx="460">
                  <c:v>721.81299999999999</c:v>
                </c:pt>
                <c:pt idx="461">
                  <c:v>697.19600000000003</c:v>
                </c:pt>
                <c:pt idx="462">
                  <c:v>675.96</c:v>
                </c:pt>
                <c:pt idx="463">
                  <c:v>654.31100000000004</c:v>
                </c:pt>
                <c:pt idx="464">
                  <c:v>628.70600000000002</c:v>
                </c:pt>
                <c:pt idx="465">
                  <c:v>646.346</c:v>
                </c:pt>
                <c:pt idx="466">
                  <c:v>662.024</c:v>
                </c:pt>
                <c:pt idx="467">
                  <c:v>680.28200000000004</c:v>
                </c:pt>
                <c:pt idx="468">
                  <c:v>671.41</c:v>
                </c:pt>
                <c:pt idx="469">
                  <c:v>669.36599999999999</c:v>
                </c:pt>
                <c:pt idx="470">
                  <c:v>685.13800000000003</c:v>
                </c:pt>
                <c:pt idx="471">
                  <c:v>693.26599999999996</c:v>
                </c:pt>
                <c:pt idx="472">
                  <c:v>700.15200000000004</c:v>
                </c:pt>
                <c:pt idx="473">
                  <c:v>697.67200000000003</c:v>
                </c:pt>
                <c:pt idx="474">
                  <c:v>707.149</c:v>
                </c:pt>
                <c:pt idx="475">
                  <c:v>683.03399999999999</c:v>
                </c:pt>
                <c:pt idx="476">
                  <c:v>686.93299999999999</c:v>
                </c:pt>
                <c:pt idx="477">
                  <c:v>679.50400000000002</c:v>
                </c:pt>
                <c:pt idx="478">
                  <c:v>664.44799999999998</c:v>
                </c:pt>
                <c:pt idx="479">
                  <c:v>650.90200000000004</c:v>
                </c:pt>
                <c:pt idx="480">
                  <c:v>618.26800000000003</c:v>
                </c:pt>
                <c:pt idx="481">
                  <c:v>605.00599999999997</c:v>
                </c:pt>
                <c:pt idx="482">
                  <c:v>574.40800000000002</c:v>
                </c:pt>
                <c:pt idx="483">
                  <c:v>585.41700000000003</c:v>
                </c:pt>
                <c:pt idx="484">
                  <c:v>544.50699999999995</c:v>
                </c:pt>
                <c:pt idx="485">
                  <c:v>555.56700000000001</c:v>
                </c:pt>
                <c:pt idx="486">
                  <c:v>539.62199999999996</c:v>
                </c:pt>
                <c:pt idx="487">
                  <c:v>548.51900000000001</c:v>
                </c:pt>
                <c:pt idx="488">
                  <c:v>548.94600000000003</c:v>
                </c:pt>
                <c:pt idx="489">
                  <c:v>531.59799999999996</c:v>
                </c:pt>
                <c:pt idx="490">
                  <c:v>538.66300000000001</c:v>
                </c:pt>
                <c:pt idx="491">
                  <c:v>538.25</c:v>
                </c:pt>
                <c:pt idx="492">
                  <c:v>537.05200000000002</c:v>
                </c:pt>
                <c:pt idx="493">
                  <c:v>527.37</c:v>
                </c:pt>
                <c:pt idx="494">
                  <c:v>511.61399999999998</c:v>
                </c:pt>
                <c:pt idx="495">
                  <c:v>488.39</c:v>
                </c:pt>
                <c:pt idx="496">
                  <c:v>482.488</c:v>
                </c:pt>
                <c:pt idx="497">
                  <c:v>486.90800000000002</c:v>
                </c:pt>
                <c:pt idx="498">
                  <c:v>486.57100000000003</c:v>
                </c:pt>
                <c:pt idx="499">
                  <c:v>488.334</c:v>
                </c:pt>
                <c:pt idx="500">
                  <c:v>466.77699999999999</c:v>
                </c:pt>
                <c:pt idx="501">
                  <c:v>455.50799999999998</c:v>
                </c:pt>
                <c:pt idx="502">
                  <c:v>454.08199999999999</c:v>
                </c:pt>
                <c:pt idx="503">
                  <c:v>433.666</c:v>
                </c:pt>
                <c:pt idx="504">
                  <c:v>436.86500000000001</c:v>
                </c:pt>
                <c:pt idx="505">
                  <c:v>438.69</c:v>
                </c:pt>
                <c:pt idx="506">
                  <c:v>433.88499999999999</c:v>
                </c:pt>
                <c:pt idx="507">
                  <c:v>435.40499999999997</c:v>
                </c:pt>
                <c:pt idx="508">
                  <c:v>439.14600000000002</c:v>
                </c:pt>
                <c:pt idx="509">
                  <c:v>431.93299999999999</c:v>
                </c:pt>
                <c:pt idx="510">
                  <c:v>421.53800000000001</c:v>
                </c:pt>
                <c:pt idx="511">
                  <c:v>419.13600000000002</c:v>
                </c:pt>
                <c:pt idx="512">
                  <c:v>421.03300000000002</c:v>
                </c:pt>
                <c:pt idx="513">
                  <c:v>428.226</c:v>
                </c:pt>
                <c:pt idx="514">
                  <c:v>444.839</c:v>
                </c:pt>
                <c:pt idx="515">
                  <c:v>447.822</c:v>
                </c:pt>
                <c:pt idx="516">
                  <c:v>444.39499999999998</c:v>
                </c:pt>
                <c:pt idx="517">
                  <c:v>444.39499999999998</c:v>
                </c:pt>
                <c:pt idx="518">
                  <c:v>444.39499999999998</c:v>
                </c:pt>
                <c:pt idx="519">
                  <c:v>444.39499999999998</c:v>
                </c:pt>
                <c:pt idx="520">
                  <c:v>441.32</c:v>
                </c:pt>
                <c:pt idx="521">
                  <c:v>437.22800000000001</c:v>
                </c:pt>
                <c:pt idx="522">
                  <c:v>437.22800000000001</c:v>
                </c:pt>
                <c:pt idx="523">
                  <c:v>437.22800000000001</c:v>
                </c:pt>
                <c:pt idx="524">
                  <c:v>426.512</c:v>
                </c:pt>
                <c:pt idx="525">
                  <c:v>433.17599999999999</c:v>
                </c:pt>
                <c:pt idx="526">
                  <c:v>432.988</c:v>
                </c:pt>
                <c:pt idx="527">
                  <c:v>424.702</c:v>
                </c:pt>
                <c:pt idx="528">
                  <c:v>420.995</c:v>
                </c:pt>
                <c:pt idx="529">
                  <c:v>427.39299999999997</c:v>
                </c:pt>
                <c:pt idx="530">
                  <c:v>443.89499999999998</c:v>
                </c:pt>
                <c:pt idx="531">
                  <c:v>436.21199999999999</c:v>
                </c:pt>
                <c:pt idx="532">
                  <c:v>430.81599999999997</c:v>
                </c:pt>
                <c:pt idx="533">
                  <c:v>439.40899999999999</c:v>
                </c:pt>
                <c:pt idx="534">
                  <c:v>443.077</c:v>
                </c:pt>
                <c:pt idx="535">
                  <c:v>436.60599999999999</c:v>
                </c:pt>
                <c:pt idx="536">
                  <c:v>432.77600000000001</c:v>
                </c:pt>
                <c:pt idx="537">
                  <c:v>419.779</c:v>
                </c:pt>
                <c:pt idx="538">
                  <c:v>423.17200000000003</c:v>
                </c:pt>
                <c:pt idx="539">
                  <c:v>420.137</c:v>
                </c:pt>
                <c:pt idx="540">
                  <c:v>420.25599999999997</c:v>
                </c:pt>
                <c:pt idx="541">
                  <c:v>432.78699999999998</c:v>
                </c:pt>
                <c:pt idx="542">
                  <c:v>436.82600000000002</c:v>
                </c:pt>
                <c:pt idx="543">
                  <c:v>433.363</c:v>
                </c:pt>
                <c:pt idx="544">
                  <c:v>433.82</c:v>
                </c:pt>
                <c:pt idx="545">
                  <c:v>427.19099999999997</c:v>
                </c:pt>
                <c:pt idx="546">
                  <c:v>418.65800000000002</c:v>
                </c:pt>
                <c:pt idx="547">
                  <c:v>402.995</c:v>
                </c:pt>
                <c:pt idx="548">
                  <c:v>387.13600000000002</c:v>
                </c:pt>
                <c:pt idx="549">
                  <c:v>389.35399999999998</c:v>
                </c:pt>
                <c:pt idx="550">
                  <c:v>398.59800000000001</c:v>
                </c:pt>
                <c:pt idx="551">
                  <c:v>411.30500000000001</c:v>
                </c:pt>
                <c:pt idx="552">
                  <c:v>407.971</c:v>
                </c:pt>
                <c:pt idx="553">
                  <c:v>407.57499999999999</c:v>
                </c:pt>
                <c:pt idx="554">
                  <c:v>412.59500000000003</c:v>
                </c:pt>
                <c:pt idx="555">
                  <c:v>419.66300000000001</c:v>
                </c:pt>
                <c:pt idx="556">
                  <c:v>432.14400000000001</c:v>
                </c:pt>
                <c:pt idx="557">
                  <c:v>426.21100000000001</c:v>
                </c:pt>
                <c:pt idx="558">
                  <c:v>423.90699999999998</c:v>
                </c:pt>
                <c:pt idx="559">
                  <c:v>450.84300000000002</c:v>
                </c:pt>
                <c:pt idx="560">
                  <c:v>452.99299999999999</c:v>
                </c:pt>
                <c:pt idx="561">
                  <c:v>437.75900000000001</c:v>
                </c:pt>
                <c:pt idx="562">
                  <c:v>442.09100000000001</c:v>
                </c:pt>
                <c:pt idx="563">
                  <c:v>473.29</c:v>
                </c:pt>
                <c:pt idx="564">
                  <c:v>456.08699999999999</c:v>
                </c:pt>
                <c:pt idx="565">
                  <c:v>456.95100000000002</c:v>
                </c:pt>
                <c:pt idx="566">
                  <c:v>457.959</c:v>
                </c:pt>
                <c:pt idx="567">
                  <c:v>472.81099999999998</c:v>
                </c:pt>
                <c:pt idx="568">
                  <c:v>487.37099999999998</c:v>
                </c:pt>
                <c:pt idx="569">
                  <c:v>503.95</c:v>
                </c:pt>
                <c:pt idx="570">
                  <c:v>497.25200000000001</c:v>
                </c:pt>
                <c:pt idx="571">
                  <c:v>480.755</c:v>
                </c:pt>
                <c:pt idx="572">
                  <c:v>447.14800000000002</c:v>
                </c:pt>
                <c:pt idx="573">
                  <c:v>456.37700000000001</c:v>
                </c:pt>
                <c:pt idx="574">
                  <c:v>445.661</c:v>
                </c:pt>
                <c:pt idx="575">
                  <c:v>430.19099999999997</c:v>
                </c:pt>
                <c:pt idx="576">
                  <c:v>437.20299999999997</c:v>
                </c:pt>
                <c:pt idx="577">
                  <c:v>443.01900000000001</c:v>
                </c:pt>
                <c:pt idx="578">
                  <c:v>445.32400000000001</c:v>
                </c:pt>
                <c:pt idx="579">
                  <c:v>444.423</c:v>
                </c:pt>
                <c:pt idx="580">
                  <c:v>442.34699999999998</c:v>
                </c:pt>
                <c:pt idx="581">
                  <c:v>441.04899999999998</c:v>
                </c:pt>
                <c:pt idx="582">
                  <c:v>443.64800000000002</c:v>
                </c:pt>
                <c:pt idx="583">
                  <c:v>443.91500000000002</c:v>
                </c:pt>
                <c:pt idx="584">
                  <c:v>444.69900000000001</c:v>
                </c:pt>
                <c:pt idx="585">
                  <c:v>461.51799999999997</c:v>
                </c:pt>
                <c:pt idx="586">
                  <c:v>457.983</c:v>
                </c:pt>
                <c:pt idx="587">
                  <c:v>485.17599999999999</c:v>
                </c:pt>
                <c:pt idx="588">
                  <c:v>485.17599999999999</c:v>
                </c:pt>
                <c:pt idx="589">
                  <c:v>485.17599999999999</c:v>
                </c:pt>
                <c:pt idx="590">
                  <c:v>526.95500000000004</c:v>
                </c:pt>
                <c:pt idx="591">
                  <c:v>513.18899999999996</c:v>
                </c:pt>
                <c:pt idx="592">
                  <c:v>512.03399999999999</c:v>
                </c:pt>
                <c:pt idx="593">
                  <c:v>517.30999999999995</c:v>
                </c:pt>
                <c:pt idx="594">
                  <c:v>539.83500000000004</c:v>
                </c:pt>
                <c:pt idx="595">
                  <c:v>557.36199999999997</c:v>
                </c:pt>
                <c:pt idx="596">
                  <c:v>512.46400000000006</c:v>
                </c:pt>
                <c:pt idx="597">
                  <c:v>514.52</c:v>
                </c:pt>
                <c:pt idx="598">
                  <c:v>495.84500000000003</c:v>
                </c:pt>
                <c:pt idx="599">
                  <c:v>492.94299999999998</c:v>
                </c:pt>
                <c:pt idx="600">
                  <c:v>522.61</c:v>
                </c:pt>
                <c:pt idx="601">
                  <c:v>523.68700000000001</c:v>
                </c:pt>
                <c:pt idx="602">
                  <c:v>483.524</c:v>
                </c:pt>
                <c:pt idx="603">
                  <c:v>459.18400000000003</c:v>
                </c:pt>
                <c:pt idx="604">
                  <c:v>466.113</c:v>
                </c:pt>
                <c:pt idx="605">
                  <c:v>473.851</c:v>
                </c:pt>
                <c:pt idx="606">
                  <c:v>483.79899999999998</c:v>
                </c:pt>
                <c:pt idx="607">
                  <c:v>480.40300000000002</c:v>
                </c:pt>
                <c:pt idx="608">
                  <c:v>483.935</c:v>
                </c:pt>
                <c:pt idx="609">
                  <c:v>483.935</c:v>
                </c:pt>
                <c:pt idx="610">
                  <c:v>494.22399999999999</c:v>
                </c:pt>
                <c:pt idx="611">
                  <c:v>490.74200000000002</c:v>
                </c:pt>
                <c:pt idx="612">
                  <c:v>480.56400000000002</c:v>
                </c:pt>
                <c:pt idx="613">
                  <c:v>472.06799999999998</c:v>
                </c:pt>
                <c:pt idx="614">
                  <c:v>461.90100000000001</c:v>
                </c:pt>
                <c:pt idx="615">
                  <c:v>469.041</c:v>
                </c:pt>
                <c:pt idx="616">
                  <c:v>468.96899999999999</c:v>
                </c:pt>
                <c:pt idx="617">
                  <c:v>472.34399999999999</c:v>
                </c:pt>
                <c:pt idx="618">
                  <c:v>465.61599999999999</c:v>
                </c:pt>
                <c:pt idx="619">
                  <c:v>463.20299999999997</c:v>
                </c:pt>
                <c:pt idx="620">
                  <c:v>450.26600000000002</c:v>
                </c:pt>
                <c:pt idx="621">
                  <c:v>459.95499999999998</c:v>
                </c:pt>
                <c:pt idx="622">
                  <c:v>446.08199999999999</c:v>
                </c:pt>
                <c:pt idx="623">
                  <c:v>439.37599999999998</c:v>
                </c:pt>
              </c:numCache>
            </c:numRef>
          </c:val>
          <c:smooth val="0"/>
          <c:extLst>
            <c:ext xmlns:c16="http://schemas.microsoft.com/office/drawing/2014/chart" uri="{C3380CC4-5D6E-409C-BE32-E72D297353CC}">
              <c16:uniqueId val="{00000007-4EEE-436B-AFC1-C498D6096249}"/>
            </c:ext>
          </c:extLst>
        </c:ser>
        <c:dLbls>
          <c:showLegendKey val="0"/>
          <c:showVal val="0"/>
          <c:showCatName val="0"/>
          <c:showSerName val="0"/>
          <c:showPercent val="0"/>
          <c:showBubbleSize val="0"/>
        </c:dLbls>
        <c:smooth val="0"/>
        <c:axId val="131761280"/>
        <c:axId val="131762816"/>
      </c:lineChart>
      <c:dateAx>
        <c:axId val="131761280"/>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62816"/>
        <c:crosses val="autoZero"/>
        <c:auto val="1"/>
        <c:lblOffset val="100"/>
        <c:baseTimeUnit val="days"/>
      </c:dateAx>
      <c:valAx>
        <c:axId val="131762816"/>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a:t>բազիսային կետ</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61280"/>
        <c:crosses val="autoZero"/>
        <c:crossBetween val="between"/>
      </c:valAx>
      <c:spPr>
        <a:noFill/>
        <a:ln>
          <a:noFill/>
        </a:ln>
        <a:effectLst/>
      </c:spPr>
    </c:plotArea>
    <c:legend>
      <c:legendPos val="b"/>
      <c:layout>
        <c:manualLayout>
          <c:xMode val="edge"/>
          <c:yMode val="edge"/>
          <c:x val="7.8370866625097291E-2"/>
          <c:y val="0.79830184904017043"/>
          <c:w val="0.80501893850095085"/>
          <c:h val="0.2016981509598295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800"/>
              <a:t>Տնտեսական աճի փոփոխություն</a:t>
            </a:r>
          </a:p>
        </c:rich>
      </c:tx>
      <c:layout>
        <c:manualLayout>
          <c:xMode val="edge"/>
          <c:yMode val="edge"/>
          <c:x val="0.27528598291433759"/>
          <c:y val="1.1352679854947461E-2"/>
        </c:manualLayout>
      </c:layout>
      <c:overlay val="0"/>
    </c:title>
    <c:autoTitleDeleted val="0"/>
    <c:plotArea>
      <c:layout>
        <c:manualLayout>
          <c:layoutTarget val="inner"/>
          <c:xMode val="edge"/>
          <c:yMode val="edge"/>
          <c:x val="0.23771038747565898"/>
          <c:y val="0.14718253968253969"/>
          <c:w val="0.71151108561609477"/>
          <c:h val="0.66998656417947866"/>
        </c:manualLayout>
      </c:layout>
      <c:barChart>
        <c:barDir val="col"/>
        <c:grouping val="clustered"/>
        <c:varyColors val="0"/>
        <c:ser>
          <c:idx val="0"/>
          <c:order val="0"/>
          <c:tx>
            <c:strRef>
              <c:f>Sheet1!$B$1</c:f>
              <c:strCache>
                <c:ptCount val="1"/>
                <c:pt idx="0">
                  <c:v>Տնտեսական աճի փոփոխություն</c:v>
                </c:pt>
              </c:strCache>
            </c:strRef>
          </c:tx>
          <c:spPr>
            <a:solidFill>
              <a:srgbClr val="C00000"/>
            </a:solidFill>
            <a:ln>
              <a:noFill/>
            </a:ln>
            <a:effectLst/>
          </c:spPr>
          <c:invertIfNegative val="0"/>
          <c:dPt>
            <c:idx val="1"/>
            <c:invertIfNegative val="0"/>
            <c:bubble3D val="0"/>
            <c:spPr>
              <a:solidFill>
                <a:srgbClr val="5B9BD5">
                  <a:lumMod val="75000"/>
                </a:srgbClr>
              </a:solidFill>
              <a:ln>
                <a:noFill/>
              </a:ln>
              <a:effectLst/>
            </c:spPr>
            <c:extLst>
              <c:ext xmlns:c16="http://schemas.microsoft.com/office/drawing/2014/chart" uri="{C3380CC4-5D6E-409C-BE32-E72D297353CC}">
                <c16:uniqueId val="{00000001-D578-45B6-87D7-3C9DB99BF2F1}"/>
              </c:ext>
            </c:extLst>
          </c:dPt>
          <c:dPt>
            <c:idx val="3"/>
            <c:invertIfNegative val="0"/>
            <c:bubble3D val="0"/>
            <c:spPr>
              <a:solidFill>
                <a:srgbClr val="5B9BD5">
                  <a:lumMod val="75000"/>
                </a:srgbClr>
              </a:solidFill>
              <a:ln>
                <a:noFill/>
              </a:ln>
              <a:effectLst/>
            </c:spPr>
            <c:extLst>
              <c:ext xmlns:c16="http://schemas.microsoft.com/office/drawing/2014/chart" uri="{C3380CC4-5D6E-409C-BE32-E72D297353CC}">
                <c16:uniqueId val="{00000003-D578-45B6-87D7-3C9DB99BF2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2009 GFC</c:v>
                </c:pt>
                <c:pt idx="1">
                  <c:v>2010</c:v>
                </c:pt>
                <c:pt idx="2">
                  <c:v>2020 COVID-19</c:v>
                </c:pt>
                <c:pt idx="3">
                  <c:v>2021</c:v>
                </c:pt>
              </c:strCache>
            </c:strRef>
          </c:cat>
          <c:val>
            <c:numRef>
              <c:f>Sheet1!$B$2:$B$5</c:f>
              <c:numCache>
                <c:formatCode>0.0</c:formatCode>
                <c:ptCount val="4"/>
                <c:pt idx="0">
                  <c:v>-3.1109999999999998</c:v>
                </c:pt>
                <c:pt idx="1">
                  <c:v>5.5310000000000006</c:v>
                </c:pt>
                <c:pt idx="2">
                  <c:v>-6.0309999999999997</c:v>
                </c:pt>
                <c:pt idx="3">
                  <c:v>9.2929999999999993</c:v>
                </c:pt>
              </c:numCache>
            </c:numRef>
          </c:val>
          <c:extLst>
            <c:ext xmlns:c16="http://schemas.microsoft.com/office/drawing/2014/chart" uri="{C3380CC4-5D6E-409C-BE32-E72D297353CC}">
              <c16:uniqueId val="{00000004-D578-45B6-87D7-3C9DB99BF2F1}"/>
            </c:ext>
          </c:extLst>
        </c:ser>
        <c:dLbls>
          <c:showLegendKey val="0"/>
          <c:showVal val="1"/>
          <c:showCatName val="0"/>
          <c:showSerName val="0"/>
          <c:showPercent val="0"/>
          <c:showBubbleSize val="0"/>
        </c:dLbls>
        <c:gapWidth val="219"/>
        <c:overlap val="-27"/>
        <c:axId val="131817472"/>
        <c:axId val="131820928"/>
      </c:barChart>
      <c:catAx>
        <c:axId val="1318174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820928"/>
        <c:crosses val="autoZero"/>
        <c:auto val="1"/>
        <c:lblAlgn val="ctr"/>
        <c:lblOffset val="100"/>
        <c:noMultiLvlLbl val="0"/>
      </c:catAx>
      <c:valAx>
        <c:axId val="131820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տոկոսային</a:t>
                </a:r>
                <a:r>
                  <a:rPr lang="hy-AM" sz="900" baseline="0">
                    <a:latin typeface="GHEA Grapalat" panose="02000506050000020003" pitchFamily="50" charset="0"/>
                  </a:rPr>
                  <a:t> կետ</a:t>
                </a:r>
                <a:endParaRPr lang="hy-AM" sz="900">
                  <a:latin typeface="GHEA Grapalat" panose="02000506050000020003" pitchFamily="50" charset="0"/>
                </a:endParaRPr>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817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800"/>
              <a:t>Պետական պարտքի փոփոխություն</a:t>
            </a:r>
          </a:p>
        </c:rich>
      </c:tx>
      <c:layout>
        <c:manualLayout>
          <c:xMode val="edge"/>
          <c:yMode val="edge"/>
          <c:x val="0.16464149925184582"/>
          <c:y val="3.2387530506055163E-3"/>
        </c:manualLayout>
      </c:layout>
      <c:overlay val="0"/>
    </c:title>
    <c:autoTitleDeleted val="0"/>
    <c:plotArea>
      <c:layout>
        <c:manualLayout>
          <c:layoutTarget val="inner"/>
          <c:xMode val="edge"/>
          <c:yMode val="edge"/>
          <c:x val="0.19908945961194124"/>
          <c:y val="5.493133583021239E-2"/>
          <c:w val="0.73724875512056365"/>
          <c:h val="0.64506019392204073"/>
        </c:manualLayout>
      </c:layout>
      <c:barChart>
        <c:barDir val="col"/>
        <c:grouping val="clustered"/>
        <c:varyColors val="0"/>
        <c:ser>
          <c:idx val="0"/>
          <c:order val="0"/>
          <c:tx>
            <c:strRef>
              <c:f>Sheet1!$B$1</c:f>
              <c:strCache>
                <c:ptCount val="1"/>
                <c:pt idx="0">
                  <c:v>Պետական պարտքի փոփոխություն</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864A-40C5-B141-0A5A74D38DE1}"/>
              </c:ext>
            </c:extLst>
          </c:dPt>
          <c:dPt>
            <c:idx val="2"/>
            <c:invertIfNegative val="0"/>
            <c:bubble3D val="0"/>
            <c:spPr>
              <a:solidFill>
                <a:srgbClr val="C00000"/>
              </a:solidFill>
              <a:ln>
                <a:noFill/>
              </a:ln>
              <a:effectLst/>
            </c:spPr>
            <c:extLst>
              <c:ext xmlns:c16="http://schemas.microsoft.com/office/drawing/2014/chart" uri="{C3380CC4-5D6E-409C-BE32-E72D297353CC}">
                <c16:uniqueId val="{00000003-864A-40C5-B141-0A5A74D38D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2009 GFC</c:v>
                </c:pt>
                <c:pt idx="1">
                  <c:v>2010</c:v>
                </c:pt>
                <c:pt idx="2">
                  <c:v>2020 COVID-19</c:v>
                </c:pt>
                <c:pt idx="3">
                  <c:v>2021</c:v>
                </c:pt>
              </c:strCache>
            </c:strRef>
          </c:cat>
          <c:val>
            <c:numRef>
              <c:f>Sheet1!$B$2:$B$5</c:f>
              <c:numCache>
                <c:formatCode>General</c:formatCode>
                <c:ptCount val="4"/>
                <c:pt idx="0">
                  <c:v>10.400000000000006</c:v>
                </c:pt>
                <c:pt idx="1">
                  <c:v>2.2999999999999972</c:v>
                </c:pt>
                <c:pt idx="2">
                  <c:v>13.599999999999994</c:v>
                </c:pt>
                <c:pt idx="3">
                  <c:v>1.6000000000000085</c:v>
                </c:pt>
              </c:numCache>
            </c:numRef>
          </c:val>
          <c:extLst>
            <c:ext xmlns:c16="http://schemas.microsoft.com/office/drawing/2014/chart" uri="{C3380CC4-5D6E-409C-BE32-E72D297353CC}">
              <c16:uniqueId val="{00000004-864A-40C5-B141-0A5A74D38DE1}"/>
            </c:ext>
          </c:extLst>
        </c:ser>
        <c:dLbls>
          <c:showLegendKey val="0"/>
          <c:showVal val="1"/>
          <c:showCatName val="0"/>
          <c:showSerName val="0"/>
          <c:showPercent val="0"/>
          <c:showBubbleSize val="0"/>
        </c:dLbls>
        <c:gapWidth val="219"/>
        <c:overlap val="-27"/>
        <c:axId val="131855488"/>
        <c:axId val="133956352"/>
      </c:barChart>
      <c:catAx>
        <c:axId val="13185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956352"/>
        <c:crosses val="autoZero"/>
        <c:auto val="1"/>
        <c:lblAlgn val="ctr"/>
        <c:lblOffset val="100"/>
        <c:noMultiLvlLbl val="0"/>
      </c:catAx>
      <c:valAx>
        <c:axId val="133956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տոկոսային</a:t>
                </a:r>
                <a:r>
                  <a:rPr lang="hy-AM" sz="900">
                    <a:latin typeface="GHEA Grapalat" panose="02000506050000020003" pitchFamily="50" charset="0"/>
                  </a:rPr>
                  <a:t> կետ</a:t>
                </a:r>
                <a:endParaRPr lang="en-US" sz="900">
                  <a:latin typeface="GHEA Grapalat" panose="02000506050000020003" pitchFamily="50" charset="0"/>
                </a:endParaRP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855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800"/>
              <a:t>Բյուջեի հաշվեկշռի փոփոխություն</a:t>
            </a:r>
          </a:p>
        </c:rich>
      </c:tx>
      <c:layout>
        <c:manualLayout>
          <c:xMode val="edge"/>
          <c:yMode val="edge"/>
          <c:x val="0.17973059653624118"/>
          <c:y val="0"/>
        </c:manualLayout>
      </c:layout>
      <c:overlay val="0"/>
    </c:title>
    <c:autoTitleDeleted val="0"/>
    <c:plotArea>
      <c:layout>
        <c:manualLayout>
          <c:layoutTarget val="inner"/>
          <c:xMode val="edge"/>
          <c:yMode val="edge"/>
          <c:x val="0.1928996429094432"/>
          <c:y val="8.6235397045957493E-2"/>
          <c:w val="0.74415328985164275"/>
          <c:h val="0.62905048633626681"/>
        </c:manualLayout>
      </c:layout>
      <c:barChart>
        <c:barDir val="col"/>
        <c:grouping val="clustered"/>
        <c:varyColors val="0"/>
        <c:ser>
          <c:idx val="0"/>
          <c:order val="0"/>
          <c:tx>
            <c:strRef>
              <c:f>Sheet1!$B$1</c:f>
              <c:strCache>
                <c:ptCount val="1"/>
                <c:pt idx="0">
                  <c:v>Բյուջեի հաշվեկշռի փոփոխություն</c:v>
                </c:pt>
              </c:strCache>
            </c:strRef>
          </c:tx>
          <c:spPr>
            <a:solidFill>
              <a:srgbClr val="5B9BD5">
                <a:lumMod val="75000"/>
              </a:srgbClr>
            </a:solidFill>
            <a:ln>
              <a:solidFill>
                <a:srgbClr val="5B9BD5">
                  <a:lumMod val="75000"/>
                </a:srgbClr>
              </a:solidFill>
            </a:ln>
            <a:effectLst/>
          </c:spPr>
          <c:invertIfNegative val="0"/>
          <c:dPt>
            <c:idx val="0"/>
            <c:invertIfNegative val="0"/>
            <c:bubble3D val="0"/>
            <c:spPr>
              <a:solidFill>
                <a:srgbClr val="C00000"/>
              </a:solidFill>
              <a:ln>
                <a:solidFill>
                  <a:srgbClr val="C00000"/>
                </a:solidFill>
              </a:ln>
              <a:effectLst/>
            </c:spPr>
            <c:extLst>
              <c:ext xmlns:c16="http://schemas.microsoft.com/office/drawing/2014/chart" uri="{C3380CC4-5D6E-409C-BE32-E72D297353CC}">
                <c16:uniqueId val="{00000001-3A07-48C4-B900-50B1D55D8DAF}"/>
              </c:ext>
            </c:extLst>
          </c:dPt>
          <c:dPt>
            <c:idx val="2"/>
            <c:invertIfNegative val="0"/>
            <c:bubble3D val="0"/>
            <c:spPr>
              <a:solidFill>
                <a:srgbClr val="C00000"/>
              </a:solidFill>
              <a:ln>
                <a:solidFill>
                  <a:srgbClr val="C00000"/>
                </a:solidFill>
              </a:ln>
              <a:effectLst/>
            </c:spPr>
            <c:extLst>
              <c:ext xmlns:c16="http://schemas.microsoft.com/office/drawing/2014/chart" uri="{C3380CC4-5D6E-409C-BE32-E72D297353CC}">
                <c16:uniqueId val="{00000003-3A07-48C4-B900-50B1D55D8D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2009 GFC</c:v>
                </c:pt>
                <c:pt idx="1">
                  <c:v>2010</c:v>
                </c:pt>
                <c:pt idx="2">
                  <c:v>2020 COVID-19</c:v>
                </c:pt>
                <c:pt idx="3">
                  <c:v>2021</c:v>
                </c:pt>
              </c:strCache>
            </c:strRef>
          </c:cat>
          <c:val>
            <c:numRef>
              <c:f>Sheet1!$B$2:$B$5</c:f>
              <c:numCache>
                <c:formatCode>General</c:formatCode>
                <c:ptCount val="4"/>
                <c:pt idx="0">
                  <c:v>-5.0999999999999996</c:v>
                </c:pt>
                <c:pt idx="1">
                  <c:v>1.3999999999999995</c:v>
                </c:pt>
                <c:pt idx="2">
                  <c:v>-7.3000000000000007</c:v>
                </c:pt>
                <c:pt idx="3">
                  <c:v>1.7000000000000011</c:v>
                </c:pt>
              </c:numCache>
            </c:numRef>
          </c:val>
          <c:extLst>
            <c:ext xmlns:c16="http://schemas.microsoft.com/office/drawing/2014/chart" uri="{C3380CC4-5D6E-409C-BE32-E72D297353CC}">
              <c16:uniqueId val="{00000004-3A07-48C4-B900-50B1D55D8DAF}"/>
            </c:ext>
          </c:extLst>
        </c:ser>
        <c:dLbls>
          <c:showLegendKey val="0"/>
          <c:showVal val="0"/>
          <c:showCatName val="0"/>
          <c:showSerName val="0"/>
          <c:showPercent val="0"/>
          <c:showBubbleSize val="0"/>
        </c:dLbls>
        <c:gapWidth val="219"/>
        <c:overlap val="-27"/>
        <c:axId val="131633536"/>
        <c:axId val="131635072"/>
      </c:barChart>
      <c:catAx>
        <c:axId val="1316335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635072"/>
        <c:crosses val="autoZero"/>
        <c:auto val="1"/>
        <c:lblAlgn val="ctr"/>
        <c:lblOffset val="100"/>
        <c:noMultiLvlLbl val="0"/>
      </c:catAx>
      <c:valAx>
        <c:axId val="13163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տոկոսայ</a:t>
                </a:r>
                <a:r>
                  <a:rPr lang="hy-AM" sz="900" b="0" i="0" u="none" strike="noStrike" kern="1200" baseline="0">
                    <a:solidFill>
                      <a:sysClr val="windowText" lastClr="000000">
                        <a:lumMod val="65000"/>
                        <a:lumOff val="35000"/>
                      </a:sysClr>
                    </a:solidFill>
                    <a:latin typeface="GHEA Grapalat" panose="02000506050000020003" pitchFamily="50" charset="0"/>
                    <a:ea typeface="+mn-ea"/>
                    <a:cs typeface="+mn-cs"/>
                  </a:rPr>
                  <a:t>ին</a:t>
                </a:r>
                <a:r>
                  <a:rPr lang="hy-AM" sz="900">
                    <a:latin typeface="GHEA Grapalat" panose="02000506050000020003" pitchFamily="50" charset="0"/>
                  </a:rPr>
                  <a:t> կետ</a:t>
                </a:r>
                <a:endParaRPr lang="en-US" sz="900">
                  <a:latin typeface="GHEA Grapalat" panose="02000506050000020003" pitchFamily="50" charset="0"/>
                </a:endParaRP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633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0.64655</cdr:x>
      <cdr:y>0.00474</cdr:y>
    </cdr:from>
    <cdr:to>
      <cdr:x>1</cdr:x>
      <cdr:y>0.85714</cdr:y>
    </cdr:to>
    <cdr:sp macro="" textlink="">
      <cdr:nvSpPr>
        <cdr:cNvPr id="2" name="Rectangle 1"/>
        <cdr:cNvSpPr/>
      </cdr:nvSpPr>
      <cdr:spPr>
        <a:xfrm xmlns:a="http://schemas.openxmlformats.org/drawingml/2006/main">
          <a:off x="2026110" y="8533"/>
          <a:ext cx="1107615" cy="1534517"/>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0.xml><?xml version="1.0" encoding="utf-8"?>
<c:userShapes xmlns:c="http://schemas.openxmlformats.org/drawingml/2006/chart">
  <cdr:relSizeAnchor xmlns:cdr="http://schemas.openxmlformats.org/drawingml/2006/chartDrawing">
    <cdr:from>
      <cdr:x>0.41391</cdr:x>
      <cdr:y>0.01981</cdr:y>
    </cdr:from>
    <cdr:to>
      <cdr:x>0.98533</cdr:x>
      <cdr:y>0.70474</cdr:y>
    </cdr:to>
    <cdr:sp macro="" textlink="">
      <cdr:nvSpPr>
        <cdr:cNvPr id="2" name="Rectangle 1"/>
        <cdr:cNvSpPr/>
      </cdr:nvSpPr>
      <cdr:spPr>
        <a:xfrm xmlns:a="http://schemas.openxmlformats.org/drawingml/2006/main">
          <a:off x="1265540" y="38100"/>
          <a:ext cx="1747131" cy="1317407"/>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0.39474</cdr:x>
      <cdr:y>0.0215</cdr:y>
    </cdr:from>
    <cdr:to>
      <cdr:x>0.97524</cdr:x>
      <cdr:y>0.75559</cdr:y>
    </cdr:to>
    <cdr:sp macro="" textlink="">
      <cdr:nvSpPr>
        <cdr:cNvPr id="2" name="Rectangle 1"/>
        <cdr:cNvSpPr/>
      </cdr:nvSpPr>
      <cdr:spPr>
        <a:xfrm xmlns:a="http://schemas.openxmlformats.org/drawingml/2006/main">
          <a:off x="1279119" y="43078"/>
          <a:ext cx="1881047" cy="1471169"/>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2.xml><?xml version="1.0" encoding="utf-8"?>
<c:userShapes xmlns:c="http://schemas.openxmlformats.org/drawingml/2006/chart">
  <cdr:relSizeAnchor xmlns:cdr="http://schemas.openxmlformats.org/drawingml/2006/chartDrawing">
    <cdr:from>
      <cdr:x>0.39477</cdr:x>
      <cdr:y>0.02808</cdr:y>
    </cdr:from>
    <cdr:to>
      <cdr:x>0.98333</cdr:x>
      <cdr:y>0.74892</cdr:y>
    </cdr:to>
    <cdr:sp macro="" textlink="">
      <cdr:nvSpPr>
        <cdr:cNvPr id="2" name="Rectangle 1"/>
        <cdr:cNvSpPr/>
      </cdr:nvSpPr>
      <cdr:spPr>
        <a:xfrm xmlns:a="http://schemas.openxmlformats.org/drawingml/2006/main">
          <a:off x="1207008" y="57302"/>
          <a:ext cx="1799539" cy="1471169"/>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3.xml><?xml version="1.0" encoding="utf-8"?>
<c:userShapes xmlns:c="http://schemas.openxmlformats.org/drawingml/2006/chart">
  <cdr:relSizeAnchor xmlns:cdr="http://schemas.openxmlformats.org/drawingml/2006/chartDrawing">
    <cdr:from>
      <cdr:x>0.45619</cdr:x>
      <cdr:y>0.0606</cdr:y>
    </cdr:from>
    <cdr:to>
      <cdr:x>0.97167</cdr:x>
      <cdr:y>0.8165</cdr:y>
    </cdr:to>
    <cdr:sp macro="" textlink="">
      <cdr:nvSpPr>
        <cdr:cNvPr id="2" name="Rectangle 1"/>
        <cdr:cNvSpPr/>
      </cdr:nvSpPr>
      <cdr:spPr>
        <a:xfrm xmlns:a="http://schemas.openxmlformats.org/drawingml/2006/main">
          <a:off x="1438275" y="180974"/>
          <a:ext cx="1625196" cy="2257425"/>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4.xml><?xml version="1.0" encoding="utf-8"?>
<c:userShapes xmlns:c="http://schemas.openxmlformats.org/drawingml/2006/chart">
  <cdr:relSizeAnchor xmlns:cdr="http://schemas.openxmlformats.org/drawingml/2006/chartDrawing">
    <cdr:from>
      <cdr:x>0.425</cdr:x>
      <cdr:y>0.07006</cdr:y>
    </cdr:from>
    <cdr:to>
      <cdr:x>1</cdr:x>
      <cdr:y>0.85669</cdr:y>
    </cdr:to>
    <cdr:sp macro="" textlink="">
      <cdr:nvSpPr>
        <cdr:cNvPr id="3" name="Rectangle 2"/>
        <cdr:cNvSpPr/>
      </cdr:nvSpPr>
      <cdr:spPr>
        <a:xfrm xmlns:a="http://schemas.openxmlformats.org/drawingml/2006/main">
          <a:off x="1295400" y="209550"/>
          <a:ext cx="1752600" cy="2352674"/>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5.xml><?xml version="1.0" encoding="utf-8"?>
<c:userShapes xmlns:c="http://schemas.openxmlformats.org/drawingml/2006/chart">
  <cdr:relSizeAnchor xmlns:cdr="http://schemas.openxmlformats.org/drawingml/2006/chartDrawing">
    <cdr:from>
      <cdr:x>0.36915</cdr:x>
      <cdr:y>0</cdr:y>
    </cdr:from>
    <cdr:to>
      <cdr:x>1</cdr:x>
      <cdr:y>0.86918</cdr:y>
    </cdr:to>
    <cdr:sp macro="" textlink="">
      <cdr:nvSpPr>
        <cdr:cNvPr id="3" name="Rectangle 2">
          <a:extLst xmlns:a="http://schemas.openxmlformats.org/drawingml/2006/main">
            <a:ext uri="{FF2B5EF4-FFF2-40B4-BE49-F238E27FC236}">
              <a16:creationId xmlns:a16="http://schemas.microsoft.com/office/drawing/2014/main" id="{C3022921-6978-44F3-893D-35C746FCD3B9}"/>
            </a:ext>
          </a:extLst>
        </cdr:cNvPr>
        <cdr:cNvSpPr/>
      </cdr:nvSpPr>
      <cdr:spPr>
        <a:xfrm xmlns:a="http://schemas.openxmlformats.org/drawingml/2006/main">
          <a:off x="2367778" y="0"/>
          <a:ext cx="4046357" cy="2502999"/>
        </a:xfrm>
        <a:prstGeom xmlns:a="http://schemas.openxmlformats.org/drawingml/2006/main" prst="rect">
          <a:avLst/>
        </a:prstGeom>
        <a:solidFill xmlns:a="http://schemas.openxmlformats.org/drawingml/2006/main">
          <a:schemeClr val="bg1">
            <a:lumMod val="50000"/>
            <a:alpha val="1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dirty="0"/>
        </a:p>
      </cdr:txBody>
    </cdr:sp>
  </cdr:relSizeAnchor>
</c:userShapes>
</file>

<file path=word/drawings/drawing16.xml><?xml version="1.0" encoding="utf-8"?>
<c:userShapes xmlns:c="http://schemas.openxmlformats.org/drawingml/2006/chart">
  <cdr:relSizeAnchor xmlns:cdr="http://schemas.openxmlformats.org/drawingml/2006/chartDrawing">
    <cdr:from>
      <cdr:x>0.3589</cdr:x>
      <cdr:y>0.01129</cdr:y>
    </cdr:from>
    <cdr:to>
      <cdr:x>1</cdr:x>
      <cdr:y>0.80528</cdr:y>
    </cdr:to>
    <cdr:sp macro="" textlink="">
      <cdr:nvSpPr>
        <cdr:cNvPr id="3" name="Rectangle 2">
          <a:extLst xmlns:a="http://schemas.openxmlformats.org/drawingml/2006/main">
            <a:ext uri="{FF2B5EF4-FFF2-40B4-BE49-F238E27FC236}">
              <a16:creationId xmlns:a16="http://schemas.microsoft.com/office/drawing/2014/main" id="{C3022921-6978-44F3-893D-35C746FCD3B9}"/>
            </a:ext>
          </a:extLst>
        </cdr:cNvPr>
        <cdr:cNvSpPr/>
      </cdr:nvSpPr>
      <cdr:spPr>
        <a:xfrm xmlns:a="http://schemas.openxmlformats.org/drawingml/2006/main">
          <a:off x="1104183" y="32585"/>
          <a:ext cx="1972392" cy="2291516"/>
        </a:xfrm>
        <a:prstGeom xmlns:a="http://schemas.openxmlformats.org/drawingml/2006/main" prst="rect">
          <a:avLst/>
        </a:prstGeom>
        <a:solidFill xmlns:a="http://schemas.openxmlformats.org/drawingml/2006/main">
          <a:schemeClr val="bg1">
            <a:lumMod val="50000"/>
            <a:alpha val="1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dirty="0"/>
        </a:p>
      </cdr:txBody>
    </cdr:sp>
  </cdr:relSizeAnchor>
</c:userShapes>
</file>

<file path=word/drawings/drawing17.xml><?xml version="1.0" encoding="utf-8"?>
<c:userShapes xmlns:c="http://schemas.openxmlformats.org/drawingml/2006/chart">
  <cdr:relSizeAnchor xmlns:cdr="http://schemas.openxmlformats.org/drawingml/2006/chartDrawing">
    <cdr:from>
      <cdr:x>0.44532</cdr:x>
      <cdr:y>0.31887</cdr:y>
    </cdr:from>
    <cdr:to>
      <cdr:x>0.915</cdr:x>
      <cdr:y>0.32083</cdr:y>
    </cdr:to>
    <cdr:cxnSp macro="">
      <cdr:nvCxnSpPr>
        <cdr:cNvPr id="3" name="Straight Arrow Connector 2"/>
        <cdr:cNvCxnSpPr/>
      </cdr:nvCxnSpPr>
      <cdr:spPr>
        <a:xfrm xmlns:a="http://schemas.openxmlformats.org/drawingml/2006/main">
          <a:off x="2725136" y="918266"/>
          <a:ext cx="2874204" cy="5645"/>
        </a:xfrm>
        <a:prstGeom xmlns:a="http://schemas.openxmlformats.org/drawingml/2006/main" prst="straightConnector1">
          <a:avLst/>
        </a:prstGeom>
        <a:ln xmlns:a="http://schemas.openxmlformats.org/drawingml/2006/main" w="19050">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0.40525</cdr:x>
      <cdr:y>0.5854</cdr:y>
    </cdr:from>
    <cdr:to>
      <cdr:x>0.89867</cdr:x>
      <cdr:y>0.63231</cdr:y>
    </cdr:to>
    <cdr:cxnSp macro="">
      <cdr:nvCxnSpPr>
        <cdr:cNvPr id="4" name="Straight Arrow Connector 3"/>
        <cdr:cNvCxnSpPr/>
      </cdr:nvCxnSpPr>
      <cdr:spPr>
        <a:xfrm xmlns:a="http://schemas.openxmlformats.org/drawingml/2006/main" flipV="1">
          <a:off x="2042447" y="1979276"/>
          <a:ext cx="2486826" cy="158613"/>
        </a:xfrm>
        <a:prstGeom xmlns:a="http://schemas.openxmlformats.org/drawingml/2006/main" prst="straightConnector1">
          <a:avLst/>
        </a:prstGeom>
        <a:ln xmlns:a="http://schemas.openxmlformats.org/drawingml/2006/main" w="19050">
          <a:solidFill>
            <a:schemeClr val="accent2"/>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0.34421</cdr:x>
      <cdr:y>3.46491E-7</cdr:y>
    </cdr:from>
    <cdr:to>
      <cdr:x>1</cdr:x>
      <cdr:y>0.83168</cdr:y>
    </cdr:to>
    <cdr:sp macro="" textlink="">
      <cdr:nvSpPr>
        <cdr:cNvPr id="6" name="Rectangle 5">
          <a:extLst xmlns:a="http://schemas.openxmlformats.org/drawingml/2006/main">
            <a:ext uri="{FF2B5EF4-FFF2-40B4-BE49-F238E27FC236}">
              <a16:creationId xmlns:a16="http://schemas.microsoft.com/office/drawing/2014/main" id="{C3022921-6978-44F3-893D-35C746FCD3B9}"/>
            </a:ext>
          </a:extLst>
        </cdr:cNvPr>
        <cdr:cNvSpPr/>
      </cdr:nvSpPr>
      <cdr:spPr>
        <a:xfrm xmlns:a="http://schemas.openxmlformats.org/drawingml/2006/main">
          <a:off x="1058988" y="1"/>
          <a:ext cx="2017587" cy="2400299"/>
        </a:xfrm>
        <a:prstGeom xmlns:a="http://schemas.openxmlformats.org/drawingml/2006/main" prst="rect">
          <a:avLst/>
        </a:prstGeom>
        <a:solidFill xmlns:a="http://schemas.openxmlformats.org/drawingml/2006/main">
          <a:schemeClr val="bg1">
            <a:lumMod val="50000"/>
            <a:alpha val="1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dirty="0"/>
        </a:p>
      </cdr:txBody>
    </cdr:sp>
  </cdr:relSizeAnchor>
</c:userShapes>
</file>

<file path=word/drawings/drawing18.xml><?xml version="1.0" encoding="utf-8"?>
<c:userShapes xmlns:c="http://schemas.openxmlformats.org/drawingml/2006/chart">
  <cdr:relSizeAnchor xmlns:cdr="http://schemas.openxmlformats.org/drawingml/2006/chartDrawing">
    <cdr:from>
      <cdr:x>0.77284</cdr:x>
      <cdr:y>0</cdr:y>
    </cdr:from>
    <cdr:to>
      <cdr:x>0.90586</cdr:x>
      <cdr:y>0.87535</cdr:y>
    </cdr:to>
    <cdr:sp macro="" textlink="">
      <cdr:nvSpPr>
        <cdr:cNvPr id="2" name="Rectangle 1"/>
        <cdr:cNvSpPr/>
      </cdr:nvSpPr>
      <cdr:spPr>
        <a:xfrm xmlns:a="http://schemas.openxmlformats.org/drawingml/2006/main">
          <a:off x="2414016" y="0"/>
          <a:ext cx="415497" cy="1486336"/>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9.xml><?xml version="1.0" encoding="utf-8"?>
<c:userShapes xmlns:c="http://schemas.openxmlformats.org/drawingml/2006/chart">
  <cdr:relSizeAnchor xmlns:cdr="http://schemas.openxmlformats.org/drawingml/2006/chartDrawing">
    <cdr:from>
      <cdr:x>0.49119</cdr:x>
      <cdr:y>0</cdr:y>
    </cdr:from>
    <cdr:to>
      <cdr:x>0.98869</cdr:x>
      <cdr:y>0.71651</cdr:y>
    </cdr:to>
    <cdr:sp macro="" textlink="">
      <cdr:nvSpPr>
        <cdr:cNvPr id="2" name="Rectangle 1"/>
        <cdr:cNvSpPr/>
      </cdr:nvSpPr>
      <cdr:spPr>
        <a:xfrm xmlns:a="http://schemas.openxmlformats.org/drawingml/2006/main">
          <a:off x="1519607" y="0"/>
          <a:ext cx="1539112" cy="1221639"/>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0.62463</cdr:x>
      <cdr:y>0</cdr:y>
    </cdr:from>
    <cdr:to>
      <cdr:x>1</cdr:x>
      <cdr:y>0.83491</cdr:y>
    </cdr:to>
    <cdr:sp macro="" textlink="">
      <cdr:nvSpPr>
        <cdr:cNvPr id="2" name="Rectangle 1"/>
        <cdr:cNvSpPr/>
      </cdr:nvSpPr>
      <cdr:spPr>
        <a:xfrm xmlns:a="http://schemas.openxmlformats.org/drawingml/2006/main">
          <a:off x="2028826" y="0"/>
          <a:ext cx="1219199" cy="1685934"/>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0.xml><?xml version="1.0" encoding="utf-8"?>
<c:userShapes xmlns:c="http://schemas.openxmlformats.org/drawingml/2006/chart">
  <cdr:relSizeAnchor xmlns:cdr="http://schemas.openxmlformats.org/drawingml/2006/chartDrawing">
    <cdr:from>
      <cdr:x>0.5082</cdr:x>
      <cdr:y>0</cdr:y>
    </cdr:from>
    <cdr:to>
      <cdr:x>0.96722</cdr:x>
      <cdr:y>0.76567</cdr:y>
    </cdr:to>
    <cdr:sp macro="" textlink="">
      <cdr:nvSpPr>
        <cdr:cNvPr id="2" name="Rectangle 1"/>
        <cdr:cNvSpPr/>
      </cdr:nvSpPr>
      <cdr:spPr>
        <a:xfrm xmlns:a="http://schemas.openxmlformats.org/drawingml/2006/main">
          <a:off x="1587398" y="0"/>
          <a:ext cx="1433779" cy="1280160"/>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1.xml><?xml version="1.0" encoding="utf-8"?>
<c:userShapes xmlns:c="http://schemas.openxmlformats.org/drawingml/2006/chart">
  <cdr:relSizeAnchor xmlns:cdr="http://schemas.openxmlformats.org/drawingml/2006/chartDrawing">
    <cdr:from>
      <cdr:x>0.5837</cdr:x>
      <cdr:y>0</cdr:y>
    </cdr:from>
    <cdr:to>
      <cdr:x>0.96617</cdr:x>
      <cdr:y>0.83722</cdr:y>
    </cdr:to>
    <cdr:sp macro="" textlink="">
      <cdr:nvSpPr>
        <cdr:cNvPr id="2" name="Rectangle 1"/>
        <cdr:cNvSpPr/>
      </cdr:nvSpPr>
      <cdr:spPr>
        <a:xfrm xmlns:a="http://schemas.openxmlformats.org/drawingml/2006/main">
          <a:off x="3053788" y="0"/>
          <a:ext cx="2000993" cy="1943656"/>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2.xml><?xml version="1.0" encoding="utf-8"?>
<c:userShapes xmlns:c="http://schemas.openxmlformats.org/drawingml/2006/chart">
  <cdr:relSizeAnchor xmlns:cdr="http://schemas.openxmlformats.org/drawingml/2006/chartDrawing">
    <cdr:from>
      <cdr:x>0.48792</cdr:x>
      <cdr:y>0.07084</cdr:y>
    </cdr:from>
    <cdr:to>
      <cdr:x>0.95004</cdr:x>
      <cdr:y>0.79503</cdr:y>
    </cdr:to>
    <cdr:sp macro="" textlink="">
      <cdr:nvSpPr>
        <cdr:cNvPr id="2" name="Rectangle 1"/>
        <cdr:cNvSpPr/>
      </cdr:nvSpPr>
      <cdr:spPr>
        <a:xfrm xmlns:a="http://schemas.openxmlformats.org/drawingml/2006/main">
          <a:off x="1513825" y="131674"/>
          <a:ext cx="1433779" cy="1345997"/>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3.xml><?xml version="1.0" encoding="utf-8"?>
<c:userShapes xmlns:c="http://schemas.openxmlformats.org/drawingml/2006/chart">
  <cdr:relSizeAnchor xmlns:cdr="http://schemas.openxmlformats.org/drawingml/2006/chartDrawing">
    <cdr:from>
      <cdr:x>0.48643</cdr:x>
      <cdr:y>0.03501</cdr:y>
    </cdr:from>
    <cdr:to>
      <cdr:x>0.94714</cdr:x>
      <cdr:y>0.72003</cdr:y>
    </cdr:to>
    <cdr:sp macro="" textlink="">
      <cdr:nvSpPr>
        <cdr:cNvPr id="2" name="Rectangle 1"/>
        <cdr:cNvSpPr/>
      </cdr:nvSpPr>
      <cdr:spPr>
        <a:xfrm xmlns:a="http://schemas.openxmlformats.org/drawingml/2006/main">
          <a:off x="1513840" y="65431"/>
          <a:ext cx="1433779" cy="1280160"/>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4.xml><?xml version="1.0" encoding="utf-8"?>
<c:userShapes xmlns:c="http://schemas.openxmlformats.org/drawingml/2006/chart">
  <cdr:relSizeAnchor xmlns:cdr="http://schemas.openxmlformats.org/drawingml/2006/chartDrawing">
    <cdr:from>
      <cdr:x>0.46027</cdr:x>
      <cdr:y>0.02286</cdr:y>
    </cdr:from>
    <cdr:to>
      <cdr:x>0.92016</cdr:x>
      <cdr:y>0.84838</cdr:y>
    </cdr:to>
    <cdr:sp macro="" textlink="">
      <cdr:nvSpPr>
        <cdr:cNvPr id="3" name="Rectangle 2"/>
        <cdr:cNvSpPr/>
      </cdr:nvSpPr>
      <cdr:spPr>
        <a:xfrm xmlns:a="http://schemas.openxmlformats.org/drawingml/2006/main">
          <a:off x="1543193" y="51822"/>
          <a:ext cx="1541913" cy="1871413"/>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5.xml><?xml version="1.0" encoding="utf-8"?>
<c:userShapes xmlns:c="http://schemas.openxmlformats.org/drawingml/2006/chart">
  <cdr:relSizeAnchor xmlns:cdr="http://schemas.openxmlformats.org/drawingml/2006/chartDrawing">
    <cdr:from>
      <cdr:x>0.57939</cdr:x>
      <cdr:y>0.25092</cdr:y>
    </cdr:from>
    <cdr:to>
      <cdr:x>0.90808</cdr:x>
      <cdr:y>0.32841</cdr:y>
    </cdr:to>
    <cdr:cxnSp macro="">
      <cdr:nvCxnSpPr>
        <cdr:cNvPr id="4" name="Straight Arrow Connector 3"/>
        <cdr:cNvCxnSpPr/>
      </cdr:nvCxnSpPr>
      <cdr:spPr>
        <a:xfrm xmlns:a="http://schemas.openxmlformats.org/drawingml/2006/main" flipV="1">
          <a:off x="1981200" y="647700"/>
          <a:ext cx="1123950" cy="20002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0.47354</cdr:x>
      <cdr:y>0.04305</cdr:y>
    </cdr:from>
    <cdr:to>
      <cdr:x>0.94986</cdr:x>
      <cdr:y>0.86054</cdr:y>
    </cdr:to>
    <cdr:sp macro="" textlink="">
      <cdr:nvSpPr>
        <cdr:cNvPr id="5" name="Rectangle 4"/>
        <cdr:cNvSpPr/>
      </cdr:nvSpPr>
      <cdr:spPr>
        <a:xfrm xmlns:a="http://schemas.openxmlformats.org/drawingml/2006/main">
          <a:off x="1619250" y="120557"/>
          <a:ext cx="1628775" cy="228926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6.xml><?xml version="1.0" encoding="utf-8"?>
<c:userShapes xmlns:c="http://schemas.openxmlformats.org/drawingml/2006/chart">
  <cdr:relSizeAnchor xmlns:cdr="http://schemas.openxmlformats.org/drawingml/2006/chartDrawing">
    <cdr:from>
      <cdr:x>0.38097</cdr:x>
      <cdr:y>0.07497</cdr:y>
    </cdr:from>
    <cdr:to>
      <cdr:x>0.80543</cdr:x>
      <cdr:y>0.21226</cdr:y>
    </cdr:to>
    <cdr:sp macro="" textlink="">
      <cdr:nvSpPr>
        <cdr:cNvPr id="2" name="Text Box 1"/>
        <cdr:cNvSpPr txBox="1"/>
      </cdr:nvSpPr>
      <cdr:spPr>
        <a:xfrm xmlns:a="http://schemas.openxmlformats.org/drawingml/2006/main">
          <a:off x="1128538" y="152092"/>
          <a:ext cx="1257361" cy="2785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0.35093</cdr:x>
      <cdr:y>0.0766</cdr:y>
    </cdr:from>
    <cdr:to>
      <cdr:x>0.73913</cdr:x>
      <cdr:y>0.1895</cdr:y>
    </cdr:to>
    <cdr:sp macro="" textlink="">
      <cdr:nvSpPr>
        <cdr:cNvPr id="2" name="Text Box 1"/>
        <cdr:cNvSpPr txBox="1"/>
      </cdr:nvSpPr>
      <cdr:spPr>
        <a:xfrm xmlns:a="http://schemas.openxmlformats.org/drawingml/2006/main">
          <a:off x="1076325" y="171450"/>
          <a:ext cx="1190625"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0.43652</cdr:x>
      <cdr:y>0</cdr:y>
    </cdr:from>
    <cdr:to>
      <cdr:x>0.81483</cdr:x>
      <cdr:y>0.1122</cdr:y>
    </cdr:to>
    <cdr:sp macro="" textlink="">
      <cdr:nvSpPr>
        <cdr:cNvPr id="3" name="Text Box 2"/>
        <cdr:cNvSpPr txBox="1"/>
      </cdr:nvSpPr>
      <cdr:spPr>
        <a:xfrm xmlns:a="http://schemas.openxmlformats.org/drawingml/2006/main">
          <a:off x="1330528" y="-1114425"/>
          <a:ext cx="1153059" cy="2490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Արտահանում</a:t>
          </a:r>
          <a:endParaRPr lang="en-US" sz="1000" b="1">
            <a:latin typeface="GHEA Grapalat" panose="02000506050000020003" pitchFamily="50" charset="0"/>
          </a:endParaRPr>
        </a:p>
      </cdr:txBody>
    </cdr:sp>
  </cdr:relSizeAnchor>
  <cdr:relSizeAnchor xmlns:cdr="http://schemas.openxmlformats.org/drawingml/2006/chartDrawing">
    <cdr:from>
      <cdr:x>0.69063</cdr:x>
      <cdr:y>0.05164</cdr:y>
    </cdr:from>
    <cdr:to>
      <cdr:x>0.96308</cdr:x>
      <cdr:y>0.14163</cdr:y>
    </cdr:to>
    <cdr:cxnSp macro="">
      <cdr:nvCxnSpPr>
        <cdr:cNvPr id="5" name="Straight Arrow Connector 4"/>
        <cdr:cNvCxnSpPr/>
      </cdr:nvCxnSpPr>
      <cdr:spPr>
        <a:xfrm xmlns:a="http://schemas.openxmlformats.org/drawingml/2006/main" flipV="1">
          <a:off x="2105025" y="114613"/>
          <a:ext cx="830443" cy="19971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0.68413</cdr:x>
      <cdr:y>0</cdr:y>
    </cdr:from>
    <cdr:to>
      <cdr:x>1</cdr:x>
      <cdr:y>0.83232</cdr:y>
    </cdr:to>
    <cdr:sp macro="" textlink="">
      <cdr:nvSpPr>
        <cdr:cNvPr id="4" name="Rectangle 3"/>
        <cdr:cNvSpPr/>
      </cdr:nvSpPr>
      <cdr:spPr>
        <a:xfrm xmlns:a="http://schemas.openxmlformats.org/drawingml/2006/main">
          <a:off x="2085228" y="-7362825"/>
          <a:ext cx="962772" cy="184718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9.xml><?xml version="1.0" encoding="utf-8"?>
<c:userShapes xmlns:c="http://schemas.openxmlformats.org/drawingml/2006/chart">
  <cdr:relSizeAnchor xmlns:cdr="http://schemas.openxmlformats.org/drawingml/2006/chartDrawing">
    <cdr:from>
      <cdr:x>0.46855</cdr:x>
      <cdr:y>0</cdr:y>
    </cdr:from>
    <cdr:to>
      <cdr:x>0.92309</cdr:x>
      <cdr:y>0.10455</cdr:y>
    </cdr:to>
    <cdr:sp macro="" textlink="">
      <cdr:nvSpPr>
        <cdr:cNvPr id="3" name="Text Box 2"/>
        <cdr:cNvSpPr txBox="1"/>
      </cdr:nvSpPr>
      <cdr:spPr>
        <a:xfrm xmlns:a="http://schemas.openxmlformats.org/drawingml/2006/main">
          <a:off x="1517112" y="-1085850"/>
          <a:ext cx="1471739" cy="2330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Ներմուծում</a:t>
          </a:r>
          <a:endParaRPr lang="en-US" sz="1000" b="1">
            <a:latin typeface="GHEA Grapalat" panose="02000506050000020003" pitchFamily="50" charset="0"/>
          </a:endParaRPr>
        </a:p>
      </cdr:txBody>
    </cdr:sp>
  </cdr:relSizeAnchor>
  <cdr:relSizeAnchor xmlns:cdr="http://schemas.openxmlformats.org/drawingml/2006/chartDrawing">
    <cdr:from>
      <cdr:x>0.65895</cdr:x>
      <cdr:y>0</cdr:y>
    </cdr:from>
    <cdr:to>
      <cdr:x>0.99117</cdr:x>
      <cdr:y>0.82968</cdr:y>
    </cdr:to>
    <cdr:sp macro="" textlink="">
      <cdr:nvSpPr>
        <cdr:cNvPr id="4" name="Rectangle 3"/>
        <cdr:cNvSpPr/>
      </cdr:nvSpPr>
      <cdr:spPr>
        <a:xfrm xmlns:a="http://schemas.openxmlformats.org/drawingml/2006/main">
          <a:off x="2133600" y="0"/>
          <a:ext cx="1075690" cy="1849232"/>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0.64833</cdr:x>
      <cdr:y>0</cdr:y>
    </cdr:from>
    <cdr:to>
      <cdr:x>0.97237</cdr:x>
      <cdr:y>0.83248</cdr:y>
    </cdr:to>
    <cdr:sp macro="" textlink="">
      <cdr:nvSpPr>
        <cdr:cNvPr id="2" name="Rectangle 1"/>
        <cdr:cNvSpPr/>
      </cdr:nvSpPr>
      <cdr:spPr>
        <a:xfrm xmlns:a="http://schemas.openxmlformats.org/drawingml/2006/main">
          <a:off x="2007404" y="0"/>
          <a:ext cx="1003312" cy="1440503"/>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30.xml><?xml version="1.0" encoding="utf-8"?>
<c:userShapes xmlns:c="http://schemas.openxmlformats.org/drawingml/2006/chart">
  <cdr:relSizeAnchor xmlns:cdr="http://schemas.openxmlformats.org/drawingml/2006/chartDrawing">
    <cdr:from>
      <cdr:x>0.55136</cdr:x>
      <cdr:y>0.16295</cdr:y>
    </cdr:from>
    <cdr:to>
      <cdr:x>0.97487</cdr:x>
      <cdr:y>0.82037</cdr:y>
    </cdr:to>
    <cdr:sp macro="" textlink="">
      <cdr:nvSpPr>
        <cdr:cNvPr id="2" name="Rectangle 1"/>
        <cdr:cNvSpPr/>
      </cdr:nvSpPr>
      <cdr:spPr>
        <a:xfrm xmlns:a="http://schemas.openxmlformats.org/drawingml/2006/main">
          <a:off x="3473450" y="353879"/>
          <a:ext cx="2668070" cy="1427719"/>
        </a:xfrm>
        <a:prstGeom xmlns:a="http://schemas.openxmlformats.org/drawingml/2006/main" prst="rect">
          <a:avLst/>
        </a:prstGeom>
        <a:solidFill xmlns:a="http://schemas.openxmlformats.org/drawingml/2006/main">
          <a:schemeClr val="accent1">
            <a:alpha val="20000"/>
          </a:schemeClr>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4.xml><?xml version="1.0" encoding="utf-8"?>
<c:userShapes xmlns:c="http://schemas.openxmlformats.org/drawingml/2006/chart">
  <cdr:relSizeAnchor xmlns:cdr="http://schemas.openxmlformats.org/drawingml/2006/chartDrawing">
    <cdr:from>
      <cdr:x>0.75466</cdr:x>
      <cdr:y>0.01818</cdr:y>
    </cdr:from>
    <cdr:to>
      <cdr:x>0.9608</cdr:x>
      <cdr:y>0.84091</cdr:y>
    </cdr:to>
    <cdr:sp macro="" textlink="">
      <cdr:nvSpPr>
        <cdr:cNvPr id="2" name="Rectangle 1"/>
        <cdr:cNvSpPr/>
      </cdr:nvSpPr>
      <cdr:spPr>
        <a:xfrm xmlns:a="http://schemas.openxmlformats.org/drawingml/2006/main">
          <a:off x="1466850" y="38100"/>
          <a:ext cx="400685" cy="1724031"/>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0.75234</cdr:x>
      <cdr:y>0</cdr:y>
    </cdr:from>
    <cdr:to>
      <cdr:x>0.96851</cdr:x>
      <cdr:y>0.83486</cdr:y>
    </cdr:to>
    <cdr:sp macro="" textlink="">
      <cdr:nvSpPr>
        <cdr:cNvPr id="3" name="Rectangle 2"/>
        <cdr:cNvSpPr/>
      </cdr:nvSpPr>
      <cdr:spPr>
        <a:xfrm xmlns:a="http://schemas.openxmlformats.org/drawingml/2006/main">
          <a:off x="1533524" y="0"/>
          <a:ext cx="440637" cy="1924394"/>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0.75529</cdr:x>
      <cdr:y>0</cdr:y>
    </cdr:from>
    <cdr:to>
      <cdr:x>0.98556</cdr:x>
      <cdr:y>0.80093</cdr:y>
    </cdr:to>
    <cdr:sp macro="" textlink="">
      <cdr:nvSpPr>
        <cdr:cNvPr id="2" name="Rectangle 1"/>
        <cdr:cNvSpPr/>
      </cdr:nvSpPr>
      <cdr:spPr>
        <a:xfrm xmlns:a="http://schemas.openxmlformats.org/drawingml/2006/main">
          <a:off x="1495424" y="0"/>
          <a:ext cx="455915" cy="1869070"/>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0.41525</cdr:x>
      <cdr:y>0.02174</cdr:y>
    </cdr:from>
    <cdr:to>
      <cdr:x>0.9717</cdr:x>
      <cdr:y>0.58343</cdr:y>
    </cdr:to>
    <cdr:sp macro="" textlink="">
      <cdr:nvSpPr>
        <cdr:cNvPr id="2" name="Rectangle 1"/>
        <cdr:cNvSpPr/>
      </cdr:nvSpPr>
      <cdr:spPr>
        <a:xfrm xmlns:a="http://schemas.openxmlformats.org/drawingml/2006/main">
          <a:off x="1345578" y="43886"/>
          <a:ext cx="1803139" cy="1133864"/>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0.4077</cdr:x>
      <cdr:y>0</cdr:y>
    </cdr:from>
    <cdr:to>
      <cdr:x>0.98158</cdr:x>
      <cdr:y>0.54822</cdr:y>
    </cdr:to>
    <cdr:sp macro="" textlink="">
      <cdr:nvSpPr>
        <cdr:cNvPr id="3" name="Rectangle 2"/>
        <cdr:cNvSpPr/>
      </cdr:nvSpPr>
      <cdr:spPr>
        <a:xfrm xmlns:a="http://schemas.openxmlformats.org/drawingml/2006/main">
          <a:off x="1221958" y="0"/>
          <a:ext cx="1720025" cy="1106673"/>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0.39487</cdr:x>
      <cdr:y>0.02641</cdr:y>
    </cdr:from>
    <cdr:to>
      <cdr:x>0.96614</cdr:x>
      <cdr:y>0.73783</cdr:y>
    </cdr:to>
    <cdr:sp macro="" textlink="">
      <cdr:nvSpPr>
        <cdr:cNvPr id="2" name="Rectangle 1"/>
        <cdr:cNvSpPr/>
      </cdr:nvSpPr>
      <cdr:spPr>
        <a:xfrm xmlns:a="http://schemas.openxmlformats.org/drawingml/2006/main">
          <a:off x="1279526" y="50799"/>
          <a:ext cx="1851151" cy="1368349"/>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942B95-44E1-41A0-BBD4-D1C6CB64C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7926</Words>
  <Characters>59745</Characters>
  <Application>Microsoft Office Word</Application>
  <DocSecurity>0</DocSecurity>
  <Lines>497</Lines>
  <Paragraphs>135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¶ÈàôÊ 11</vt:lpstr>
      <vt:lpstr>¶ÈàôÊ 11</vt:lpstr>
    </vt:vector>
  </TitlesOfParts>
  <Company>SPecialiST RePack</Company>
  <LinksUpToDate>false</LinksUpToDate>
  <CharactersWithSpaces>67536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¶ÈàôÊ 11</dc:title>
  <dc:creator>mariam</dc:creator>
  <cp:keywords>https:/mul2.gov.am/tasks/298961/oneclick/voroshumNrk246.1.docx?token=623693dee67b87df7c6f7cabd818aecd</cp:keywords>
  <cp:lastModifiedBy>Hasmik Petrosyan</cp:lastModifiedBy>
  <cp:revision>2</cp:revision>
  <cp:lastPrinted>2021-07-16T09:06:00Z</cp:lastPrinted>
  <dcterms:created xsi:type="dcterms:W3CDTF">2021-07-30T07:28:00Z</dcterms:created>
  <dcterms:modified xsi:type="dcterms:W3CDTF">2021-07-30T07:28:00Z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1033-11.2.0.10176</vt:lpwstr>
  </property>
</Properties>
</file>