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41.xml" ContentType="application/vnd.openxmlformats-officedocument.drawingml.chart+xml"/>
  <Override PartName="/word/theme/themeOverride3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A20" w:rsidRPr="006B3656" w:rsidRDefault="00AC2A20" w:rsidP="000B13C7">
      <w:pPr>
        <w:tabs>
          <w:tab w:val="left" w:pos="0"/>
        </w:tabs>
        <w:jc w:val="center"/>
        <w:rPr>
          <w:rFonts w:ascii="GHEA Grapalat" w:hAnsi="GHEA Grapalat"/>
          <w:b/>
        </w:rPr>
      </w:pPr>
      <w:r w:rsidRPr="006B3656">
        <w:rPr>
          <w:rFonts w:ascii="GHEA Grapalat" w:hAnsi="GHEA Grapalat"/>
          <w:b/>
        </w:rPr>
        <w:t>ՀԱՅԱՍՏԱՆԻ ՀԱՆՐԱՊԵՏՈՒԹՅԱՆ 202</w:t>
      </w:r>
      <w:r w:rsidR="00F57E3E" w:rsidRPr="006B3656">
        <w:rPr>
          <w:rFonts w:ascii="GHEA Grapalat" w:hAnsi="GHEA Grapalat"/>
          <w:b/>
        </w:rPr>
        <w:t>4</w:t>
      </w:r>
      <w:r w:rsidRPr="006B3656">
        <w:rPr>
          <w:rFonts w:ascii="GHEA Grapalat" w:hAnsi="GHEA Grapalat"/>
          <w:b/>
        </w:rPr>
        <w:t xml:space="preserve"> ԹՎԱԿԱՆԻ </w:t>
      </w:r>
      <w:r w:rsidR="00F57E3E" w:rsidRPr="006B3656">
        <w:rPr>
          <w:rFonts w:ascii="GHEA Grapalat" w:hAnsi="GHEA Grapalat"/>
          <w:b/>
        </w:rPr>
        <w:t xml:space="preserve">ԱՌԱՋԻՆ </w:t>
      </w:r>
      <w:r w:rsidR="00526BCC" w:rsidRPr="006B3656">
        <w:rPr>
          <w:rFonts w:ascii="GHEA Grapalat" w:hAnsi="GHEA Grapalat"/>
          <w:b/>
        </w:rPr>
        <w:t>ԿԻՍԱՄՅԱԿ</w:t>
      </w:r>
      <w:r w:rsidR="00F57E3E" w:rsidRPr="006B3656">
        <w:rPr>
          <w:rFonts w:ascii="GHEA Grapalat" w:hAnsi="GHEA Grapalat"/>
          <w:b/>
        </w:rPr>
        <w:t>Ի</w:t>
      </w:r>
      <w:r w:rsidRPr="006B3656">
        <w:rPr>
          <w:rFonts w:ascii="GHEA Grapalat" w:hAnsi="GHEA Grapalat"/>
          <w:b/>
        </w:rPr>
        <w:t xml:space="preserve"> ՊԵՏԱԿԱՆ ԲՅՈՒՋԵԻ ԿԱՏԱՐՄԱՆ ՎԵՐԼՈՒԾՈՒԹՅՈՒՆ</w:t>
      </w:r>
    </w:p>
    <w:p w:rsidR="006E47C6" w:rsidRPr="006B3656" w:rsidRDefault="006E47C6" w:rsidP="00072A18">
      <w:pPr>
        <w:pStyle w:val="TOC1"/>
      </w:pPr>
    </w:p>
    <w:p w:rsidR="00CB4B50" w:rsidRPr="006B3656" w:rsidRDefault="00CB4B50" w:rsidP="00CB4B50">
      <w:pPr>
        <w:rPr>
          <w:rFonts w:ascii="GHEA Grapalat" w:hAnsi="GHEA Grapalat"/>
        </w:rPr>
      </w:pPr>
    </w:p>
    <w:p w:rsidR="00C8194D" w:rsidRPr="006B3656" w:rsidRDefault="00C8194D" w:rsidP="009064FB">
      <w:pPr>
        <w:tabs>
          <w:tab w:val="left" w:pos="0"/>
        </w:tabs>
        <w:jc w:val="center"/>
        <w:rPr>
          <w:rFonts w:ascii="GHEA Grapalat" w:hAnsi="GHEA Grapalat"/>
          <w:b/>
        </w:rPr>
      </w:pPr>
      <w:r w:rsidRPr="006B3656">
        <w:rPr>
          <w:rFonts w:ascii="GHEA Grapalat" w:hAnsi="GHEA Grapalat"/>
          <w:b/>
        </w:rPr>
        <w:t>ԲՈՎԱՆԴԱԿՈՒԹՅՈՒՆ</w:t>
      </w:r>
    </w:p>
    <w:p w:rsidR="003728C6" w:rsidRPr="006B3656" w:rsidRDefault="003728C6" w:rsidP="003728C6">
      <w:pPr>
        <w:tabs>
          <w:tab w:val="left" w:pos="0"/>
        </w:tabs>
        <w:rPr>
          <w:rFonts w:ascii="GHEA Grapalat" w:hAnsi="GHEA Grapalat"/>
          <w:b/>
          <w:sz w:val="22"/>
          <w:szCs w:val="22"/>
        </w:rPr>
      </w:pPr>
      <w:bookmarkStart w:id="0" w:name="_Toc71283303"/>
      <w:bookmarkStart w:id="1" w:name="_Toc71283304"/>
    </w:p>
    <w:sdt>
      <w:sdtPr>
        <w:rPr>
          <w:rStyle w:val="Hyperlink"/>
          <w:rFonts w:ascii="Arial Armenian" w:hAnsi="Arial Armenian" w:cs="Times New Roman"/>
          <w:b w:val="0"/>
          <w:bCs w:val="0"/>
          <w:caps w:val="0"/>
          <w:noProof w:val="0"/>
          <w:sz w:val="24"/>
          <w:szCs w:val="24"/>
          <w:lang w:val="hy-AM"/>
        </w:rPr>
        <w:id w:val="-1015307837"/>
        <w:docPartObj>
          <w:docPartGallery w:val="Table of Contents"/>
          <w:docPartUnique/>
        </w:docPartObj>
      </w:sdtPr>
      <w:sdtEndPr>
        <w:rPr>
          <w:rStyle w:val="DefaultParagraphFont"/>
          <w:rFonts w:ascii="GHEA Grapalat" w:hAnsi="GHEA Grapalat"/>
          <w:color w:val="auto"/>
          <w:sz w:val="22"/>
          <w:szCs w:val="22"/>
          <w:u w:val="none"/>
          <w:lang w:val="en-US"/>
        </w:rPr>
      </w:sdtEndPr>
      <w:sdtContent>
        <w:p w:rsidR="000B5DDF" w:rsidRDefault="00E37514">
          <w:pPr>
            <w:pStyle w:val="TOC1"/>
            <w:rPr>
              <w:rFonts w:asciiTheme="minorHAnsi" w:eastAsiaTheme="minorEastAsia" w:hAnsiTheme="minorHAnsi" w:cstheme="minorBidi"/>
              <w:b w:val="0"/>
              <w:bCs w:val="0"/>
              <w:caps w:val="0"/>
              <w:color w:val="auto"/>
              <w:sz w:val="22"/>
              <w:szCs w:val="22"/>
            </w:rPr>
          </w:pPr>
          <w:r w:rsidRPr="006B3656">
            <w:rPr>
              <w:sz w:val="24"/>
              <w:szCs w:val="24"/>
            </w:rPr>
            <w:fldChar w:fldCharType="begin"/>
          </w:r>
          <w:r w:rsidRPr="006B3656">
            <w:rPr>
              <w:sz w:val="24"/>
              <w:szCs w:val="24"/>
            </w:rPr>
            <w:instrText xml:space="preserve"> TOC \o "1-3" \h \z \u </w:instrText>
          </w:r>
          <w:r w:rsidRPr="006B3656">
            <w:rPr>
              <w:sz w:val="24"/>
              <w:szCs w:val="24"/>
            </w:rPr>
            <w:fldChar w:fldCharType="separate"/>
          </w:r>
          <w:hyperlink w:anchor="_Toc175925242" w:history="1">
            <w:r w:rsidR="000B5DDF" w:rsidRPr="00767D70">
              <w:rPr>
                <w:rStyle w:val="Hyperlink"/>
                <w:lang w:val="hy-AM"/>
              </w:rPr>
              <w:t>ՀԱՅԱՍՏԱՆԻ ՀԱՆՐԱՊԵՏՈՒԹՅԱՆ 202</w:t>
            </w:r>
            <w:r w:rsidR="000B5DDF" w:rsidRPr="00767D70">
              <w:rPr>
                <w:rStyle w:val="Hyperlink"/>
              </w:rPr>
              <w:t>4</w:t>
            </w:r>
            <w:r w:rsidR="000B5DDF" w:rsidRPr="00767D70">
              <w:rPr>
                <w:rStyle w:val="Hyperlink"/>
                <w:lang w:val="hy-AM"/>
              </w:rPr>
              <w:t xml:space="preserve"> ԹՎԱԿԱՆԻ</w:t>
            </w:r>
            <w:r w:rsidR="000B5DDF" w:rsidRPr="00767D70">
              <w:rPr>
                <w:rStyle w:val="Hyperlink"/>
              </w:rPr>
              <w:t xml:space="preserve"> ԱՌԱՋԻՆ ԿԻՍԱՄՅԱԿԻ</w:t>
            </w:r>
            <w:r w:rsidR="000B5DDF" w:rsidRPr="00767D70">
              <w:rPr>
                <w:rStyle w:val="Hyperlink"/>
                <w:lang w:val="hy-AM"/>
              </w:rPr>
              <w:t xml:space="preserve"> ՊԵՏԱԿԱՆ ԲՅՈՒՋԵԻ ԿԱՏԱՐՄԱՆ ԱՄՓՈՓԱԳԻՐ</w:t>
            </w:r>
            <w:r w:rsidR="000B5DDF">
              <w:rPr>
                <w:webHidden/>
              </w:rPr>
              <w:tab/>
            </w:r>
            <w:r w:rsidR="000B5DDF">
              <w:rPr>
                <w:webHidden/>
              </w:rPr>
              <w:fldChar w:fldCharType="begin"/>
            </w:r>
            <w:r w:rsidR="000B5DDF">
              <w:rPr>
                <w:webHidden/>
              </w:rPr>
              <w:instrText xml:space="preserve"> PAGEREF _Toc175925242 \h </w:instrText>
            </w:r>
            <w:r w:rsidR="000B5DDF">
              <w:rPr>
                <w:webHidden/>
              </w:rPr>
            </w:r>
            <w:r w:rsidR="000B5DDF">
              <w:rPr>
                <w:webHidden/>
              </w:rPr>
              <w:fldChar w:fldCharType="separate"/>
            </w:r>
            <w:r w:rsidR="000B5DDF">
              <w:rPr>
                <w:webHidden/>
              </w:rPr>
              <w:t>3</w:t>
            </w:r>
            <w:r w:rsidR="000B5DDF">
              <w:rPr>
                <w:webHidden/>
              </w:rPr>
              <w:fldChar w:fldCharType="end"/>
            </w:r>
          </w:hyperlink>
        </w:p>
        <w:p w:rsidR="000B5DDF" w:rsidRDefault="000B5DDF">
          <w:pPr>
            <w:pStyle w:val="TOC1"/>
            <w:rPr>
              <w:rFonts w:asciiTheme="minorHAnsi" w:eastAsiaTheme="minorEastAsia" w:hAnsiTheme="minorHAnsi" w:cstheme="minorBidi"/>
              <w:b w:val="0"/>
              <w:bCs w:val="0"/>
              <w:caps w:val="0"/>
              <w:color w:val="auto"/>
              <w:sz w:val="22"/>
              <w:szCs w:val="22"/>
            </w:rPr>
          </w:pPr>
          <w:hyperlink w:anchor="_Toc175925243" w:history="1">
            <w:r w:rsidRPr="00767D70">
              <w:rPr>
                <w:rStyle w:val="Hyperlink"/>
                <w:lang w:val="hy-AM"/>
              </w:rPr>
              <w:t>ՀԱՅԱՍՏԱՆԻ ՀԱՆՐԱՊԵՏՈՒԹՅԱՆ ՄԱԿՐՈՏՆՏԵՍԱԿԱՆ ԵՎ ՀԱՐԿԱԲՅՈՒՋԵՏԱՅԻՆ ԶԱՐԳԱՑՈՒՄՆԵՐԸ 2024 ԹՎԱԿԱՆԻ ԱՌԱՋԻՆ ԿԻՍԱՄՅԱԿՈՒՄ</w:t>
            </w:r>
            <w:r>
              <w:rPr>
                <w:webHidden/>
              </w:rPr>
              <w:tab/>
            </w:r>
            <w:r>
              <w:rPr>
                <w:webHidden/>
              </w:rPr>
              <w:fldChar w:fldCharType="begin"/>
            </w:r>
            <w:r>
              <w:rPr>
                <w:webHidden/>
              </w:rPr>
              <w:instrText xml:space="preserve"> PAGEREF _Toc175925243 \h </w:instrText>
            </w:r>
            <w:r>
              <w:rPr>
                <w:webHidden/>
              </w:rPr>
            </w:r>
            <w:r>
              <w:rPr>
                <w:webHidden/>
              </w:rPr>
              <w:fldChar w:fldCharType="separate"/>
            </w:r>
            <w:r>
              <w:rPr>
                <w:webHidden/>
              </w:rPr>
              <w:t>9</w:t>
            </w:r>
            <w:r>
              <w:rPr>
                <w:webHidden/>
              </w:rPr>
              <w:fldChar w:fldCharType="end"/>
            </w:r>
          </w:hyperlink>
        </w:p>
        <w:p w:rsidR="000B5DDF" w:rsidRDefault="000B5DDF">
          <w:pPr>
            <w:pStyle w:val="TOC2"/>
            <w:rPr>
              <w:rFonts w:asciiTheme="minorHAnsi" w:eastAsiaTheme="minorEastAsia" w:hAnsiTheme="minorHAnsi" w:cstheme="minorBidi"/>
              <w:bCs w:val="0"/>
              <w:sz w:val="22"/>
              <w:szCs w:val="22"/>
              <w:lang w:val="en-US"/>
            </w:rPr>
          </w:pPr>
          <w:hyperlink w:anchor="_Toc175925244" w:history="1">
            <w:r w:rsidRPr="00767D70">
              <w:rPr>
                <w:rStyle w:val="Hyperlink"/>
                <w:lang w:val="de-AT"/>
              </w:rPr>
              <w:t>ՄԱԿՐՈՏՆՏԵՍԱԿԱՆ ԶԱՐԳԱՑՈՒՄՆԵՐ</w:t>
            </w:r>
            <w:r>
              <w:rPr>
                <w:webHidden/>
              </w:rPr>
              <w:tab/>
            </w:r>
            <w:r>
              <w:rPr>
                <w:webHidden/>
              </w:rPr>
              <w:fldChar w:fldCharType="begin"/>
            </w:r>
            <w:r>
              <w:rPr>
                <w:webHidden/>
              </w:rPr>
              <w:instrText xml:space="preserve"> PAGEREF _Toc175925244 \h </w:instrText>
            </w:r>
            <w:r>
              <w:rPr>
                <w:webHidden/>
              </w:rPr>
            </w:r>
            <w:r>
              <w:rPr>
                <w:webHidden/>
              </w:rPr>
              <w:fldChar w:fldCharType="separate"/>
            </w:r>
            <w:r>
              <w:rPr>
                <w:webHidden/>
              </w:rPr>
              <w:t>9</w:t>
            </w:r>
            <w:r>
              <w:rPr>
                <w:webHidden/>
              </w:rPr>
              <w:fldChar w:fldCharType="end"/>
            </w:r>
          </w:hyperlink>
        </w:p>
        <w:p w:rsidR="000B5DDF" w:rsidRDefault="000B5DDF">
          <w:pPr>
            <w:pStyle w:val="TOC2"/>
            <w:rPr>
              <w:rFonts w:asciiTheme="minorHAnsi" w:eastAsiaTheme="minorEastAsia" w:hAnsiTheme="minorHAnsi" w:cstheme="minorBidi"/>
              <w:bCs w:val="0"/>
              <w:sz w:val="22"/>
              <w:szCs w:val="22"/>
              <w:lang w:val="en-US"/>
            </w:rPr>
          </w:pPr>
          <w:hyperlink w:anchor="_Toc175925245" w:history="1">
            <w:r w:rsidRPr="00767D70">
              <w:rPr>
                <w:rStyle w:val="Hyperlink"/>
                <w:lang w:val="de-AT"/>
              </w:rPr>
              <w:t>Արտաքին միջավայրի զարգացումներ</w:t>
            </w:r>
            <w:r>
              <w:rPr>
                <w:webHidden/>
              </w:rPr>
              <w:tab/>
            </w:r>
            <w:r>
              <w:rPr>
                <w:webHidden/>
              </w:rPr>
              <w:fldChar w:fldCharType="begin"/>
            </w:r>
            <w:r>
              <w:rPr>
                <w:webHidden/>
              </w:rPr>
              <w:instrText xml:space="preserve"> PAGEREF _Toc175925245 \h </w:instrText>
            </w:r>
            <w:r>
              <w:rPr>
                <w:webHidden/>
              </w:rPr>
            </w:r>
            <w:r>
              <w:rPr>
                <w:webHidden/>
              </w:rPr>
              <w:fldChar w:fldCharType="separate"/>
            </w:r>
            <w:r>
              <w:rPr>
                <w:webHidden/>
              </w:rPr>
              <w:t>9</w:t>
            </w:r>
            <w:r>
              <w:rPr>
                <w:webHidden/>
              </w:rPr>
              <w:fldChar w:fldCharType="end"/>
            </w:r>
          </w:hyperlink>
        </w:p>
        <w:p w:rsidR="000B5DDF" w:rsidRDefault="000B5DDF">
          <w:pPr>
            <w:pStyle w:val="TOC2"/>
            <w:rPr>
              <w:rFonts w:asciiTheme="minorHAnsi" w:eastAsiaTheme="minorEastAsia" w:hAnsiTheme="minorHAnsi" w:cstheme="minorBidi"/>
              <w:bCs w:val="0"/>
              <w:sz w:val="22"/>
              <w:szCs w:val="22"/>
              <w:lang w:val="en-US"/>
            </w:rPr>
          </w:pPr>
          <w:hyperlink w:anchor="_Toc175925246" w:history="1">
            <w:r w:rsidRPr="00767D70">
              <w:rPr>
                <w:rStyle w:val="Hyperlink"/>
                <w:lang w:val="de-AT"/>
              </w:rPr>
              <w:t>ՀՀ մակրոտնտեսական զարգացումներ</w:t>
            </w:r>
            <w:r>
              <w:rPr>
                <w:webHidden/>
              </w:rPr>
              <w:tab/>
            </w:r>
            <w:r>
              <w:rPr>
                <w:webHidden/>
              </w:rPr>
              <w:fldChar w:fldCharType="begin"/>
            </w:r>
            <w:r>
              <w:rPr>
                <w:webHidden/>
              </w:rPr>
              <w:instrText xml:space="preserve"> PAGEREF _Toc175925246 \h </w:instrText>
            </w:r>
            <w:r>
              <w:rPr>
                <w:webHidden/>
              </w:rPr>
            </w:r>
            <w:r>
              <w:rPr>
                <w:webHidden/>
              </w:rPr>
              <w:fldChar w:fldCharType="separate"/>
            </w:r>
            <w:r>
              <w:rPr>
                <w:webHidden/>
              </w:rPr>
              <w:t>12</w:t>
            </w:r>
            <w:r>
              <w:rPr>
                <w:webHidden/>
              </w:rPr>
              <w:fldChar w:fldCharType="end"/>
            </w:r>
          </w:hyperlink>
        </w:p>
        <w:p w:rsidR="000B5DDF" w:rsidRDefault="000B5DDF">
          <w:pPr>
            <w:pStyle w:val="TOC2"/>
            <w:rPr>
              <w:rFonts w:asciiTheme="minorHAnsi" w:eastAsiaTheme="minorEastAsia" w:hAnsiTheme="minorHAnsi" w:cstheme="minorBidi"/>
              <w:bCs w:val="0"/>
              <w:sz w:val="22"/>
              <w:szCs w:val="22"/>
              <w:lang w:val="en-US"/>
            </w:rPr>
          </w:pPr>
          <w:hyperlink w:anchor="_Toc175925247" w:history="1">
            <w:r w:rsidRPr="00767D70">
              <w:rPr>
                <w:rStyle w:val="Hyperlink"/>
                <w:lang w:val="de-AT"/>
              </w:rPr>
              <w:t>ՀԱՐԿԱԲՅՈՒՋԵՏԱՅԻՆ ՔԱՂԱՔԱԿԱՆՈՒԹՅԱՆ ՀԻՄՆԱԿԱՆ ԶԱՐԳԱՑՈՒՄՆԵՐԸ</w:t>
            </w:r>
            <w:r>
              <w:rPr>
                <w:webHidden/>
              </w:rPr>
              <w:tab/>
            </w:r>
            <w:r>
              <w:rPr>
                <w:webHidden/>
              </w:rPr>
              <w:fldChar w:fldCharType="begin"/>
            </w:r>
            <w:r>
              <w:rPr>
                <w:webHidden/>
              </w:rPr>
              <w:instrText xml:space="preserve"> PAGEREF _Toc175925247 \h </w:instrText>
            </w:r>
            <w:r>
              <w:rPr>
                <w:webHidden/>
              </w:rPr>
            </w:r>
            <w:r>
              <w:rPr>
                <w:webHidden/>
              </w:rPr>
              <w:fldChar w:fldCharType="separate"/>
            </w:r>
            <w:r>
              <w:rPr>
                <w:webHidden/>
              </w:rPr>
              <w:t>31</w:t>
            </w:r>
            <w:r>
              <w:rPr>
                <w:webHidden/>
              </w:rPr>
              <w:fldChar w:fldCharType="end"/>
            </w:r>
          </w:hyperlink>
        </w:p>
        <w:p w:rsidR="00647147" w:rsidRPr="006B3656" w:rsidRDefault="00E37514" w:rsidP="00E37514">
          <w:pPr>
            <w:rPr>
              <w:rFonts w:ascii="GHEA Grapalat" w:hAnsi="GHEA Grapalat"/>
              <w:sz w:val="22"/>
              <w:szCs w:val="22"/>
            </w:rPr>
            <w:sectPr w:rsidR="00647147" w:rsidRPr="006B3656" w:rsidSect="00E37514">
              <w:footerReference w:type="default" r:id="rId8"/>
              <w:pgSz w:w="11907" w:h="16840" w:code="9"/>
              <w:pgMar w:top="1134" w:right="567" w:bottom="567" w:left="1134" w:header="567" w:footer="340" w:gutter="0"/>
              <w:pgNumType w:start="2"/>
              <w:cols w:space="720"/>
            </w:sectPr>
          </w:pPr>
          <w:r w:rsidRPr="006B3656">
            <w:rPr>
              <w:rFonts w:ascii="GHEA Grapalat" w:hAnsi="GHEA Grapalat"/>
              <w:b/>
              <w:bCs/>
              <w:noProof/>
            </w:rPr>
            <w:fldChar w:fldCharType="end"/>
          </w:r>
        </w:p>
      </w:sdtContent>
    </w:sdt>
    <w:p w:rsidR="00756F85" w:rsidRPr="006B3656"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2" w:name="_Toc100649870"/>
      <w:bookmarkStart w:id="3" w:name="_Toc100247626"/>
      <w:bookmarkStart w:id="4" w:name="_Toc87365141"/>
      <w:bookmarkStart w:id="5" w:name="_Toc8210486"/>
      <w:bookmarkStart w:id="6" w:name="_Toc71311890"/>
      <w:bookmarkStart w:id="7" w:name="_Toc175925242"/>
      <w:bookmarkEnd w:id="0"/>
      <w:bookmarkEnd w:id="1"/>
      <w:r w:rsidRPr="006B3656">
        <w:rPr>
          <w:rFonts w:ascii="GHEA Grapalat" w:hAnsi="GHEA Grapalat" w:cs="Sylfaen"/>
          <w:noProof/>
          <w:sz w:val="22"/>
          <w:szCs w:val="22"/>
          <w:lang w:val="hy-AM"/>
        </w:rPr>
        <w:lastRenderedPageBreak/>
        <w:t>ՀԱՅԱՍՏԱՆԻ ՀԱՆՐԱՊԵՏՈՒԹՅԱՆ 202</w:t>
      </w:r>
      <w:r w:rsidR="00F57E3E" w:rsidRPr="006B3656">
        <w:rPr>
          <w:rFonts w:ascii="GHEA Grapalat" w:hAnsi="GHEA Grapalat" w:cs="Sylfaen"/>
          <w:noProof/>
          <w:sz w:val="22"/>
          <w:szCs w:val="22"/>
        </w:rPr>
        <w:t>4</w:t>
      </w:r>
      <w:r w:rsidRPr="006B3656">
        <w:rPr>
          <w:rFonts w:ascii="GHEA Grapalat" w:hAnsi="GHEA Grapalat" w:cs="Sylfaen"/>
          <w:noProof/>
          <w:sz w:val="22"/>
          <w:szCs w:val="22"/>
          <w:lang w:val="hy-AM"/>
        </w:rPr>
        <w:t xml:space="preserve"> ԹՎԱԿԱՆԻ</w:t>
      </w:r>
      <w:r w:rsidR="002122E1" w:rsidRPr="006B3656">
        <w:rPr>
          <w:rFonts w:ascii="GHEA Grapalat" w:hAnsi="GHEA Grapalat" w:cs="Sylfaen"/>
          <w:noProof/>
          <w:sz w:val="22"/>
          <w:szCs w:val="22"/>
        </w:rPr>
        <w:t xml:space="preserve"> </w:t>
      </w:r>
      <w:r w:rsidR="00F57E3E" w:rsidRPr="006B3656">
        <w:rPr>
          <w:rFonts w:ascii="GHEA Grapalat" w:hAnsi="GHEA Grapalat" w:cs="Sylfaen"/>
          <w:noProof/>
          <w:sz w:val="22"/>
          <w:szCs w:val="22"/>
        </w:rPr>
        <w:t xml:space="preserve">ԱՌԱՋԻՆ </w:t>
      </w:r>
      <w:r w:rsidR="00566877" w:rsidRPr="006B3656">
        <w:rPr>
          <w:rFonts w:ascii="GHEA Grapalat" w:hAnsi="GHEA Grapalat" w:cs="Sylfaen"/>
          <w:noProof/>
          <w:sz w:val="22"/>
          <w:szCs w:val="22"/>
        </w:rPr>
        <w:t>ԿԻՍԱՄ</w:t>
      </w:r>
      <w:r w:rsidR="00F57E3E" w:rsidRPr="006B3656">
        <w:rPr>
          <w:rFonts w:ascii="GHEA Grapalat" w:hAnsi="GHEA Grapalat" w:cs="Sylfaen"/>
          <w:noProof/>
          <w:sz w:val="22"/>
          <w:szCs w:val="22"/>
        </w:rPr>
        <w:t>ՅԱԿ</w:t>
      </w:r>
      <w:r w:rsidR="002122E1" w:rsidRPr="006B3656">
        <w:rPr>
          <w:rFonts w:ascii="GHEA Grapalat" w:hAnsi="GHEA Grapalat" w:cs="Sylfaen"/>
          <w:noProof/>
          <w:sz w:val="22"/>
          <w:szCs w:val="22"/>
        </w:rPr>
        <w:t>Ի</w:t>
      </w:r>
      <w:r w:rsidRPr="006B3656">
        <w:rPr>
          <w:rFonts w:ascii="GHEA Grapalat" w:hAnsi="GHEA Grapalat" w:cs="Sylfaen"/>
          <w:noProof/>
          <w:sz w:val="22"/>
          <w:szCs w:val="22"/>
          <w:lang w:val="hy-AM"/>
        </w:rPr>
        <w:t xml:space="preserve"> ՊԵՏԱԿԱՆ ԲՅՈՒՋԵԻ ԿԱՏԱՐՄԱՆ ԱՄՓՈՓԱԳԻՐ</w:t>
      </w:r>
      <w:bookmarkEnd w:id="2"/>
      <w:bookmarkEnd w:id="7"/>
    </w:p>
    <w:p w:rsidR="00756F85" w:rsidRPr="006B3656"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6B3656" w:rsidRDefault="00756F85" w:rsidP="00756F85">
      <w:pPr>
        <w:spacing w:line="360" w:lineRule="auto"/>
        <w:rPr>
          <w:rFonts w:ascii="GHEA Grapalat" w:eastAsia="GHEA Grapalat" w:hAnsi="GHEA Grapalat"/>
          <w:b/>
          <w:noProof/>
          <w:sz w:val="22"/>
          <w:szCs w:val="22"/>
          <w:lang w:val="hy-AM"/>
        </w:rPr>
      </w:pPr>
      <w:r w:rsidRPr="006B3656">
        <w:rPr>
          <w:rFonts w:ascii="GHEA Grapalat" w:eastAsia="GHEA Grapalat" w:hAnsi="GHEA Grapalat"/>
          <w:b/>
          <w:noProof/>
          <w:sz w:val="22"/>
          <w:szCs w:val="22"/>
          <w:lang w:val="hy-AM"/>
        </w:rPr>
        <w:t>ՄԱԿՐՈՏՆՏԵՍԱԿԱՆ ԵՎ ՀԱՐԿԱԲՅՈՒՋԵՏԱՅԻՆ ԱՄՓՈՓԱԳԻՐ</w:t>
      </w:r>
      <w:bookmarkEnd w:id="3"/>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 xml:space="preserve">2024 թվականի առաջին կիսամյակում հիմնական գործընկեր երկրներում տնտեսական աճը շարունակում է մնալ դրական տիրույթում։ ԱՄՆ-ում և Եվրագոտում աճի հիմնական պայմանավորող գործոնը մասնավոր սպառման աճն է, իսկ Չինաստանում աճի դանդաղումը պայմանավորված է թույլ ներքին պահանջարկով։ Միաժամանակ, զսպող դրամավարկային քաղաքականության դիրքի պահպանման պայմաններում գործընկեր երկրներում (բացառությամբ՝ Ռուսաստանի) նկատվել է գնաճի կայունացում: </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2024 թվականի առաջին կիսամյակում դրամավարկային քաղաքականության խիստ պայմանների պահպանման, նավթի արտադրության նվազման, ինչպես նաև Չինաստանի կողմից մետաղների նկատմամբ պահանջարկի, մետաղների արտադրության կրճատման արդյունքում գրանցվել է մետաղների և նավթի միջազգային գների աճ, պարենի գների նվազում։</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2024 թվականը սկսվել է</w:t>
      </w:r>
      <w:r w:rsidR="009436E0" w:rsidRPr="0046146D">
        <w:rPr>
          <w:rFonts w:ascii="GHEA Grapalat" w:hAnsi="GHEA Grapalat"/>
          <w:sz w:val="22"/>
          <w:lang w:val="hy-AM"/>
        </w:rPr>
        <w:t xml:space="preserve"> </w:t>
      </w:r>
      <w:r w:rsidR="009436E0">
        <w:rPr>
          <w:rFonts w:ascii="GHEA Grapalat" w:hAnsi="GHEA Grapalat"/>
          <w:sz w:val="22"/>
          <w:lang w:val="hy-AM"/>
        </w:rPr>
        <w:t>ՀՀ</w:t>
      </w:r>
      <w:r w:rsidRPr="006B3656">
        <w:rPr>
          <w:rFonts w:ascii="GHEA Grapalat" w:hAnsi="GHEA Grapalat"/>
          <w:sz w:val="22"/>
          <w:lang w:val="hy-AM"/>
        </w:rPr>
        <w:t xml:space="preserve"> տնտեսական աճի բարձր տեմպով, որ</w:t>
      </w:r>
      <w:r w:rsidR="005A0252" w:rsidRPr="00F371F3">
        <w:rPr>
          <w:rFonts w:ascii="GHEA Grapalat" w:hAnsi="GHEA Grapalat"/>
          <w:sz w:val="22"/>
          <w:lang w:val="hy-AM"/>
        </w:rPr>
        <w:t>ն</w:t>
      </w:r>
      <w:r w:rsidRPr="006B3656">
        <w:rPr>
          <w:rFonts w:ascii="GHEA Grapalat" w:hAnsi="GHEA Grapalat"/>
          <w:sz w:val="22"/>
          <w:lang w:val="hy-AM"/>
        </w:rPr>
        <w:t xml:space="preserve"> աստիճանաբար դանդաղել է, սակայն մնացել է բարձր մակարդակում՝ իր վրա կրելով նաև հիմնային մետաղների արտադրության կտրուկ աճի և Լեռնային Ղարաբաղից ՀՀ բռնի տեղահանված մեր հայրենակիցների սպառման և տնտեսական գործունեության ազդեցությունները: Արդյունքում առաջին կիսամյակում գրանցվել է 10.4% տնտեսական ակտիվության աճ` պայմանավորված հիմնականում արդյունաբերության, առևտրի և ծառայությունների աճով: Շինարարության և գյուղատնտեսության ճյուղերի աճերը ևս նպաստել են տնտեսական ակտիվությանը։ </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 xml:space="preserve">2024 թվականի առաջին կիսամյակում ներքին պահանջարկի և արտաքին որոշ շուկաներում ՀՀ-ից արտահանվող ապրանքների նկատմամբ պահանջարկի ավելացման պայմաններում արտաքին առևտուրը նշանակալի աճ է գրանցել. ապրանքների արտահանումն աճել է 2.3 անգամ, իսկ ներմուծումը՝ 86.5%-ով։ </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 xml:space="preserve">2024 թվականի </w:t>
      </w:r>
      <w:r w:rsidR="005A0252" w:rsidRPr="00F371F3">
        <w:rPr>
          <w:rFonts w:ascii="GHEA Grapalat" w:hAnsi="GHEA Grapalat"/>
          <w:sz w:val="22"/>
          <w:lang w:val="hy-AM"/>
        </w:rPr>
        <w:t>առաջին</w:t>
      </w:r>
      <w:r w:rsidRPr="006B3656">
        <w:rPr>
          <w:rFonts w:ascii="GHEA Grapalat" w:hAnsi="GHEA Grapalat"/>
          <w:sz w:val="22"/>
          <w:lang w:val="hy-AM"/>
        </w:rPr>
        <w:t xml:space="preserve"> կիսամյակի ընթացքում գնանկումային միտումներ</w:t>
      </w:r>
      <w:r w:rsidR="00F9473F" w:rsidRPr="00F371F3">
        <w:rPr>
          <w:rFonts w:ascii="GHEA Grapalat" w:hAnsi="GHEA Grapalat"/>
          <w:sz w:val="22"/>
          <w:lang w:val="hy-AM"/>
        </w:rPr>
        <w:t>ն</w:t>
      </w:r>
      <w:r w:rsidRPr="006B3656">
        <w:rPr>
          <w:rFonts w:ascii="GHEA Grapalat" w:hAnsi="GHEA Grapalat"/>
          <w:sz w:val="22"/>
          <w:lang w:val="hy-AM"/>
        </w:rPr>
        <w:t xml:space="preserve"> աստիճանաբար մեղմվել են և փոխարինվել թույլ՝ ԿԲ թիրախային միջակայքից ներքև գնաճային միտումներով, որի պայմաններում ԿԲ-ն շարունակել է նվազեցնել քաղաքականության տոկոսադրույքը՝ հունիսին սահմանելով այն 8%:</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bookmarkStart w:id="8" w:name="_Hlk165935864"/>
      <w:r w:rsidRPr="006B3656">
        <w:rPr>
          <w:rFonts w:ascii="GHEA Grapalat" w:hAnsi="GHEA Grapalat"/>
          <w:sz w:val="22"/>
          <w:lang w:val="hy-AM"/>
        </w:rPr>
        <w:t>Բանկային համակարգի ֆինանսական միջնորդությունը 2024 թվականի առաջին կիսամյակում բնութագրվում է վարկավորման աճի արագացման միտումներով</w:t>
      </w:r>
      <w:bookmarkEnd w:id="8"/>
      <w:r w:rsidRPr="006B3656">
        <w:rPr>
          <w:rFonts w:ascii="GHEA Grapalat" w:hAnsi="GHEA Grapalat"/>
          <w:sz w:val="22"/>
          <w:lang w:val="hy-AM"/>
        </w:rPr>
        <w:t>՝</w:t>
      </w:r>
      <w:r w:rsidRPr="006B3656">
        <w:rPr>
          <w:rFonts w:ascii="GHEA Grapalat" w:hAnsi="GHEA Grapalat" w:cs="GHEA Grapalat"/>
          <w:b/>
          <w:noProof/>
          <w:sz w:val="22"/>
          <w:szCs w:val="22"/>
          <w:lang w:val="hy-AM"/>
        </w:rPr>
        <w:t xml:space="preserve"> </w:t>
      </w:r>
      <w:r w:rsidRPr="006B3656">
        <w:rPr>
          <w:rFonts w:ascii="GHEA Grapalat" w:hAnsi="GHEA Grapalat"/>
          <w:sz w:val="22"/>
          <w:lang w:val="hy-AM"/>
        </w:rPr>
        <w:t xml:space="preserve">դառնալով առաջանցիկ ավանդների նկատմամբ և հանգեցնելով իրացվելիության դիրքի ճշգրտումների: </w:t>
      </w:r>
      <w:r w:rsidRPr="006B3656">
        <w:rPr>
          <w:rFonts w:ascii="GHEA Grapalat" w:hAnsi="GHEA Grapalat" w:cs="GHEA Grapalat"/>
          <w:noProof/>
          <w:sz w:val="22"/>
          <w:szCs w:val="22"/>
          <w:lang w:val="hy-AM"/>
        </w:rPr>
        <w:t>Միաժամանակ, վարկերի աճի արագացմանը զուգահեռ, այն դարձել է առավել ընդգրկուն՝ նախկին կենտրոնացված կառուցվածքի փոխարեն ընդգրկելով նաև տնտեսության ոլորտները:</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lastRenderedPageBreak/>
        <w:t>Վարկերի և ավանդների տոկոսադրույքները որոշ տատանումներ են ունեցել՝ ընդհանուր առմամբ գտնվելով վերջին տարիների իրենց միջին արժեքների շուրջ:</w:t>
      </w:r>
      <w:r w:rsidRPr="006B3656">
        <w:rPr>
          <w:rFonts w:ascii="GHEA Grapalat" w:eastAsia="Calibri" w:hAnsi="GHEA Grapalat" w:cs="Sylfaen"/>
          <w:b/>
          <w:bCs/>
          <w:noProof/>
          <w:sz w:val="22"/>
          <w:szCs w:val="22"/>
          <w:lang w:val="hy-AM"/>
        </w:rPr>
        <w:t xml:space="preserve"> </w:t>
      </w:r>
      <w:r w:rsidRPr="006B3656">
        <w:rPr>
          <w:rFonts w:ascii="GHEA Grapalat" w:hAnsi="GHEA Grapalat"/>
          <w:sz w:val="22"/>
          <w:lang w:val="hy-AM"/>
        </w:rPr>
        <w:t xml:space="preserve">Միաժամանակ, զգալիորեն նվազել են պետական պարտատոմսերի և եվրոբոնդերի տոկոսադրույքները՝ պայմանավորված առաջինի դեպքում ՀՀ ԿԲ դրամավարկային քաղաքականության միտումներով և բանկային համակարգի իրացվելիության դիրքով, և երկրորդի դեպքում՝ երկրի ռիսկի հավելավճարի նվազմամբ։ </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2024 թվականի առաջին կիսամյակում ՀՀ պետական բյուջեի հարկային եկամուտների աճի տեմպը որոշակիորեն դանդաղել է՝ նախորդ տարվա նույն ժամանակահատվածի համադրելի ցուցանիշի համեմատ աճելով 5</w:t>
      </w:r>
      <w:r w:rsidRPr="006B3656">
        <w:rPr>
          <w:rFonts w:ascii="Cambria Math" w:hAnsi="Cambria Math" w:cs="Cambria Math"/>
          <w:sz w:val="22"/>
          <w:lang w:val="hy-AM"/>
        </w:rPr>
        <w:t>․</w:t>
      </w:r>
      <w:r w:rsidRPr="006B3656">
        <w:rPr>
          <w:rFonts w:ascii="GHEA Grapalat" w:hAnsi="GHEA Grapalat"/>
          <w:sz w:val="22"/>
          <w:lang w:val="hy-AM"/>
        </w:rPr>
        <w:t>3%-ով</w:t>
      </w:r>
      <w:r w:rsidRPr="006B3656">
        <w:rPr>
          <w:rStyle w:val="FootnoteReference"/>
          <w:rFonts w:ascii="GHEA Grapalat" w:hAnsi="GHEA Grapalat"/>
          <w:sz w:val="22"/>
          <w:lang w:val="hy-AM"/>
        </w:rPr>
        <w:footnoteReference w:id="1"/>
      </w:r>
      <w:r w:rsidRPr="006B3656">
        <w:rPr>
          <w:rFonts w:ascii="GHEA Grapalat" w:hAnsi="GHEA Grapalat"/>
          <w:sz w:val="22"/>
          <w:lang w:val="hy-AM"/>
        </w:rPr>
        <w:t xml:space="preserve">, և կազմել է 1,187.6 մլրդ դրամ: Հարկերի հավաքագրման աճի տեմպի որոշակի դանդաղումը պայմանավորված է հարկման բազաների աճերի դանդաղմամբ։ </w:t>
      </w:r>
    </w:p>
    <w:p w:rsidR="004244D2" w:rsidRPr="006B3656" w:rsidRDefault="004244D2" w:rsidP="009436E0">
      <w:pPr>
        <w:pStyle w:val="ListParagraph"/>
        <w:numPr>
          <w:ilvl w:val="0"/>
          <w:numId w:val="10"/>
        </w:numPr>
        <w:autoSpaceDE w:val="0"/>
        <w:autoSpaceDN w:val="0"/>
        <w:adjustRightInd w:val="0"/>
        <w:spacing w:line="336" w:lineRule="auto"/>
        <w:contextualSpacing w:val="0"/>
        <w:jc w:val="both"/>
        <w:rPr>
          <w:rFonts w:ascii="GHEA Grapalat" w:hAnsi="GHEA Grapalat"/>
          <w:sz w:val="22"/>
          <w:lang w:val="hy-AM"/>
        </w:rPr>
      </w:pPr>
      <w:r w:rsidRPr="006B3656">
        <w:rPr>
          <w:rFonts w:ascii="GHEA Grapalat" w:hAnsi="GHEA Grapalat"/>
          <w:sz w:val="22"/>
          <w:lang w:val="hy-AM"/>
        </w:rPr>
        <w:t xml:space="preserve">2024 թվականի </w:t>
      </w:r>
      <w:r w:rsidR="005A0252" w:rsidRPr="006B3656">
        <w:rPr>
          <w:rFonts w:ascii="GHEA Grapalat" w:hAnsi="GHEA Grapalat"/>
          <w:sz w:val="22"/>
          <w:lang w:val="hy-AM"/>
        </w:rPr>
        <w:t>առաջին</w:t>
      </w:r>
      <w:r w:rsidRPr="006B3656">
        <w:rPr>
          <w:rFonts w:ascii="GHEA Grapalat" w:hAnsi="GHEA Grapalat"/>
          <w:sz w:val="22"/>
          <w:lang w:val="hy-AM"/>
        </w:rPr>
        <w:t xml:space="preserve"> կիսամակում պետական բյուջեն ձևավորվել է 11 մլրդ դրամ հավելուրդով, ինչի արդյունքում նախորդ տարվա նույն ժամանակահատվածի համեմատությամբ հարկաբյուջետային քաղաքականության ազդեցությունն ամբողջական պահանջարկի վրա գնահատվում է չափավոր ընդլայնող։ </w:t>
      </w:r>
      <w:r w:rsidR="009436E0" w:rsidRPr="009436E0">
        <w:rPr>
          <w:rFonts w:ascii="GHEA Grapalat" w:hAnsi="GHEA Grapalat"/>
          <w:sz w:val="22"/>
          <w:lang w:val="hy-AM"/>
        </w:rPr>
        <w:t>Այնուամենայնիվ, թիրախավորված չեզոք քաղաքականության դիմաց ընդլայնող հարկաբյուջետայինքաղաքականության ուղղությունը  առավելապես պայմանավորված է եղել տնտեսական կառուցվածքի փոփոխությունների հետևանքով հարկման բազաների ընդհանուր տնտեսական աճից համեմատաբար ցածր աճերով և անհետաձգելի կարիքների համար ձևավորված ժամանակավոր ծախսային ճնշումներով, և չի ենթադրում տնտեսական պարբերաշրջանին արձագանքելու տեսակետից նպատակադրված ուղղության փոփոխություն։</w:t>
      </w:r>
      <w:r w:rsidR="00837E26" w:rsidRPr="006B3656">
        <w:rPr>
          <w:rFonts w:ascii="GHEA Grapalat" w:hAnsi="GHEA Grapalat"/>
          <w:sz w:val="22"/>
          <w:lang w:val="hy-AM"/>
        </w:rPr>
        <w:t xml:space="preserve"> </w:t>
      </w:r>
    </w:p>
    <w:p w:rsidR="00D46EE2" w:rsidRPr="006B3656" w:rsidRDefault="00D46EE2" w:rsidP="00D46EE2">
      <w:pPr>
        <w:spacing w:line="360" w:lineRule="auto"/>
        <w:rPr>
          <w:rFonts w:ascii="GHEA Grapalat" w:eastAsia="GHEA Grapalat" w:hAnsi="GHEA Grapalat"/>
          <w:b/>
          <w:sz w:val="22"/>
          <w:szCs w:val="22"/>
          <w:lang w:val="hy-AM"/>
        </w:rPr>
      </w:pPr>
    </w:p>
    <w:p w:rsidR="00563135" w:rsidRPr="006B3656" w:rsidRDefault="00756F85" w:rsidP="003D39E1">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6B3656">
        <w:rPr>
          <w:rFonts w:ascii="GHEA Grapalat" w:hAnsi="GHEA Grapalat"/>
          <w:sz w:val="22"/>
          <w:szCs w:val="22"/>
          <w:lang w:val="hy-AM"/>
        </w:rPr>
        <w:br w:type="page"/>
      </w:r>
      <w:bookmarkStart w:id="9" w:name="_Toc71311877"/>
      <w:bookmarkStart w:id="10" w:name="_Toc175925243"/>
      <w:r w:rsidR="00563135" w:rsidRPr="006B3656">
        <w:rPr>
          <w:rFonts w:ascii="GHEA Grapalat" w:hAnsi="GHEA Grapalat" w:cs="Sylfaen"/>
          <w:noProof/>
          <w:sz w:val="22"/>
          <w:szCs w:val="22"/>
          <w:lang w:val="hy-AM"/>
        </w:rPr>
        <w:t>ՀԱՅԱՍՏԱՆԻ ՀԱՆՐԱՊԵՏՈՒԹՅԱՆ ՄԱԿՐՈՏՆՏԵՍԱԿԱՆ ԵՎ ՀԱՐ</w:t>
      </w:r>
      <w:r w:rsidR="00991268" w:rsidRPr="006B3656">
        <w:rPr>
          <w:rFonts w:ascii="GHEA Grapalat" w:hAnsi="GHEA Grapalat" w:cs="Sylfaen"/>
          <w:noProof/>
          <w:sz w:val="22"/>
          <w:szCs w:val="22"/>
          <w:lang w:val="hy-AM"/>
        </w:rPr>
        <w:t>ԿԱԲՅՈՒՋԵՏԱՅԻՆ ԶԱՐԳԱՑՈՒՄՆԵՐԸ 202</w:t>
      </w:r>
      <w:r w:rsidR="00F57E3E" w:rsidRPr="006B3656">
        <w:rPr>
          <w:rFonts w:ascii="GHEA Grapalat" w:hAnsi="GHEA Grapalat" w:cs="Sylfaen"/>
          <w:noProof/>
          <w:sz w:val="22"/>
          <w:szCs w:val="22"/>
          <w:lang w:val="hy-AM"/>
        </w:rPr>
        <w:t>4</w:t>
      </w:r>
      <w:r w:rsidR="00563135" w:rsidRPr="006B3656">
        <w:rPr>
          <w:rFonts w:ascii="GHEA Grapalat" w:hAnsi="GHEA Grapalat" w:cs="Sylfaen"/>
          <w:noProof/>
          <w:sz w:val="22"/>
          <w:szCs w:val="22"/>
          <w:lang w:val="hy-AM"/>
        </w:rPr>
        <w:t xml:space="preserve"> ԹՎԱԿԱՆԻ </w:t>
      </w:r>
      <w:bookmarkEnd w:id="9"/>
      <w:r w:rsidR="00566877" w:rsidRPr="006B3656">
        <w:rPr>
          <w:rFonts w:ascii="GHEA Grapalat" w:hAnsi="GHEA Grapalat" w:cs="Sylfaen"/>
          <w:noProof/>
          <w:sz w:val="22"/>
          <w:szCs w:val="22"/>
          <w:lang w:val="hy-AM"/>
        </w:rPr>
        <w:t>ԱՌԱՋԻՆ ԿԻՍԱՄ</w:t>
      </w:r>
      <w:r w:rsidR="00F57E3E" w:rsidRPr="006B3656">
        <w:rPr>
          <w:rFonts w:ascii="GHEA Grapalat" w:hAnsi="GHEA Grapalat" w:cs="Sylfaen"/>
          <w:noProof/>
          <w:sz w:val="22"/>
          <w:szCs w:val="22"/>
          <w:lang w:val="hy-AM"/>
        </w:rPr>
        <w:t>ՅԱԿՈՒՄ</w:t>
      </w:r>
      <w:bookmarkEnd w:id="10"/>
    </w:p>
    <w:p w:rsidR="00563135" w:rsidRPr="006B3656" w:rsidRDefault="00563135" w:rsidP="008D28B3">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11" w:name="_Toc71283305"/>
    </w:p>
    <w:p w:rsidR="00563135" w:rsidRPr="006B3656"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2" w:name="_Toc71311879"/>
      <w:bookmarkStart w:id="13" w:name="_Toc175925244"/>
      <w:r w:rsidRPr="006B3656">
        <w:rPr>
          <w:rFonts w:ascii="GHEA Grapalat" w:hAnsi="GHEA Grapalat"/>
          <w:i w:val="0"/>
          <w:noProof/>
          <w:sz w:val="22"/>
          <w:szCs w:val="22"/>
          <w:lang w:val="de-AT"/>
        </w:rPr>
        <w:t>ՄԱԿՐՈՏՆՏԵՍԱԿԱՆ ԶԱՐԳԱՑՈՒՄՆԵՐ</w:t>
      </w:r>
      <w:bookmarkEnd w:id="11"/>
      <w:bookmarkEnd w:id="12"/>
      <w:bookmarkEnd w:id="13"/>
    </w:p>
    <w:p w:rsidR="00563135" w:rsidRPr="006B3656"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4" w:name="_Toc71283306"/>
      <w:bookmarkStart w:id="15" w:name="_Toc71311880"/>
      <w:bookmarkStart w:id="16" w:name="_Toc175925245"/>
      <w:r w:rsidRPr="006B3656">
        <w:rPr>
          <w:rFonts w:ascii="GHEA Grapalat" w:hAnsi="GHEA Grapalat"/>
          <w:bCs/>
          <w:i w:val="0"/>
          <w:noProof/>
          <w:sz w:val="22"/>
          <w:szCs w:val="22"/>
          <w:lang w:val="de-AT"/>
        </w:rPr>
        <w:t>Արտաքին միջավայրի զարգացումներ</w:t>
      </w:r>
      <w:bookmarkEnd w:id="14"/>
      <w:bookmarkEnd w:id="15"/>
      <w:bookmarkEnd w:id="16"/>
    </w:p>
    <w:p w:rsidR="004244D2" w:rsidRPr="006B3656" w:rsidRDefault="00664493" w:rsidP="004244D2">
      <w:pPr>
        <w:spacing w:line="360" w:lineRule="auto"/>
        <w:ind w:firstLine="567"/>
        <w:jc w:val="both"/>
        <w:rPr>
          <w:rFonts w:ascii="GHEA Grapalat" w:hAnsi="GHEA Grapalat"/>
          <w:sz w:val="22"/>
          <w:szCs w:val="22"/>
          <w:lang w:val="hy-AM"/>
        </w:rPr>
      </w:pPr>
      <w:bookmarkStart w:id="17" w:name="_Toc71283307"/>
      <w:bookmarkStart w:id="18" w:name="_Toc71311881"/>
      <w:r w:rsidRPr="006B3656">
        <w:rPr>
          <w:rFonts w:ascii="GHEA Grapalat" w:eastAsia="GHEA Grapalat" w:hAnsi="GHEA Grapalat" w:cs="GHEA Grapalat"/>
          <w:b/>
          <w:i/>
          <w:sz w:val="22"/>
          <w:szCs w:val="22"/>
          <w:lang w:val="hy-AM"/>
        </w:rPr>
        <w:t>Տնտեսական զարգացումներ</w:t>
      </w:r>
      <w:r w:rsidRPr="006B3656">
        <w:rPr>
          <w:rFonts w:ascii="GHEA Grapalat" w:hAnsi="GHEA Grapalat"/>
          <w:b/>
          <w:i/>
          <w:sz w:val="22"/>
          <w:szCs w:val="22"/>
          <w:lang w:val="af-ZA"/>
        </w:rPr>
        <w:t>:</w:t>
      </w:r>
      <w:r w:rsidR="00885F56" w:rsidRPr="006B3656">
        <w:rPr>
          <w:rFonts w:ascii="GHEA Grapalat" w:hAnsi="GHEA Grapalat"/>
          <w:sz w:val="22"/>
          <w:szCs w:val="22"/>
          <w:lang w:val="af-ZA"/>
        </w:rPr>
        <w:t xml:space="preserve"> </w:t>
      </w:r>
      <w:bookmarkStart w:id="19" w:name="_Toc102746160"/>
      <w:bookmarkStart w:id="20" w:name="_Toc71532744"/>
      <w:r w:rsidR="004244D2" w:rsidRPr="006B3656">
        <w:rPr>
          <w:rFonts w:ascii="GHEA Grapalat" w:hAnsi="GHEA Grapalat"/>
          <w:sz w:val="22"/>
          <w:szCs w:val="22"/>
          <w:lang w:val="hy-AM"/>
        </w:rPr>
        <w:t>2024 թվականի առաջին կիսամյակում հիմնական գործընկեր երկրներում տնտեսական աճը շարունակում է մնալ դրական տիրույթում, սակայն որոշ երկրներում նկատվում է աճի տեմպի դանդաղում, իսկ որոշներում՝ արագացում։</w:t>
      </w:r>
      <w:r w:rsidR="004244D2" w:rsidRPr="006B3656">
        <w:rPr>
          <w:rFonts w:ascii="GHEA Grapalat" w:hAnsi="GHEA Grapalat"/>
          <w:sz w:val="22"/>
          <w:szCs w:val="22"/>
          <w:lang w:val="de-AT"/>
        </w:rPr>
        <w:t xml:space="preserve"> </w:t>
      </w:r>
      <w:r w:rsidR="004244D2" w:rsidRPr="006B3656">
        <w:rPr>
          <w:rFonts w:ascii="GHEA Grapalat" w:hAnsi="GHEA Grapalat"/>
          <w:sz w:val="22"/>
          <w:szCs w:val="22"/>
          <w:lang w:val="hy-AM"/>
        </w:rPr>
        <w:t>2024 թվականի առաջին կիսամյակում ԱՄՆ տնտեսությունը նախորդ տարվա համապատասխան ժամանակահատվածի նկատմամբ գրանցել է միջինում 2</w:t>
      </w:r>
      <w:r w:rsidR="004244D2" w:rsidRPr="006B3656">
        <w:rPr>
          <w:rFonts w:ascii="Cambria Math" w:hAnsi="Cambria Math" w:cs="Cambria Math"/>
          <w:sz w:val="22"/>
          <w:szCs w:val="22"/>
          <w:lang w:val="hy-AM"/>
        </w:rPr>
        <w:t>․</w:t>
      </w:r>
      <w:r w:rsidR="004244D2" w:rsidRPr="006B3656">
        <w:rPr>
          <w:rFonts w:ascii="GHEA Grapalat" w:hAnsi="GHEA Grapalat"/>
          <w:sz w:val="22"/>
          <w:szCs w:val="22"/>
          <w:lang w:val="hy-AM"/>
        </w:rPr>
        <w:t>9% աճ` պայմանավորված մասնավոր սպառման աճով</w:t>
      </w:r>
      <w:r w:rsidR="004244D2" w:rsidRPr="006B3656">
        <w:rPr>
          <w:rFonts w:ascii="Cambria Math" w:hAnsi="Cambria Math"/>
          <w:sz w:val="22"/>
          <w:szCs w:val="22"/>
          <w:lang w:val="hy-AM"/>
        </w:rPr>
        <w:t>․</w:t>
      </w:r>
      <w:r w:rsidR="004244D2" w:rsidRPr="006B3656">
        <w:rPr>
          <w:rFonts w:ascii="GHEA Grapalat" w:hAnsi="GHEA Grapalat"/>
          <w:sz w:val="22"/>
          <w:szCs w:val="22"/>
          <w:lang w:val="hy-AM"/>
        </w:rPr>
        <w:t xml:space="preserve"> առաջին եռամսյակում աճը կազմել է 2.9%, իսկ երկրորդ եռամսյակում՝ 2.8%</w:t>
      </w:r>
      <w:r w:rsidR="004244D2" w:rsidRPr="006B3656">
        <w:rPr>
          <w:rFonts w:ascii="GHEA Grapalat" w:hAnsi="GHEA Grapalat"/>
          <w:sz w:val="22"/>
          <w:szCs w:val="22"/>
          <w:vertAlign w:val="superscript"/>
        </w:rPr>
        <w:footnoteReference w:id="2"/>
      </w:r>
      <w:r w:rsidR="004244D2" w:rsidRPr="006B3656">
        <w:rPr>
          <w:rFonts w:ascii="GHEA Grapalat" w:hAnsi="GHEA Grapalat"/>
          <w:sz w:val="22"/>
          <w:szCs w:val="22"/>
          <w:lang w:val="hy-AM"/>
        </w:rPr>
        <w:t>։ Եվրագոտու տնտեսությունն աճել է ավելի դանդաղ տեմպերով՝ 0.5%, ընդ որում՝ առաջին եռամսյակում՝ 0.4%-ով, երկրորդ եռամսյակում՝ 0.6%-ով</w:t>
      </w:r>
      <w:r w:rsidR="004244D2" w:rsidRPr="006B3656">
        <w:rPr>
          <w:rFonts w:ascii="GHEA Grapalat" w:hAnsi="GHEA Grapalat"/>
          <w:sz w:val="22"/>
          <w:szCs w:val="22"/>
          <w:vertAlign w:val="superscript"/>
        </w:rPr>
        <w:footnoteReference w:id="3"/>
      </w:r>
      <w:r w:rsidR="004244D2" w:rsidRPr="006B3656">
        <w:rPr>
          <w:rFonts w:ascii="GHEA Grapalat" w:hAnsi="GHEA Grapalat"/>
          <w:sz w:val="22"/>
          <w:szCs w:val="22"/>
          <w:lang w:val="hy-AM"/>
        </w:rPr>
        <w:t>` պայմանավորված մասնավոր սպառման աճով։ Չինաստանում առաջին կիսամյակում միջինում գրանցվել է 5% աճ. ընդ որում՝ առաջին եռամսյակում գրանցվել է 5.3% տնտեսական աճ, իսկ երկրորդում</w:t>
      </w:r>
      <w:r w:rsidR="004244D2" w:rsidRPr="00F371F3">
        <w:rPr>
          <w:rFonts w:ascii="GHEA Grapalat" w:hAnsi="GHEA Grapalat"/>
          <w:sz w:val="22"/>
          <w:szCs w:val="22"/>
          <w:lang w:val="hy-AM"/>
        </w:rPr>
        <w:t xml:space="preserve">` </w:t>
      </w:r>
      <w:r w:rsidR="004244D2" w:rsidRPr="006B3656">
        <w:rPr>
          <w:rFonts w:ascii="GHEA Grapalat" w:hAnsi="GHEA Grapalat"/>
          <w:sz w:val="22"/>
          <w:szCs w:val="22"/>
          <w:lang w:val="hy-AM"/>
        </w:rPr>
        <w:t>4.7% աճ</w:t>
      </w:r>
      <w:r w:rsidR="004244D2" w:rsidRPr="006B3656">
        <w:rPr>
          <w:rFonts w:ascii="GHEA Grapalat" w:hAnsi="GHEA Grapalat"/>
          <w:sz w:val="22"/>
          <w:szCs w:val="22"/>
          <w:vertAlign w:val="superscript"/>
        </w:rPr>
        <w:footnoteReference w:id="4"/>
      </w:r>
      <w:r w:rsidR="004244D2" w:rsidRPr="00F371F3">
        <w:rPr>
          <w:rFonts w:ascii="GHEA Grapalat" w:hAnsi="GHEA Grapalat"/>
          <w:sz w:val="22"/>
          <w:szCs w:val="22"/>
          <w:lang w:val="hy-AM"/>
        </w:rPr>
        <w:t xml:space="preserve">: </w:t>
      </w:r>
      <w:r w:rsidR="004244D2" w:rsidRPr="006B3656">
        <w:rPr>
          <w:rFonts w:ascii="GHEA Grapalat" w:hAnsi="GHEA Grapalat"/>
          <w:sz w:val="22"/>
          <w:szCs w:val="22"/>
          <w:lang w:val="hy-AM"/>
        </w:rPr>
        <w:t>Առաջին եռամսյակի աճը պայմանավորված էր անշարժ գույքի շուկայում առկա անկայունության մեղմացմանը միտված</w:t>
      </w:r>
      <w:r w:rsidR="00D3316E" w:rsidRPr="00F371F3">
        <w:rPr>
          <w:rFonts w:ascii="GHEA Grapalat" w:hAnsi="GHEA Grapalat"/>
          <w:sz w:val="22"/>
          <w:szCs w:val="22"/>
          <w:lang w:val="hy-AM"/>
        </w:rPr>
        <w:t>՝</w:t>
      </w:r>
      <w:r w:rsidR="004244D2" w:rsidRPr="006B3656">
        <w:rPr>
          <w:rFonts w:ascii="GHEA Grapalat" w:hAnsi="GHEA Grapalat"/>
          <w:sz w:val="22"/>
          <w:szCs w:val="22"/>
          <w:lang w:val="hy-AM"/>
        </w:rPr>
        <w:t xml:space="preserve"> կառավարության խթանող միջոցառումներով, ինչպես նաև ներքին սպառման աճով։ Իսկ երկրորդ եռամսյակում աճի դանդաղման հիմնական գործոններն են հանդիսացել անշարժ գույքի ոլորտի անկումը, մշակող արդյունաբերության և ՏՏ ծառայությունների աճի դանդաղումը։</w:t>
      </w:r>
    </w:p>
    <w:p w:rsidR="004244D2" w:rsidRPr="006B3656" w:rsidRDefault="004244D2" w:rsidP="004244D2">
      <w:pPr>
        <w:spacing w:after="240" w:line="360" w:lineRule="auto"/>
        <w:ind w:firstLine="567"/>
        <w:jc w:val="both"/>
        <w:rPr>
          <w:rFonts w:ascii="GHEA Grapalat" w:hAnsi="GHEA Grapalat"/>
          <w:sz w:val="22"/>
          <w:szCs w:val="22"/>
          <w:lang w:val="de-AT"/>
        </w:rPr>
      </w:pPr>
      <w:r w:rsidRPr="006B3656">
        <w:rPr>
          <w:rFonts w:ascii="GHEA Grapalat" w:hAnsi="GHEA Grapalat"/>
          <w:sz w:val="22"/>
          <w:szCs w:val="22"/>
          <w:lang w:val="hy-AM"/>
        </w:rPr>
        <w:t>Ռուսաստանի Դաշնությունում առաջին եռամսյակում գրանցված 5.4% աճից հետո ապրիլ-հունիս ամիսներին տնտեսական աճը դանդաղել է՝ միջինում կազմելով 4%, մասնավորապես, ապրիլին՝ 4.4%, մայիսին՝ 4.5%, հունիսին՝ 3%</w:t>
      </w:r>
      <w:r w:rsidRPr="006B3656">
        <w:rPr>
          <w:rFonts w:ascii="GHEA Grapalat" w:hAnsi="GHEA Grapalat"/>
          <w:sz w:val="22"/>
          <w:szCs w:val="22"/>
          <w:vertAlign w:val="superscript"/>
        </w:rPr>
        <w:footnoteReference w:id="5"/>
      </w:r>
      <w:r w:rsidR="00D3316E" w:rsidRPr="006B3656">
        <w:rPr>
          <w:rFonts w:ascii="GHEA Grapalat" w:hAnsi="GHEA Grapalat"/>
          <w:sz w:val="22"/>
          <w:szCs w:val="22"/>
          <w:lang w:val="hy-AM"/>
        </w:rPr>
        <w:t>։</w:t>
      </w:r>
    </w:p>
    <w:p w:rsidR="00E82AAE" w:rsidRPr="006B3656" w:rsidRDefault="00E82AAE"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4244D2" w:rsidRPr="006B3656" w:rsidRDefault="004244D2" w:rsidP="004244D2">
      <w:pPr>
        <w:keepNext/>
        <w:keepLines/>
        <w:numPr>
          <w:ilvl w:val="0"/>
          <w:numId w:val="12"/>
        </w:numPr>
        <w:tabs>
          <w:tab w:val="left" w:pos="0"/>
          <w:tab w:val="left" w:pos="284"/>
          <w:tab w:val="left" w:pos="1276"/>
          <w:tab w:val="left" w:pos="1888"/>
        </w:tabs>
        <w:autoSpaceDE w:val="0"/>
        <w:autoSpaceDN w:val="0"/>
        <w:adjustRightInd w:val="0"/>
        <w:spacing w:after="240" w:line="360" w:lineRule="auto"/>
        <w:ind w:left="0" w:firstLine="0"/>
        <w:contextualSpacing/>
        <w:jc w:val="both"/>
        <w:rPr>
          <w:rFonts w:ascii="GHEA Grapalat" w:hAnsi="GHEA Grapalat" w:cs="Sylfaen"/>
          <w:sz w:val="22"/>
          <w:szCs w:val="22"/>
          <w:lang w:val="hy-AM"/>
        </w:rPr>
      </w:pPr>
      <w:r w:rsidRPr="006B3656">
        <w:rPr>
          <w:rFonts w:ascii="GHEA Grapalat" w:hAnsi="GHEA Grapalat" w:cs="Sylfaen"/>
          <w:sz w:val="22"/>
          <w:szCs w:val="22"/>
          <w:lang w:val="hy-AM"/>
        </w:rPr>
        <w:t>Գործընկեր երկրների տնտեսական աճեր</w:t>
      </w:r>
      <w:r w:rsidRPr="006B3656">
        <w:rPr>
          <w:rStyle w:val="FootnoteReference"/>
          <w:rFonts w:ascii="GHEA Grapalat" w:hAnsi="GHEA Grapalat" w:cs="Sylfaen"/>
          <w:sz w:val="22"/>
          <w:szCs w:val="22"/>
        </w:rPr>
        <w:footnoteReference w:id="6"/>
      </w:r>
      <w:r w:rsidRPr="006B3656">
        <w:rPr>
          <w:rFonts w:ascii="GHEA Grapalat" w:hAnsi="GHEA Grapalat" w:cs="Sylfaen"/>
          <w:sz w:val="22"/>
          <w:szCs w:val="22"/>
          <w:lang w:val="hy-AM"/>
        </w:rPr>
        <w:t>, եռամսյակային, տ/տ, %</w:t>
      </w:r>
    </w:p>
    <w:p w:rsidR="00CB704F" w:rsidRPr="006B3656" w:rsidRDefault="00CB704F" w:rsidP="007F00B0">
      <w:pPr>
        <w:rPr>
          <w:rFonts w:ascii="GHEA Grapalat" w:hAnsi="GHEA Grapalat"/>
          <w:i/>
          <w:sz w:val="18"/>
          <w:szCs w:val="22"/>
          <w:lang w:val="hy-AM"/>
        </w:rPr>
      </w:pPr>
    </w:p>
    <w:bookmarkEnd w:id="19"/>
    <w:p w:rsidR="004244D2" w:rsidRPr="006B3656" w:rsidRDefault="004244D2" w:rsidP="004244D2">
      <w:pPr>
        <w:keepNext/>
        <w:keepLines/>
        <w:autoSpaceDE w:val="0"/>
        <w:autoSpaceDN w:val="0"/>
        <w:adjustRightInd w:val="0"/>
        <w:spacing w:after="240" w:line="360" w:lineRule="auto"/>
        <w:contextualSpacing/>
        <w:jc w:val="both"/>
        <w:rPr>
          <w:rFonts w:ascii="GHEA Grapalat" w:hAnsi="GHEA Grapalat" w:cs="Sylfaen"/>
          <w:sz w:val="22"/>
          <w:szCs w:val="22"/>
          <w:lang w:val="hy-AM"/>
        </w:rPr>
      </w:pPr>
      <w:r w:rsidRPr="006B3656">
        <w:rPr>
          <w:rFonts w:ascii="GHEA Grapalat" w:hAnsi="GHEA Grapalat" w:cs="Sylfaen"/>
          <w:noProof/>
          <w:sz w:val="22"/>
          <w:szCs w:val="22"/>
        </w:rPr>
        <w:drawing>
          <wp:inline distT="0" distB="0" distL="0" distR="0" wp14:anchorId="76A46B6F" wp14:editId="1CBA668E">
            <wp:extent cx="6246495" cy="1988288"/>
            <wp:effectExtent l="0" t="0" r="1905" b="12065"/>
            <wp:docPr id="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B387C" w:rsidRPr="006B3656" w:rsidRDefault="008B387C" w:rsidP="004244D2">
      <w:pPr>
        <w:spacing w:line="360" w:lineRule="auto"/>
        <w:ind w:firstLine="567"/>
        <w:jc w:val="both"/>
        <w:rPr>
          <w:rFonts w:ascii="GHEA Grapalat" w:hAnsi="GHEA Grapalat" w:cs="GHEA Grapalat"/>
          <w:sz w:val="22"/>
          <w:szCs w:val="22"/>
          <w:lang w:val="hy-AM"/>
        </w:rPr>
      </w:pPr>
    </w:p>
    <w:p w:rsidR="004244D2" w:rsidRPr="006B3656" w:rsidRDefault="004244D2" w:rsidP="004244D2">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Գործընկեր երկրների կենտրոնական բանկերի կողմից գնաճի հաղթահարման նպատակով առաջին կիսամյակում շարունակվել է իրականացվել զսպող քաղաքականություն, սակայն հուլիսին կայացված որոշումների արդյունքում որոշ կենտրոնական բանկեր գնաճի նվազմանը զուգահեռ նվազեցրել են քաղաքականության տոկոսադրույքները։ Եվրոպական կենտրոնական բանկը քաղաքականության տոկոսադրույքը գնաճի տեմպերի զգալի թուլացման պայմաններում սահմանել է 0.25 բազիսային կետով ավելի ցածր՝ 4.25% մակարդակում։ ԱՄՆ ԴՊՀ-ն քաղաքականության տոկոսադրույքը շարունակել է պահպանել սահմանված 5.25-5.5% մակարդակում: </w:t>
      </w:r>
    </w:p>
    <w:p w:rsidR="008B387C" w:rsidRPr="006B3656" w:rsidRDefault="008B387C" w:rsidP="004244D2">
      <w:pPr>
        <w:spacing w:line="360" w:lineRule="auto"/>
        <w:ind w:firstLine="567"/>
        <w:jc w:val="both"/>
        <w:rPr>
          <w:rFonts w:ascii="GHEA Grapalat" w:hAnsi="GHEA Grapalat" w:cs="GHEA Grapalat"/>
          <w:sz w:val="22"/>
          <w:szCs w:val="22"/>
          <w:lang w:val="hy-AM"/>
        </w:rPr>
      </w:pPr>
    </w:p>
    <w:p w:rsidR="004244D2" w:rsidRPr="006B3656" w:rsidRDefault="004244D2" w:rsidP="004244D2">
      <w:pPr>
        <w:keepNext/>
        <w:keepLines/>
        <w:numPr>
          <w:ilvl w:val="0"/>
          <w:numId w:val="12"/>
        </w:numPr>
        <w:tabs>
          <w:tab w:val="left" w:pos="0"/>
          <w:tab w:val="left" w:pos="284"/>
          <w:tab w:val="left" w:pos="1276"/>
          <w:tab w:val="left" w:pos="1888"/>
        </w:tabs>
        <w:autoSpaceDE w:val="0"/>
        <w:autoSpaceDN w:val="0"/>
        <w:adjustRightInd w:val="0"/>
        <w:spacing w:after="200" w:line="276" w:lineRule="auto"/>
        <w:ind w:left="0" w:firstLine="0"/>
        <w:rPr>
          <w:rFonts w:ascii="GHEA Grapalat" w:hAnsi="GHEA Grapalat" w:cs="Sylfaen"/>
          <w:sz w:val="22"/>
          <w:szCs w:val="22"/>
          <w:lang w:val="hy-AM"/>
        </w:rPr>
      </w:pPr>
      <w:r w:rsidRPr="006B3656">
        <w:rPr>
          <w:rFonts w:ascii="GHEA Grapalat" w:hAnsi="GHEA Grapalat" w:cs="Sylfaen"/>
          <w:sz w:val="22"/>
          <w:szCs w:val="22"/>
          <w:lang w:val="hy-AM"/>
        </w:rPr>
        <w:t>Գնաճն ու դրամավարկային քաղաքականության արձագանքը գործընկեր երկրներում</w:t>
      </w:r>
      <w:r w:rsidRPr="006B3656">
        <w:rPr>
          <w:rFonts w:ascii="GHEA Grapalat" w:hAnsi="GHEA Grapalat" w:cs="Sylfaen"/>
          <w:sz w:val="22"/>
          <w:szCs w:val="22"/>
          <w:vertAlign w:val="superscript"/>
        </w:rPr>
        <w:footnoteReference w:id="7"/>
      </w:r>
    </w:p>
    <w:tbl>
      <w:tblPr>
        <w:tblW w:w="8401" w:type="dxa"/>
        <w:jc w:val="center"/>
        <w:tblLook w:val="04A0" w:firstRow="1" w:lastRow="0" w:firstColumn="1" w:lastColumn="0" w:noHBand="0" w:noVBand="1"/>
      </w:tblPr>
      <w:tblGrid>
        <w:gridCol w:w="9760"/>
      </w:tblGrid>
      <w:tr w:rsidR="004244D2" w:rsidRPr="0046146D" w:rsidTr="00A05DB7">
        <w:trPr>
          <w:trHeight w:val="2763"/>
          <w:jc w:val="center"/>
        </w:trPr>
        <w:tc>
          <w:tcPr>
            <w:tcW w:w="8401" w:type="dxa"/>
            <w:shd w:val="clear" w:color="auto" w:fill="auto"/>
          </w:tcPr>
          <w:p w:rsidR="0098285F" w:rsidRPr="006B3656" w:rsidRDefault="0098285F" w:rsidP="0098285F">
            <w:pPr>
              <w:jc w:val="both"/>
              <w:rPr>
                <w:rFonts w:ascii="GHEA Grapalat" w:hAnsi="GHEA Grapalat"/>
                <w:b/>
                <w:sz w:val="22"/>
                <w:lang w:val="hy-AM"/>
              </w:rPr>
            </w:pPr>
            <w:r w:rsidRPr="006B3656">
              <w:rPr>
                <w:rFonts w:ascii="GHEA Grapalat" w:hAnsi="GHEA Grapalat"/>
                <w:b/>
                <w:noProof/>
                <w:sz w:val="22"/>
              </w:rPr>
              <w:drawing>
                <wp:inline distT="0" distB="0" distL="0" distR="0" wp14:anchorId="35FD1859" wp14:editId="499BE21A">
                  <wp:extent cx="2999740" cy="1860550"/>
                  <wp:effectExtent l="0" t="0" r="10160" b="6350"/>
                  <wp:docPr id="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B3656">
              <w:rPr>
                <w:rFonts w:ascii="GHEA Grapalat" w:hAnsi="GHEA Grapalat"/>
                <w:b/>
                <w:noProof/>
                <w:sz w:val="22"/>
              </w:rPr>
              <w:drawing>
                <wp:inline distT="0" distB="0" distL="0" distR="0" wp14:anchorId="7C3DDC21" wp14:editId="6C32D246">
                  <wp:extent cx="2999740" cy="1868556"/>
                  <wp:effectExtent l="0" t="0" r="0" b="0"/>
                  <wp:docPr id="1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B3656">
              <w:rPr>
                <w:rFonts w:ascii="GHEA Grapalat" w:hAnsi="GHEA Grapalat"/>
                <w:b/>
                <w:noProof/>
                <w:sz w:val="22"/>
              </w:rPr>
              <w:drawing>
                <wp:inline distT="0" distB="0" distL="0" distR="0" wp14:anchorId="74B9C408" wp14:editId="15A269CF">
                  <wp:extent cx="6060992" cy="219710"/>
                  <wp:effectExtent l="0" t="0" r="0" b="0"/>
                  <wp:docPr id="9"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44D2" w:rsidRPr="006B3656" w:rsidRDefault="0098285F" w:rsidP="0098285F">
            <w:pPr>
              <w:jc w:val="both"/>
              <w:rPr>
                <w:rFonts w:ascii="GHEA Grapalat" w:hAnsi="GHEA Grapalat"/>
                <w:i/>
                <w:sz w:val="18"/>
                <w:szCs w:val="22"/>
                <w:lang w:val="hy-AM"/>
              </w:rPr>
            </w:pPr>
            <w:r w:rsidRPr="006B3656">
              <w:rPr>
                <w:rFonts w:ascii="GHEA Grapalat" w:hAnsi="GHEA Grapalat"/>
                <w:i/>
                <w:sz w:val="18"/>
                <w:szCs w:val="22"/>
                <w:lang w:val="hy-AM"/>
              </w:rPr>
              <w:t>Աղբյուրը՝ ԱՄՆ ԴՊՀ, ԵԿԲ, Չինաստանի ժողովրդական բանկ, ՌԴ ԿԲ</w:t>
            </w:r>
          </w:p>
        </w:tc>
      </w:tr>
    </w:tbl>
    <w:p w:rsidR="004244D2" w:rsidRPr="006B3656" w:rsidRDefault="004244D2" w:rsidP="004244D2">
      <w:pPr>
        <w:spacing w:line="360" w:lineRule="auto"/>
        <w:ind w:firstLine="567"/>
        <w:jc w:val="both"/>
        <w:rPr>
          <w:rFonts w:ascii="GHEA Grapalat" w:hAnsi="GHEA Grapalat"/>
          <w:b/>
          <w:i/>
          <w:iCs/>
          <w:sz w:val="22"/>
          <w:lang w:val="hy-AM"/>
        </w:rPr>
      </w:pPr>
    </w:p>
    <w:p w:rsidR="004244D2" w:rsidRPr="006B3656" w:rsidRDefault="004244D2" w:rsidP="004244D2">
      <w:pPr>
        <w:spacing w:after="240" w:line="360" w:lineRule="auto"/>
        <w:ind w:firstLine="562"/>
        <w:contextualSpacing/>
        <w:jc w:val="both"/>
        <w:rPr>
          <w:rFonts w:ascii="GHEA Grapalat" w:hAnsi="GHEA Grapalat"/>
          <w:sz w:val="22"/>
          <w:lang w:val="hy-AM"/>
        </w:rPr>
      </w:pPr>
      <w:r w:rsidRPr="006B3656">
        <w:rPr>
          <w:rFonts w:ascii="GHEA Grapalat" w:hAnsi="GHEA Grapalat"/>
          <w:b/>
          <w:i/>
          <w:iCs/>
          <w:sz w:val="22"/>
          <w:lang w:val="hy-AM"/>
        </w:rPr>
        <w:t>Միջազգային գներ</w:t>
      </w:r>
      <w:r w:rsidRPr="006B3656">
        <w:rPr>
          <w:rFonts w:ascii="GHEA Grapalat" w:hAnsi="GHEA Grapalat"/>
          <w:b/>
          <w:i/>
          <w:iCs/>
          <w:sz w:val="22"/>
          <w:vertAlign w:val="superscript"/>
        </w:rPr>
        <w:footnoteReference w:id="8"/>
      </w:r>
      <w:r w:rsidRPr="006B3656">
        <w:rPr>
          <w:rFonts w:ascii="GHEA Grapalat" w:hAnsi="GHEA Grapalat"/>
          <w:b/>
          <w:sz w:val="22"/>
          <w:lang w:val="hy-AM"/>
        </w:rPr>
        <w:t>:</w:t>
      </w:r>
      <w:r w:rsidRPr="006B3656">
        <w:rPr>
          <w:rFonts w:ascii="GHEA Grapalat" w:hAnsi="GHEA Grapalat"/>
          <w:sz w:val="22"/>
          <w:lang w:val="hy-AM"/>
        </w:rPr>
        <w:t xml:space="preserve"> 2024 թվականի առաջին կիսամյակում </w:t>
      </w:r>
      <w:r w:rsidRPr="006B3656">
        <w:rPr>
          <w:rFonts w:ascii="GHEA Grapalat" w:hAnsi="GHEA Grapalat" w:cs="GHEA Grapalat"/>
          <w:sz w:val="22"/>
          <w:szCs w:val="22"/>
          <w:lang w:val="hy-AM"/>
        </w:rPr>
        <w:t xml:space="preserve">հումքային և պարենային ապրանքների շուկայում դրամավարկային քաղաքականության խիստ պայմանների պահպանման, նավթի արտադրության, ինչպես նաև Չինաստանի կողմից մետաղների նկատմամբ պահանջարկի, մետաղների արտադրության կրճատման արդյունքում գրանցվել է մետաղների և նավթի միջազգային գների աճ, պարենի գների նվազում։ Նավթի միջազգային գինը 2024 թվականի առաջին կիսամյակում նախորդ տարվա համապատասխան ժամանակահատվածի </w:t>
      </w:r>
      <w:r w:rsidRPr="006B3656">
        <w:rPr>
          <w:rFonts w:ascii="GHEA Grapalat" w:hAnsi="GHEA Grapalat"/>
          <w:sz w:val="22"/>
          <w:szCs w:val="22"/>
          <w:lang w:val="hy-AM"/>
        </w:rPr>
        <w:t xml:space="preserve">նկատմամբ աճել է 5.2%-ով՝ 2024 թվականի հունիսին կազմելով 82.5 ԱՄՆ դոլար մեկ բարելի դիմաց: Նավթի գնի աճը պայմանավորված է ՕՊԵԿ+-ի կողմից սահմանված արտադրության և արտահանման </w:t>
      </w:r>
      <w:r w:rsidRPr="006B3656">
        <w:rPr>
          <w:rFonts w:ascii="GHEA Grapalat" w:hAnsi="GHEA Grapalat"/>
          <w:sz w:val="22"/>
          <w:lang w:val="hy-AM"/>
        </w:rPr>
        <w:t xml:space="preserve">կրճատումների երկարաձգմամբ, ինչպես նաև աշխարհաքաղաքական անորոշություններով։ </w:t>
      </w:r>
      <w:r w:rsidRPr="006B3656">
        <w:rPr>
          <w:rFonts w:ascii="GHEA Grapalat" w:hAnsi="GHEA Grapalat"/>
          <w:sz w:val="22"/>
          <w:szCs w:val="22"/>
          <w:lang w:val="hy-AM"/>
        </w:rPr>
        <w:t xml:space="preserve">Պղնձի միջազգային գինը նույնպես աճ է գրանցել՝ կիսամյակի սկզբի համեմատ ավելի արագ տեմպերով. 2024 թվականի առաջին կիսամյակում պղնձի միջազգային գինն աճել է 4.5%-ով՝ հունիս ամսին կազմելով 9,648 ԱՄՆ դոլար մեկ տոննայի համար: Պղնձի գների զգալի աճը պայմանավորված է եղել </w:t>
      </w:r>
      <w:r w:rsidRPr="006B3656">
        <w:rPr>
          <w:rFonts w:ascii="GHEA Grapalat" w:hAnsi="GHEA Grapalat" w:cs="GHEA Grapalat"/>
          <w:sz w:val="22"/>
          <w:szCs w:val="22"/>
          <w:lang w:val="hy-AM"/>
        </w:rPr>
        <w:t>խտանյութի առաջարկի կրճատմամբ՝ պայմանավորված կարևոր հանքավայրերի շահագործման դադարեցմամբ, ինչպես նաև չինական մետալուրգիական գործարանների կողմից արտադրության կրճատմամբ։</w:t>
      </w:r>
    </w:p>
    <w:p w:rsidR="004244D2" w:rsidRPr="006B3656" w:rsidRDefault="004244D2" w:rsidP="004244D2">
      <w:pPr>
        <w:spacing w:after="240" w:line="360" w:lineRule="auto"/>
        <w:ind w:firstLine="562"/>
        <w:contextualSpacing/>
        <w:jc w:val="both"/>
        <w:rPr>
          <w:rFonts w:ascii="GHEA Grapalat" w:hAnsi="GHEA Grapalat"/>
          <w:sz w:val="22"/>
          <w:szCs w:val="22"/>
          <w:lang w:val="hy-AM"/>
        </w:rPr>
      </w:pPr>
      <w:r w:rsidRPr="006B3656">
        <w:rPr>
          <w:rFonts w:ascii="GHEA Grapalat" w:hAnsi="GHEA Grapalat"/>
          <w:sz w:val="22"/>
          <w:szCs w:val="22"/>
          <w:lang w:val="hy-AM"/>
        </w:rPr>
        <w:t>Պարենի միջազգային գները</w:t>
      </w:r>
      <w:r w:rsidRPr="006B3656">
        <w:rPr>
          <w:rFonts w:ascii="GHEA Grapalat" w:hAnsi="GHEA Grapalat"/>
          <w:sz w:val="22"/>
          <w:szCs w:val="22"/>
          <w:vertAlign w:val="superscript"/>
        </w:rPr>
        <w:footnoteReference w:id="9"/>
      </w:r>
      <w:r w:rsidRPr="006B3656">
        <w:rPr>
          <w:rFonts w:ascii="GHEA Grapalat" w:hAnsi="GHEA Grapalat"/>
          <w:sz w:val="22"/>
          <w:szCs w:val="22"/>
          <w:lang w:val="hy-AM"/>
        </w:rPr>
        <w:t xml:space="preserve"> 2024 թվականի առաջին կիսամյակում նախորդ տարվա համապատասխան ժամանակահատվածի համեմատ նվազել են 6.9%-ով՝ պայմանավորված մսի, կաթնամթերքի, հացահատիկի, բուսական յուղերի և շաքարավազի միջազգային գների նվազմամբ, ինչպես նաև դրամավարկային քաղաքականության խստացնող ազդեցություններով:</w:t>
      </w:r>
    </w:p>
    <w:p w:rsidR="004244D2" w:rsidRPr="006B3656" w:rsidRDefault="004244D2" w:rsidP="004244D2">
      <w:pPr>
        <w:spacing w:after="240" w:line="360" w:lineRule="auto"/>
        <w:ind w:firstLine="562"/>
        <w:contextualSpacing/>
        <w:jc w:val="both"/>
        <w:rPr>
          <w:rFonts w:ascii="GHEA Grapalat" w:hAnsi="GHEA Grapalat"/>
          <w:sz w:val="22"/>
          <w:szCs w:val="22"/>
          <w:lang w:val="hy-AM"/>
        </w:rPr>
      </w:pPr>
    </w:p>
    <w:p w:rsidR="004244D2" w:rsidRPr="006B3656" w:rsidRDefault="004244D2" w:rsidP="004244D2">
      <w:pPr>
        <w:keepNext/>
        <w:keepLines/>
        <w:numPr>
          <w:ilvl w:val="0"/>
          <w:numId w:val="12"/>
        </w:numPr>
        <w:tabs>
          <w:tab w:val="left" w:pos="0"/>
          <w:tab w:val="left" w:pos="284"/>
          <w:tab w:val="left" w:pos="1276"/>
          <w:tab w:val="left" w:pos="1888"/>
        </w:tabs>
        <w:autoSpaceDE w:val="0"/>
        <w:autoSpaceDN w:val="0"/>
        <w:adjustRightInd w:val="0"/>
        <w:spacing w:after="200" w:line="276" w:lineRule="auto"/>
        <w:ind w:left="0" w:firstLine="0"/>
        <w:rPr>
          <w:rFonts w:ascii="GHEA Grapalat" w:hAnsi="GHEA Grapalat" w:cs="Sylfaen"/>
          <w:sz w:val="22"/>
          <w:szCs w:val="22"/>
          <w:lang w:val="hy-AM"/>
        </w:rPr>
      </w:pPr>
      <w:r w:rsidRPr="006B3656">
        <w:rPr>
          <w:rFonts w:ascii="GHEA Grapalat" w:hAnsi="GHEA Grapalat" w:cs="Sylfaen"/>
          <w:sz w:val="22"/>
          <w:szCs w:val="22"/>
          <w:lang w:val="hy-AM"/>
        </w:rPr>
        <w:t>Նավթի, պղնձի և պարենի գների զարգացումներ</w:t>
      </w:r>
    </w:p>
    <w:p w:rsidR="004244D2" w:rsidRPr="006B3656" w:rsidRDefault="004244D2" w:rsidP="004244D2">
      <w:pPr>
        <w:keepNext/>
        <w:keepLines/>
        <w:tabs>
          <w:tab w:val="left" w:pos="284"/>
          <w:tab w:val="left" w:pos="1560"/>
          <w:tab w:val="left" w:pos="5529"/>
        </w:tabs>
        <w:autoSpaceDE w:val="0"/>
        <w:autoSpaceDN w:val="0"/>
        <w:adjustRightInd w:val="0"/>
        <w:spacing w:after="120" w:line="276" w:lineRule="auto"/>
        <w:jc w:val="both"/>
        <w:rPr>
          <w:rFonts w:ascii="GHEA Grapalat" w:hAnsi="GHEA Grapalat" w:cs="Sylfaen"/>
          <w:sz w:val="22"/>
          <w:szCs w:val="22"/>
        </w:rPr>
      </w:pPr>
      <w:r w:rsidRPr="006B3656">
        <w:rPr>
          <w:rFonts w:ascii="GHEA Grapalat" w:hAnsi="GHEA Grapalat" w:cs="Sylfaen"/>
          <w:sz w:val="22"/>
          <w:szCs w:val="22"/>
          <w:lang w:val="hy-AM"/>
        </w:rPr>
        <w:t xml:space="preserve"> </w:t>
      </w:r>
      <w:r w:rsidRPr="006B3656">
        <w:rPr>
          <w:rFonts w:ascii="GHEA Grapalat" w:hAnsi="GHEA Grapalat"/>
          <w:b/>
          <w:noProof/>
          <w:color w:val="365F91" w:themeColor="accent1" w:themeShade="BF"/>
          <w:sz w:val="26"/>
          <w:szCs w:val="26"/>
        </w:rPr>
        <w:drawing>
          <wp:inline distT="0" distB="0" distL="0" distR="0" wp14:anchorId="12C1EA44" wp14:editId="3444F1CB">
            <wp:extent cx="3111500" cy="2668772"/>
            <wp:effectExtent l="0" t="0" r="1270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B3656">
        <w:rPr>
          <w:rFonts w:ascii="GHEA Grapalat" w:hAnsi="GHEA Grapalat"/>
          <w:noProof/>
        </w:rPr>
        <w:drawing>
          <wp:inline distT="0" distB="0" distL="0" distR="0" wp14:anchorId="53FCD056" wp14:editId="24D15A0C">
            <wp:extent cx="3110865" cy="2669202"/>
            <wp:effectExtent l="0" t="0" r="13335"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Look w:val="04A0" w:firstRow="1" w:lastRow="0" w:firstColumn="1" w:lastColumn="0" w:noHBand="0" w:noVBand="1"/>
      </w:tblPr>
      <w:tblGrid>
        <w:gridCol w:w="4650"/>
        <w:gridCol w:w="4825"/>
      </w:tblGrid>
      <w:tr w:rsidR="004244D2" w:rsidRPr="006B3656" w:rsidTr="00A05DB7">
        <w:trPr>
          <w:trHeight w:val="113"/>
          <w:jc w:val="center"/>
        </w:trPr>
        <w:tc>
          <w:tcPr>
            <w:tcW w:w="4650" w:type="dxa"/>
            <w:shd w:val="clear" w:color="auto" w:fill="auto"/>
          </w:tcPr>
          <w:p w:rsidR="004244D2" w:rsidRPr="006B3656" w:rsidRDefault="004244D2" w:rsidP="00A05DB7">
            <w:pPr>
              <w:rPr>
                <w:rFonts w:ascii="GHEA Grapalat" w:eastAsia="Calibri" w:hAnsi="GHEA Grapalat"/>
                <w:i/>
                <w:sz w:val="20"/>
                <w:szCs w:val="20"/>
              </w:rPr>
            </w:pPr>
            <w:r w:rsidRPr="006B3656">
              <w:rPr>
                <w:rFonts w:ascii="GHEA Grapalat" w:eastAsia="Calibri" w:hAnsi="GHEA Grapalat"/>
                <w:i/>
                <w:sz w:val="20"/>
                <w:szCs w:val="20"/>
              </w:rPr>
              <w:t>Աղբյուրը՝ Համաշխարհային բանկ</w:t>
            </w:r>
          </w:p>
          <w:p w:rsidR="004244D2" w:rsidRPr="006B3656" w:rsidRDefault="004244D2" w:rsidP="00A05DB7">
            <w:pPr>
              <w:rPr>
                <w:rFonts w:ascii="GHEA Grapalat" w:eastAsia="Calibri" w:hAnsi="GHEA Grapalat"/>
                <w:i/>
                <w:sz w:val="20"/>
                <w:szCs w:val="20"/>
              </w:rPr>
            </w:pPr>
          </w:p>
        </w:tc>
        <w:tc>
          <w:tcPr>
            <w:tcW w:w="4825" w:type="dxa"/>
            <w:shd w:val="clear" w:color="auto" w:fill="auto"/>
          </w:tcPr>
          <w:p w:rsidR="004244D2" w:rsidRPr="006B3656" w:rsidRDefault="004244D2" w:rsidP="00A05DB7">
            <w:pPr>
              <w:rPr>
                <w:rFonts w:ascii="GHEA Grapalat" w:eastAsia="GHEA Grapalat" w:hAnsi="GHEA Grapalat" w:cs="GHEA Grapalat"/>
                <w:i/>
                <w:sz w:val="20"/>
                <w:szCs w:val="20"/>
              </w:rPr>
            </w:pPr>
            <w:r w:rsidRPr="006B3656">
              <w:rPr>
                <w:rFonts w:ascii="GHEA Grapalat" w:eastAsia="GHEA Grapalat" w:hAnsi="GHEA Grapalat" w:cs="GHEA Grapalat"/>
                <w:i/>
                <w:sz w:val="20"/>
                <w:szCs w:val="20"/>
              </w:rPr>
              <w:t>Աղբյուրը՝ ՄԱԿ–ի պարենի և գյուղատնտեսության կազմակերպություն</w:t>
            </w:r>
          </w:p>
        </w:tc>
      </w:tr>
    </w:tbl>
    <w:p w:rsidR="004244D2" w:rsidRPr="006B3656" w:rsidRDefault="004244D2" w:rsidP="004244D2"/>
    <w:p w:rsidR="003A50D5" w:rsidRPr="006B3656" w:rsidRDefault="003A50D5" w:rsidP="004244D2">
      <w:pPr>
        <w:ind w:firstLine="567"/>
        <w:jc w:val="both"/>
        <w:rPr>
          <w:rFonts w:ascii="GHEA Grapalat" w:hAnsi="GHEA Grapalat" w:cs="GHEA Grapalat"/>
          <w:sz w:val="22"/>
          <w:szCs w:val="22"/>
          <w:lang w:val="hy-AM"/>
        </w:rPr>
      </w:pPr>
    </w:p>
    <w:p w:rsidR="00563135" w:rsidRPr="006B3656"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21" w:name="_Toc175925246"/>
      <w:bookmarkEnd w:id="20"/>
      <w:r w:rsidRPr="006B3656">
        <w:rPr>
          <w:rFonts w:ascii="GHEA Grapalat" w:hAnsi="GHEA Grapalat"/>
          <w:bCs/>
          <w:i w:val="0"/>
          <w:noProof/>
          <w:sz w:val="22"/>
          <w:szCs w:val="22"/>
          <w:lang w:val="de-AT"/>
        </w:rPr>
        <w:t>ՀՀ մակրոտնտեսական զարգացումներ</w:t>
      </w:r>
      <w:bookmarkEnd w:id="17"/>
      <w:bookmarkEnd w:id="18"/>
      <w:bookmarkEnd w:id="21"/>
    </w:p>
    <w:p w:rsidR="00563135" w:rsidRPr="006B3656" w:rsidRDefault="00563135" w:rsidP="00563135">
      <w:pPr>
        <w:pStyle w:val="Heading6"/>
        <w:ind w:left="567"/>
        <w:rPr>
          <w:rFonts w:ascii="GHEA Grapalat" w:hAnsi="GHEA Grapalat"/>
          <w:b/>
          <w:sz w:val="22"/>
          <w:szCs w:val="22"/>
          <w:u w:val="none"/>
        </w:rPr>
      </w:pPr>
      <w:bookmarkStart w:id="22" w:name="_Toc71311882"/>
      <w:r w:rsidRPr="006B3656">
        <w:rPr>
          <w:rFonts w:ascii="GHEA Grapalat" w:hAnsi="GHEA Grapalat"/>
          <w:b/>
          <w:sz w:val="22"/>
          <w:szCs w:val="22"/>
          <w:u w:val="none"/>
        </w:rPr>
        <w:t>Համախառն առաջարկ և պահանջարկ</w:t>
      </w:r>
      <w:bookmarkEnd w:id="22"/>
    </w:p>
    <w:p w:rsidR="007A0BD0" w:rsidRPr="006B3656" w:rsidRDefault="00664493" w:rsidP="007A0BD0">
      <w:pPr>
        <w:spacing w:line="336" w:lineRule="auto"/>
        <w:ind w:firstLine="547"/>
        <w:jc w:val="both"/>
        <w:rPr>
          <w:rFonts w:ascii="GHEA Grapalat" w:eastAsia="GHEA Grapalat" w:hAnsi="GHEA Grapalat" w:cs="GHEA Grapalat"/>
          <w:b/>
          <w:sz w:val="22"/>
          <w:szCs w:val="22"/>
          <w:lang w:val="hy-AM"/>
        </w:rPr>
      </w:pPr>
      <w:r w:rsidRPr="006B3656">
        <w:rPr>
          <w:rFonts w:ascii="GHEA Grapalat" w:eastAsia="GHEA Grapalat" w:hAnsi="GHEA Grapalat" w:cs="GHEA Grapalat"/>
          <w:b/>
          <w:i/>
          <w:iCs/>
          <w:sz w:val="22"/>
          <w:szCs w:val="22"/>
          <w:lang w:val="hy-AM"/>
        </w:rPr>
        <w:t>Համախառն առաջարկ:</w:t>
      </w:r>
      <w:r w:rsidR="00E00207" w:rsidRPr="006B3656">
        <w:rPr>
          <w:rFonts w:ascii="GHEA Grapalat" w:hAnsi="GHEA Grapalat"/>
          <w:sz w:val="22"/>
          <w:szCs w:val="22"/>
          <w:lang w:val="hy-AM"/>
        </w:rPr>
        <w:t xml:space="preserve"> </w:t>
      </w:r>
      <w:r w:rsidR="007A0BD0" w:rsidRPr="006B3656">
        <w:rPr>
          <w:rFonts w:ascii="GHEA Grapalat" w:eastAsia="GHEA Grapalat" w:hAnsi="GHEA Grapalat" w:cs="GHEA Grapalat"/>
          <w:sz w:val="22"/>
          <w:szCs w:val="22"/>
          <w:lang w:val="hy-AM"/>
        </w:rPr>
        <w:t>2024 թվական</w:t>
      </w:r>
      <w:r w:rsidR="007A0BD0" w:rsidRPr="006B3656">
        <w:rPr>
          <w:rFonts w:ascii="GHEA Grapalat" w:eastAsia="GHEA Grapalat" w:hAnsi="GHEA Grapalat" w:cs="GHEA Grapalat"/>
          <w:bCs/>
          <w:sz w:val="22"/>
          <w:szCs w:val="22"/>
          <w:lang w:val="hy-AM"/>
        </w:rPr>
        <w:t>ը սկսվել է տնտեսական աճի բարձր տեմպով, որը աստիճանաբար դանդաղել է, սակայն մնացել է</w:t>
      </w:r>
      <w:r w:rsidR="007A0BD0" w:rsidRPr="006B3656">
        <w:rPr>
          <w:rFonts w:ascii="GHEA Grapalat" w:eastAsia="GHEA Grapalat" w:hAnsi="GHEA Grapalat" w:cs="GHEA Grapalat"/>
          <w:b/>
          <w:sz w:val="22"/>
          <w:szCs w:val="22"/>
          <w:lang w:val="hy-AM"/>
        </w:rPr>
        <w:t xml:space="preserve"> </w:t>
      </w:r>
      <w:r w:rsidR="007A0BD0" w:rsidRPr="006B3656">
        <w:rPr>
          <w:rFonts w:ascii="GHEA Grapalat" w:eastAsia="GHEA Grapalat" w:hAnsi="GHEA Grapalat" w:cs="GHEA Grapalat"/>
          <w:bCs/>
          <w:sz w:val="22"/>
          <w:szCs w:val="22"/>
          <w:lang w:val="hy-AM"/>
        </w:rPr>
        <w:t>բարձր մակարդակում՝ իր վրա կրելով նաև հիմնային մետաղների արտադրության կտրուկ աճի</w:t>
      </w:r>
      <w:r w:rsidR="007A0BD0" w:rsidRPr="006B3656">
        <w:rPr>
          <w:rStyle w:val="FootnoteReference"/>
          <w:rFonts w:ascii="GHEA Grapalat" w:eastAsia="GHEA Grapalat" w:hAnsi="GHEA Grapalat" w:cs="GHEA Grapalat"/>
          <w:bCs/>
          <w:sz w:val="22"/>
          <w:szCs w:val="22"/>
          <w:lang w:val="hy-AM"/>
        </w:rPr>
        <w:footnoteReference w:id="10"/>
      </w:r>
      <w:r w:rsidR="007A0BD0" w:rsidRPr="006B3656">
        <w:rPr>
          <w:rFonts w:ascii="GHEA Grapalat" w:eastAsia="GHEA Grapalat" w:hAnsi="GHEA Grapalat" w:cs="GHEA Grapalat"/>
          <w:bCs/>
          <w:sz w:val="22"/>
          <w:szCs w:val="22"/>
          <w:lang w:val="hy-AM"/>
        </w:rPr>
        <w:t xml:space="preserve"> և Լեռնային Ղարաբաղից ՀՀ բռնի տեղահանված մեր հայրենակիցների սպառման և տնտեսական գործունեության ազդեցությունները</w:t>
      </w:r>
      <w:r w:rsidR="007A0BD0" w:rsidRPr="006B3656">
        <w:rPr>
          <w:rFonts w:ascii="GHEA Grapalat" w:hAnsi="GHEA Grapalat"/>
          <w:bCs/>
          <w:sz w:val="22"/>
          <w:lang w:val="hy-AM"/>
        </w:rPr>
        <w:t>:</w:t>
      </w:r>
      <w:r w:rsidR="007A0BD0" w:rsidRPr="006B3656">
        <w:rPr>
          <w:rFonts w:ascii="GHEA Grapalat" w:eastAsia="GHEA Grapalat" w:hAnsi="GHEA Grapalat" w:cs="GHEA Grapalat"/>
          <w:b/>
          <w:sz w:val="22"/>
          <w:szCs w:val="22"/>
          <w:lang w:val="hy-AM"/>
        </w:rPr>
        <w:t xml:space="preserve"> </w:t>
      </w:r>
      <w:r w:rsidR="007A0BD0" w:rsidRPr="006B3656">
        <w:rPr>
          <w:rFonts w:ascii="GHEA Grapalat" w:eastAsia="GHEA Grapalat" w:hAnsi="GHEA Grapalat" w:cs="GHEA Grapalat"/>
          <w:sz w:val="22"/>
          <w:szCs w:val="22"/>
          <w:lang w:val="hy-AM"/>
        </w:rPr>
        <w:t>2024 թվականի առաջին</w:t>
      </w:r>
      <w:r w:rsidR="00837E26" w:rsidRPr="006B3656">
        <w:rPr>
          <w:rFonts w:ascii="GHEA Grapalat" w:eastAsia="GHEA Grapalat" w:hAnsi="GHEA Grapalat" w:cs="GHEA Grapalat"/>
          <w:sz w:val="22"/>
          <w:szCs w:val="22"/>
          <w:lang w:val="hy-AM"/>
        </w:rPr>
        <w:t xml:space="preserve"> </w:t>
      </w:r>
      <w:r w:rsidR="007A0BD0" w:rsidRPr="006B3656">
        <w:rPr>
          <w:rFonts w:ascii="GHEA Grapalat" w:eastAsia="GHEA Grapalat" w:hAnsi="GHEA Grapalat" w:cs="GHEA Grapalat"/>
          <w:sz w:val="22"/>
          <w:szCs w:val="22"/>
          <w:lang w:val="hy-AM"/>
        </w:rPr>
        <w:t xml:space="preserve">եռամսյակի աճի բարձր </w:t>
      </w:r>
      <w:r w:rsidR="00451586" w:rsidRPr="006B3656">
        <w:rPr>
          <w:rFonts w:ascii="GHEA Grapalat" w:eastAsia="GHEA Grapalat" w:hAnsi="GHEA Grapalat" w:cs="GHEA Grapalat"/>
          <w:sz w:val="22"/>
          <w:szCs w:val="22"/>
          <w:lang w:val="hy-AM"/>
        </w:rPr>
        <w:t>տեմպերն</w:t>
      </w:r>
      <w:r w:rsidR="007A0BD0" w:rsidRPr="006B3656">
        <w:rPr>
          <w:rFonts w:ascii="GHEA Grapalat" w:eastAsia="GHEA Grapalat" w:hAnsi="GHEA Grapalat" w:cs="GHEA Grapalat"/>
          <w:sz w:val="22"/>
          <w:szCs w:val="22"/>
          <w:lang w:val="hy-AM"/>
        </w:rPr>
        <w:t xml:space="preserve"> ապրիլ և մայիս ամիսներին աստիճանաբար դանդաղել են, սակայն հունիս ամսին սկսել են արագանալ` պայմանավորված ծառայությունների աճի արագացմամբ:</w:t>
      </w:r>
      <w:r w:rsidR="007A0BD0" w:rsidRPr="006B3656">
        <w:rPr>
          <w:rFonts w:ascii="GHEA Grapalat" w:eastAsia="GHEA Grapalat" w:hAnsi="GHEA Grapalat" w:cs="GHEA Grapalat"/>
          <w:b/>
          <w:sz w:val="22"/>
          <w:szCs w:val="22"/>
          <w:lang w:val="hy-AM"/>
        </w:rPr>
        <w:t xml:space="preserve"> </w:t>
      </w:r>
      <w:r w:rsidR="007A0BD0" w:rsidRPr="006B3656">
        <w:rPr>
          <w:rFonts w:ascii="GHEA Grapalat" w:eastAsia="GHEA Grapalat" w:hAnsi="GHEA Grapalat" w:cs="GHEA Grapalat"/>
          <w:sz w:val="22"/>
          <w:szCs w:val="22"/>
          <w:lang w:val="hy-AM"/>
        </w:rPr>
        <w:t>Արդյունքում 2024 թվականի առաջին կիսամյակում նախորդ տարվա նույն ժամանակահատվածի համեմատ գրանցվել է տնտեսական ակտիվության ցուցանիշի 10.4% աճ</w:t>
      </w:r>
      <w:r w:rsidR="007A0BD0" w:rsidRPr="006B3656">
        <w:rPr>
          <w:rStyle w:val="FootnoteReference"/>
          <w:rFonts w:ascii="GHEA Grapalat" w:eastAsia="GHEA Grapalat" w:hAnsi="GHEA Grapalat" w:cs="GHEA Grapalat"/>
          <w:sz w:val="22"/>
          <w:szCs w:val="22"/>
          <w:lang w:val="hy-AM"/>
        </w:rPr>
        <w:footnoteReference w:id="11"/>
      </w:r>
      <w:r w:rsidR="007A0BD0" w:rsidRPr="006B3656">
        <w:rPr>
          <w:rFonts w:ascii="GHEA Grapalat" w:eastAsia="GHEA Grapalat" w:hAnsi="GHEA Grapalat" w:cs="GHEA Grapalat"/>
          <w:sz w:val="22"/>
          <w:szCs w:val="22"/>
          <w:lang w:val="hy-AM"/>
        </w:rPr>
        <w:t xml:space="preserve">։ Տնտեսական ակտիվության աճը </w:t>
      </w:r>
      <w:r w:rsidR="007A0BD0" w:rsidRPr="006B3656">
        <w:rPr>
          <w:rFonts w:ascii="GHEA Grapalat" w:hAnsi="GHEA Grapalat"/>
          <w:sz w:val="22"/>
          <w:szCs w:val="22"/>
          <w:lang w:val="hy-AM"/>
        </w:rPr>
        <w:t xml:space="preserve">հիմնականում պայմանավորված է եղել արդյունաբերության, առևտրի և ծառայությունների աճով </w:t>
      </w:r>
      <w:r w:rsidR="007A0BD0" w:rsidRPr="006B3656">
        <w:rPr>
          <w:rFonts w:ascii="GHEA Grapalat" w:eastAsia="GHEA Grapalat" w:hAnsi="GHEA Grapalat" w:cs="GHEA Grapalat"/>
          <w:sz w:val="22"/>
          <w:szCs w:val="22"/>
          <w:lang w:val="hy-AM"/>
        </w:rPr>
        <w:t>(նպաստումները` համապատասխանաբար 3</w:t>
      </w:r>
      <w:r w:rsidR="007A0BD0" w:rsidRPr="006B3656">
        <w:rPr>
          <w:rFonts w:ascii="GHEA Grapalat" w:hAnsi="GHEA Grapalat"/>
          <w:sz w:val="22"/>
          <w:szCs w:val="22"/>
          <w:lang w:val="hy-AM"/>
        </w:rPr>
        <w:t>.4, 3.2 և 2.2 տոկոսային կետեր): Շինարարության և գյուղատնտեսության ճյուղերի աճերը ևս նպաստել են տնտեսական ակտիվությանը։</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Տնտեսական զարգացումներին իր դրական նպաստումն է շարունակել ունենալ բնակարանային շինարարության ոլորտի բարձր աշխուժությունը, որին նպաստել է </w:t>
      </w:r>
      <w:r w:rsidR="00E00657" w:rsidRPr="006B3656">
        <w:rPr>
          <w:rFonts w:ascii="GHEA Grapalat" w:eastAsia="GHEA Grapalat" w:hAnsi="GHEA Grapalat" w:cs="GHEA Grapalat"/>
          <w:sz w:val="22"/>
          <w:szCs w:val="22"/>
          <w:lang w:val="hy-AM"/>
        </w:rPr>
        <w:t>հիպոտեկ</w:t>
      </w:r>
      <w:r w:rsidRPr="006B3656">
        <w:rPr>
          <w:rFonts w:ascii="GHEA Grapalat" w:eastAsia="GHEA Grapalat" w:hAnsi="GHEA Grapalat" w:cs="GHEA Grapalat"/>
          <w:sz w:val="22"/>
          <w:szCs w:val="22"/>
          <w:lang w:val="hy-AM"/>
        </w:rPr>
        <w:t>ային վարկերի տոկոսավճարների եկամտահարկից վերադարձման պետական աջակցության ծրագիրը, ծրագրի աստիճանական Երևան քաղաքից դուրսբերման մասով կատարված օրենսդրական փոփոխությունները՝ ձևավորելով նորակառույց բնակարանների նկատմամբ բարձր պահանջարկ:</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2023 թվականի սեպտեմբերի 19-ին Լեռնային Ղարաբաղի բնակչության դեմ Ադրբեջանի կողմից սանձազերծված ռազմական գործողությունների և դրան հաջորդած ԼՂ բնակչության</w:t>
      </w:r>
      <w:r w:rsidR="00E00657" w:rsidRPr="00F371F3">
        <w:rPr>
          <w:rFonts w:ascii="GHEA Grapalat" w:eastAsia="GHEA Grapalat" w:hAnsi="GHEA Grapalat" w:cs="GHEA Grapalat"/>
          <w:sz w:val="22"/>
          <w:szCs w:val="22"/>
          <w:lang w:val="hy-AM"/>
        </w:rPr>
        <w:t>՝</w:t>
      </w:r>
      <w:r w:rsidRPr="006B3656">
        <w:rPr>
          <w:rFonts w:ascii="GHEA Grapalat" w:eastAsia="GHEA Grapalat" w:hAnsi="GHEA Grapalat" w:cs="GHEA Grapalat"/>
          <w:sz w:val="22"/>
          <w:szCs w:val="22"/>
          <w:lang w:val="hy-AM"/>
        </w:rPr>
        <w:t xml:space="preserve"> դեպի ՀՀ բռնի տեղահանման արդյունքում ձևավորվել է լրացուցիչ պահանջարկ՝ դրական ազդեցություն ունենալով</w:t>
      </w:r>
      <w:r w:rsidR="00837E26"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GHEA Grapalat"/>
          <w:sz w:val="22"/>
          <w:szCs w:val="22"/>
          <w:lang w:val="hy-AM"/>
        </w:rPr>
        <w:t>տնտեսական զարգացումների վրա։</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b/>
          <w:i/>
          <w:iCs/>
          <w:sz w:val="22"/>
          <w:szCs w:val="22"/>
          <w:lang w:val="hy-AM"/>
        </w:rPr>
        <w:t>Արդյունաբերություն</w:t>
      </w:r>
      <w:r w:rsidRPr="006B3656">
        <w:rPr>
          <w:rFonts w:ascii="GHEA Grapalat" w:eastAsia="GHEA Grapalat" w:hAnsi="GHEA Grapalat" w:cs="GHEA Grapalat"/>
          <w:bCs/>
          <w:sz w:val="22"/>
          <w:szCs w:val="22"/>
          <w:vertAlign w:val="superscript"/>
          <w:lang w:val="hy-AM"/>
        </w:rPr>
        <w:footnoteReference w:id="12"/>
      </w:r>
      <w:r w:rsidRPr="006B3656">
        <w:rPr>
          <w:rFonts w:ascii="GHEA Grapalat" w:eastAsia="GHEA Grapalat" w:hAnsi="GHEA Grapalat" w:cs="GHEA Grapalat"/>
          <w:b/>
          <w:i/>
          <w:iCs/>
          <w:sz w:val="22"/>
          <w:szCs w:val="22"/>
          <w:lang w:val="hy-AM"/>
        </w:rPr>
        <w:t>։</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sz w:val="22"/>
          <w:szCs w:val="22"/>
          <w:lang w:val="hy-AM"/>
        </w:rPr>
        <w:t>Արդյունաբերության՝ դեռևս նախորդ տարվա նոյեմբերից սկիզբ առած բարձր աճի տեմպերը ապրիլից սկսել են կտրուկ տեմպերով դանդաղել՝ հիմնականում պայմանավորված հիմնային մետաղների արտադրության աճի տեմպի դանդաղմամբ:</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Այնուամենայնիվ</w:t>
      </w:r>
      <w:r w:rsidR="000F5FDD" w:rsidRPr="00BE2DF1">
        <w:rPr>
          <w:rFonts w:ascii="GHEA Grapalat" w:eastAsia="GHEA Grapalat" w:hAnsi="GHEA Grapalat" w:cs="GHEA Grapalat"/>
          <w:bCs/>
          <w:sz w:val="22"/>
          <w:szCs w:val="22"/>
          <w:lang w:val="hy-AM"/>
        </w:rPr>
        <w:t>,</w:t>
      </w:r>
      <w:r w:rsidRPr="006B3656">
        <w:rPr>
          <w:rFonts w:ascii="GHEA Grapalat" w:eastAsia="GHEA Grapalat" w:hAnsi="GHEA Grapalat" w:cs="GHEA Grapalat"/>
          <w:bCs/>
          <w:sz w:val="22"/>
          <w:szCs w:val="22"/>
          <w:lang w:val="hy-AM"/>
        </w:rPr>
        <w:t xml:space="preserve"> 2024 թվականի առաջին կիսամյակում արդյունաբերության ճյուղում շարունակել է գրանցվել բարձր՝ 18.2% թողարկման աճ՝ </w:t>
      </w:r>
      <w:r w:rsidRPr="006B3656">
        <w:rPr>
          <w:rFonts w:ascii="GHEA Grapalat" w:eastAsia="GHEA Grapalat" w:hAnsi="GHEA Grapalat" w:cs="GHEA Grapalat"/>
          <w:sz w:val="22"/>
          <w:szCs w:val="22"/>
          <w:lang w:val="hy-AM"/>
        </w:rPr>
        <w:t>պայմանավորված հիմնականում մշակող արդյունաբերության աճով (նպաստումը՝ 18.2 տոկոսային կետ): Արդյունաբերության աճին նպաստել է նաև էլեկտրաէներգիայի արտադրություն, հաղորդում և բաշխում ենթաճյուղի աճը (նպաստումը` 1.8 տոկոսային կետ), իսկ հանքագործական արդյունաբերություն և բացահանքերի շահագործում ենթաճյուղը նվազել է՝ հակազդելով արդյունաբերության ճյուղի աճին (նպաստումը՝ 1.8 տոկոսային կետ): Ենթաճյուղի նվազումը հիմնականում պայմանավորված է եղել մետաղական հանքաքարի արդյունահանման նվազմամբ, որի հիմնական պատճառներից է հանդիսացել Սոթքի հանքի շահագործման դադարեցումը:</w:t>
      </w:r>
      <w:r w:rsidR="00837E26" w:rsidRPr="006B3656">
        <w:rPr>
          <w:rFonts w:ascii="GHEA Grapalat" w:eastAsia="GHEA Grapalat" w:hAnsi="GHEA Grapalat" w:cs="GHEA Grapalat"/>
          <w:sz w:val="22"/>
          <w:szCs w:val="22"/>
          <w:lang w:val="hy-AM"/>
        </w:rPr>
        <w:t xml:space="preserve"> </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Մշակող արդյունաբերության աճին նպաստել է արտաքին պահանջարկի աճը: Ենթաճյուղի</w:t>
      </w:r>
      <w:r w:rsidRPr="006B3656">
        <w:rPr>
          <w:rFonts w:ascii="GHEA Grapalat" w:eastAsia="GHEA Grapalat" w:hAnsi="GHEA Grapalat" w:cs="Arial"/>
          <w:sz w:val="22"/>
          <w:szCs w:val="22"/>
          <w:lang w:val="hy-AM"/>
        </w:rPr>
        <w:t xml:space="preserve"> </w:t>
      </w:r>
      <w:r w:rsidRPr="006B3656">
        <w:rPr>
          <w:rFonts w:ascii="GHEA Grapalat" w:eastAsia="GHEA Grapalat" w:hAnsi="GHEA Grapalat" w:cs="GHEA Grapalat"/>
          <w:sz w:val="22"/>
          <w:szCs w:val="22"/>
          <w:lang w:val="hy-AM"/>
        </w:rPr>
        <w:t>աճը հիմնականում պայմանավորված է եղել հիմնային մետաղների արտադրության աճով (նպաստումը` 27.2 տոկոսային կետ):</w:t>
      </w:r>
    </w:p>
    <w:p w:rsidR="007A0BD0" w:rsidRPr="006B3656" w:rsidRDefault="007A0BD0" w:rsidP="007A0BD0">
      <w:pPr>
        <w:spacing w:line="336"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i/>
          <w:iCs/>
          <w:sz w:val="22"/>
          <w:szCs w:val="22"/>
          <w:lang w:val="hy-AM"/>
        </w:rPr>
        <w:t>Գյուղատնտեսություն։</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2024 թվականի առաջին կիսամյակում</w:t>
      </w:r>
      <w:r w:rsidRPr="006B3656">
        <w:rPr>
          <w:rFonts w:ascii="GHEA Grapalat" w:eastAsia="GHEA Grapalat" w:hAnsi="GHEA Grapalat" w:cs="GHEA Grapalat"/>
          <w:sz w:val="22"/>
          <w:szCs w:val="22"/>
          <w:lang w:val="hy-AM"/>
        </w:rPr>
        <w:t xml:space="preserve"> գ</w:t>
      </w:r>
      <w:r w:rsidRPr="006B3656">
        <w:rPr>
          <w:rFonts w:ascii="GHEA Grapalat" w:eastAsia="GHEA Grapalat" w:hAnsi="GHEA Grapalat" w:cs="GHEA Grapalat"/>
          <w:bCs/>
          <w:sz w:val="22"/>
          <w:szCs w:val="22"/>
          <w:lang w:val="hy-AM"/>
        </w:rPr>
        <w:t>յուղատնտեսության, անտառային տնտեսության և ձկնորսության համախառն արտադրանքն աճել է 4.3%-ով՝</w:t>
      </w:r>
      <w:r w:rsidRPr="006B3656">
        <w:rPr>
          <w:rFonts w:ascii="GHEA Grapalat" w:eastAsia="GHEA Grapalat" w:hAnsi="GHEA Grapalat" w:cs="GHEA Grapalat"/>
          <w:sz w:val="22"/>
          <w:szCs w:val="22"/>
          <w:lang w:val="hy-AM"/>
        </w:rPr>
        <w:t xml:space="preserve"> պայմանավորված հիմնականում բուսաբուծության աճով (</w:t>
      </w:r>
      <w:r w:rsidRPr="006B3656">
        <w:rPr>
          <w:rFonts w:ascii="GHEA Grapalat" w:eastAsia="GHEA Grapalat" w:hAnsi="GHEA Grapalat" w:cs="Sylfaen"/>
          <w:sz w:val="22"/>
          <w:szCs w:val="22"/>
          <w:lang w:val="hy-AM"/>
        </w:rPr>
        <w:t>նպաստումը</w:t>
      </w:r>
      <w:r w:rsidRPr="006B3656">
        <w:rPr>
          <w:rFonts w:ascii="GHEA Grapalat" w:eastAsia="GHEA Grapalat" w:hAnsi="GHEA Grapalat" w:cs="GHEA Grapalat"/>
          <w:sz w:val="22"/>
          <w:szCs w:val="22"/>
          <w:lang w:val="hy-AM"/>
        </w:rPr>
        <w:t xml:space="preserve">` 3.6 </w:t>
      </w:r>
      <w:r w:rsidRPr="006B3656">
        <w:rPr>
          <w:rFonts w:ascii="GHEA Grapalat" w:eastAsia="GHEA Grapalat" w:hAnsi="GHEA Grapalat" w:cs="Sylfaen"/>
          <w:sz w:val="22"/>
          <w:szCs w:val="22"/>
          <w:lang w:val="hy-AM"/>
        </w:rPr>
        <w:t>տոկոսային</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Sylfaen"/>
          <w:sz w:val="22"/>
          <w:szCs w:val="22"/>
          <w:lang w:val="hy-AM"/>
        </w:rPr>
        <w:t xml:space="preserve">կետ)։ Բուսաբուծության աճն իր հերթին պայմանավորված է եղել ծաղկի, բոստանի, ինչպես նաև բանջարեղենի բերքի աճով։ Ձկնորսությունը, անասնաբուծությունը և անտառային տնտեսությունը ևս աճել են՝ նպաստելով գյուղատնտեսության աճին: </w:t>
      </w:r>
      <w:r w:rsidRPr="006B3656">
        <w:rPr>
          <w:rFonts w:ascii="GHEA Grapalat" w:eastAsia="GHEA Grapalat" w:hAnsi="GHEA Grapalat" w:cs="GHEA Grapalat"/>
          <w:sz w:val="22"/>
          <w:szCs w:val="22"/>
          <w:lang w:val="hy-AM"/>
        </w:rPr>
        <w:t>Անասնաբուծության աճն իր հերթին պայմանավորված է եղել սպանդի համար գյուղատնտեսական կենդանու և թռչնի իրացման աճով:</w:t>
      </w:r>
    </w:p>
    <w:p w:rsidR="007A0BD0" w:rsidRPr="006B3656" w:rsidRDefault="007A0BD0" w:rsidP="007A0BD0">
      <w:pPr>
        <w:spacing w:line="336" w:lineRule="auto"/>
        <w:ind w:firstLine="567"/>
        <w:jc w:val="both"/>
        <w:rPr>
          <w:rFonts w:ascii="GHEA Grapalat" w:eastAsia="GHEA Grapalat" w:hAnsi="GHEA Grapalat" w:cs="Sylfaen"/>
          <w:sz w:val="22"/>
          <w:szCs w:val="22"/>
          <w:lang w:val="hy-AM"/>
        </w:rPr>
      </w:pPr>
      <w:r w:rsidRPr="006B3656">
        <w:rPr>
          <w:rFonts w:ascii="GHEA Grapalat" w:eastAsia="GHEA Grapalat" w:hAnsi="GHEA Grapalat" w:cs="GHEA Grapalat"/>
          <w:b/>
          <w:i/>
          <w:iCs/>
          <w:sz w:val="22"/>
          <w:szCs w:val="22"/>
          <w:lang w:val="hy-AM"/>
        </w:rPr>
        <w:t>Շինարարություն։</w:t>
      </w:r>
      <w:r w:rsidRPr="006B3656">
        <w:rPr>
          <w:rFonts w:ascii="GHEA Grapalat" w:eastAsia="GHEA Grapalat" w:hAnsi="GHEA Grapalat" w:cs="GHEA Grapalat"/>
          <w:sz w:val="22"/>
          <w:szCs w:val="22"/>
          <w:lang w:val="hy-AM"/>
        </w:rPr>
        <w:t xml:space="preserve"> Շինարարության ճյուղում գրանցված 15.7% աճը պայմանավորված է եղել հիմնականում բնակչության և պետական բյուջեի (այդ թվում՝ միջազգային վարկերով ֆինանսավորվող) միջոցներով իրականացված շինարարության ծավալների աճով (նպաստումները` </w:t>
      </w:r>
      <w:r w:rsidR="00D0518B" w:rsidRPr="006B3656">
        <w:rPr>
          <w:rFonts w:ascii="GHEA Grapalat" w:eastAsia="GHEA Grapalat" w:hAnsi="GHEA Grapalat" w:cs="GHEA Grapalat"/>
          <w:sz w:val="22"/>
          <w:szCs w:val="22"/>
          <w:lang w:val="hy-AM"/>
        </w:rPr>
        <w:t>համապատասխանաբար</w:t>
      </w:r>
      <w:r w:rsidRPr="006B3656">
        <w:rPr>
          <w:rFonts w:ascii="GHEA Grapalat" w:eastAsia="GHEA Grapalat" w:hAnsi="GHEA Grapalat" w:cs="GHEA Grapalat"/>
          <w:sz w:val="22"/>
          <w:szCs w:val="22"/>
          <w:lang w:val="hy-AM"/>
        </w:rPr>
        <w:t xml:space="preserve"> 11.5 և 9.0 տոկոսային կետեր): Միաժամանակ կազմակերպությունների միջոցներով իրականացված շինարարության ծավալները նվազել են՝ էականորեն հակազդելով ընդհանուր շինարարության աճին (բացասական նպաստումը՝ 3.8 տոկոսային կետ)՝ հիմնականում պայմանավորված ներքին ներդրողների միջոցներով ֆինանսավորվող շինարարության նվազմամբ: Նույն ժամանակահատվածում բնակչության միջոցներով ֆինանսավորվող շինարարությունը գրանցել է երկնիշ աճ՝ զգալիորեն նպաստելով ընդհանուր շինարարության աճին: Վերջինս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E00657" w:rsidRPr="006B3656">
        <w:rPr>
          <w:rFonts w:ascii="GHEA Grapalat" w:eastAsia="GHEA Grapalat" w:hAnsi="GHEA Grapalat" w:cs="GHEA Grapalat"/>
          <w:sz w:val="22"/>
          <w:szCs w:val="22"/>
          <w:lang w:val="hy-AM"/>
        </w:rPr>
        <w:t>հիպոտեկ</w:t>
      </w:r>
      <w:r w:rsidRPr="006B3656">
        <w:rPr>
          <w:rFonts w:ascii="GHEA Grapalat" w:eastAsia="GHEA Grapalat" w:hAnsi="GHEA Grapalat" w:cs="GHEA Grapalat"/>
          <w:sz w:val="22"/>
          <w:szCs w:val="22"/>
          <w:lang w:val="hy-AM"/>
        </w:rPr>
        <w:t>ային վարկերի տոկոսավճարների</w:t>
      </w:r>
      <w:r w:rsidR="00A11371" w:rsidRPr="00BE2DF1">
        <w:rPr>
          <w:rFonts w:ascii="GHEA Grapalat" w:eastAsia="GHEA Grapalat" w:hAnsi="GHEA Grapalat" w:cs="GHEA Grapalat"/>
          <w:sz w:val="22"/>
          <w:szCs w:val="22"/>
          <w:lang w:val="hy-AM"/>
        </w:rPr>
        <w:t>՝</w:t>
      </w:r>
      <w:r w:rsidRPr="006B3656">
        <w:rPr>
          <w:rFonts w:ascii="GHEA Grapalat" w:eastAsia="GHEA Grapalat" w:hAnsi="GHEA Grapalat" w:cs="GHEA Grapalat"/>
          <w:sz w:val="22"/>
          <w:szCs w:val="22"/>
          <w:lang w:val="hy-AM"/>
        </w:rPr>
        <w:t xml:space="preserve"> եկամտահարկից վերադարձման պետական աջակցության ծրագիրը</w:t>
      </w:r>
      <w:r w:rsidRPr="006B3656">
        <w:rPr>
          <w:rFonts w:ascii="GHEA Grapalat" w:eastAsia="GHEA Grapalat" w:hAnsi="GHEA Grapalat" w:cs="Sylfaen"/>
          <w:sz w:val="22"/>
          <w:szCs w:val="22"/>
          <w:lang w:val="hy-AM"/>
        </w:rPr>
        <w:t>)։</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Ըստ տնտեսական գործունեության տեսակների՝ շինարարության աճին հիմնականում նպաստել են անշարժ գույքի հետ կապված գործունեության (հիմնականում՝ բնակարանաշինություն), տրանսպորտի, ջրամատակարարում, կոյուղի, թափոնների կառավարում և վերամշակում, առևտրի, ինչպես նաև կրթության ոլորտներում շինարարության ծավալների </w:t>
      </w:r>
      <w:r w:rsidR="00A11371" w:rsidRPr="006B3656">
        <w:rPr>
          <w:rFonts w:ascii="GHEA Grapalat" w:eastAsia="GHEA Grapalat" w:hAnsi="GHEA Grapalat" w:cs="GHEA Grapalat"/>
          <w:sz w:val="22"/>
          <w:szCs w:val="22"/>
          <w:lang w:val="hy-AM"/>
        </w:rPr>
        <w:t>աճ</w:t>
      </w:r>
      <w:r w:rsidRPr="006B3656">
        <w:rPr>
          <w:rFonts w:ascii="GHEA Grapalat" w:eastAsia="GHEA Grapalat" w:hAnsi="GHEA Grapalat" w:cs="GHEA Grapalat"/>
          <w:sz w:val="22"/>
          <w:szCs w:val="22"/>
          <w:lang w:val="hy-AM"/>
        </w:rPr>
        <w:t xml:space="preserve">ը, իսկ էլեկտրականության, գազի, գոլորշու և լավորակ օդի մատակարարում, ինչպես նաև գյուղատնտեսություն, անտառային տնտեսություն և ձկնորսություն ենթաճյուղերում իրականացված շինարարության ծավալների </w:t>
      </w:r>
      <w:r w:rsidR="00A11371" w:rsidRPr="006B3656">
        <w:rPr>
          <w:rFonts w:ascii="GHEA Grapalat" w:eastAsia="GHEA Grapalat" w:hAnsi="GHEA Grapalat" w:cs="GHEA Grapalat"/>
          <w:sz w:val="22"/>
          <w:szCs w:val="22"/>
          <w:lang w:val="hy-AM"/>
        </w:rPr>
        <w:t>նվազում</w:t>
      </w:r>
      <w:r w:rsidRPr="006B3656">
        <w:rPr>
          <w:rFonts w:ascii="GHEA Grapalat" w:eastAsia="GHEA Grapalat" w:hAnsi="GHEA Grapalat" w:cs="GHEA Grapalat"/>
          <w:sz w:val="22"/>
          <w:szCs w:val="22"/>
          <w:lang w:val="hy-AM"/>
        </w:rPr>
        <w:t xml:space="preserve">ը զգալիորեն հակազդել </w:t>
      </w:r>
      <w:r w:rsidR="00A11371" w:rsidRPr="006B3656">
        <w:rPr>
          <w:rFonts w:ascii="GHEA Grapalat" w:eastAsia="GHEA Grapalat" w:hAnsi="GHEA Grapalat" w:cs="GHEA Grapalat"/>
          <w:sz w:val="22"/>
          <w:szCs w:val="22"/>
          <w:lang w:val="hy-AM"/>
        </w:rPr>
        <w:t>է</w:t>
      </w:r>
      <w:r w:rsidRPr="006B3656">
        <w:rPr>
          <w:rFonts w:ascii="GHEA Grapalat" w:eastAsia="GHEA Grapalat" w:hAnsi="GHEA Grapalat" w:cs="GHEA Grapalat"/>
          <w:sz w:val="22"/>
          <w:szCs w:val="22"/>
          <w:lang w:val="hy-AM"/>
        </w:rPr>
        <w:t xml:space="preserve"> ընդհանուր շինարարության աճին։ </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b/>
          <w:i/>
          <w:iCs/>
          <w:sz w:val="22"/>
          <w:szCs w:val="22"/>
          <w:lang w:val="hy-AM"/>
        </w:rPr>
        <w:t>Ծառայություններ և առևտուր։</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Ծառայություններն աճել են 4.4%-ով՝</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sz w:val="22"/>
          <w:szCs w:val="22"/>
          <w:lang w:val="hy-AM"/>
        </w:rPr>
        <w:t>հիմնականում պայմանավորված ֆինանսական և ապահովագրական գործունեության աճով (</w:t>
      </w:r>
      <w:r w:rsidRPr="006B3656">
        <w:rPr>
          <w:rFonts w:ascii="GHEA Grapalat" w:eastAsia="GHEA Grapalat" w:hAnsi="GHEA Grapalat" w:cs="Sylfaen"/>
          <w:sz w:val="22"/>
          <w:szCs w:val="22"/>
          <w:lang w:val="hy-AM"/>
        </w:rPr>
        <w:t>նպաստումը</w:t>
      </w:r>
      <w:r w:rsidRPr="006B3656">
        <w:rPr>
          <w:rFonts w:ascii="GHEA Grapalat" w:eastAsia="GHEA Grapalat" w:hAnsi="GHEA Grapalat" w:cs="GHEA Grapalat"/>
          <w:sz w:val="22"/>
          <w:szCs w:val="22"/>
          <w:lang w:val="hy-AM"/>
        </w:rPr>
        <w:t xml:space="preserve">` 5.1 </w:t>
      </w:r>
      <w:r w:rsidRPr="006B3656">
        <w:rPr>
          <w:rFonts w:ascii="GHEA Grapalat" w:eastAsia="GHEA Grapalat" w:hAnsi="GHEA Grapalat" w:cs="Sylfaen"/>
          <w:sz w:val="22"/>
          <w:szCs w:val="22"/>
          <w:lang w:val="hy-AM"/>
        </w:rPr>
        <w:t>տոկոսային</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Sylfaen"/>
          <w:sz w:val="22"/>
          <w:szCs w:val="22"/>
          <w:lang w:val="hy-AM"/>
        </w:rPr>
        <w:t>կետ), որն իր հերթին պայմանավորված է եղել բանկերի գործունեության աճով։</w:t>
      </w:r>
      <w:r w:rsidRPr="006B3656">
        <w:rPr>
          <w:rFonts w:ascii="GHEA Grapalat" w:eastAsia="GHEA Grapalat" w:hAnsi="GHEA Grapalat" w:cs="GHEA Grapalat"/>
          <w:sz w:val="22"/>
          <w:szCs w:val="22"/>
          <w:lang w:val="hy-AM"/>
        </w:rPr>
        <w:t xml:space="preserve"> Ճյուղի աճի</w:t>
      </w:r>
      <w:r w:rsidR="00A11371" w:rsidRPr="00BE2DF1">
        <w:rPr>
          <w:rFonts w:ascii="GHEA Grapalat" w:eastAsia="GHEA Grapalat" w:hAnsi="GHEA Grapalat" w:cs="GHEA Grapalat"/>
          <w:sz w:val="22"/>
          <w:szCs w:val="22"/>
          <w:lang w:val="hy-AM"/>
        </w:rPr>
        <w:t xml:space="preserve"> վրա</w:t>
      </w:r>
      <w:r w:rsidRPr="006B3656">
        <w:rPr>
          <w:rFonts w:ascii="GHEA Grapalat" w:eastAsia="GHEA Grapalat" w:hAnsi="GHEA Grapalat" w:cs="GHEA Grapalat"/>
          <w:sz w:val="22"/>
          <w:szCs w:val="22"/>
          <w:lang w:val="hy-AM"/>
        </w:rPr>
        <w:t xml:space="preserve"> հիմնականում բացասաբար </w:t>
      </w:r>
      <w:r w:rsidR="00A11371" w:rsidRPr="00BE2DF1">
        <w:rPr>
          <w:rFonts w:ascii="GHEA Grapalat" w:eastAsia="GHEA Grapalat" w:hAnsi="GHEA Grapalat" w:cs="GHEA Grapalat"/>
          <w:sz w:val="22"/>
          <w:szCs w:val="22"/>
          <w:lang w:val="hy-AM"/>
        </w:rPr>
        <w:t>է</w:t>
      </w:r>
      <w:r w:rsidRPr="006B3656">
        <w:rPr>
          <w:rFonts w:ascii="GHEA Grapalat" w:eastAsia="GHEA Grapalat" w:hAnsi="GHEA Grapalat" w:cs="GHEA Grapalat"/>
          <w:sz w:val="22"/>
          <w:szCs w:val="22"/>
          <w:lang w:val="hy-AM"/>
        </w:rPr>
        <w:t xml:space="preserve"> ազդել տրանսպորտ ու տեղեկատվություն և կապ ենթաճյուղերի </w:t>
      </w:r>
      <w:r w:rsidR="00A11371" w:rsidRPr="006B3656">
        <w:rPr>
          <w:rFonts w:ascii="GHEA Grapalat" w:eastAsia="GHEA Grapalat" w:hAnsi="GHEA Grapalat" w:cs="GHEA Grapalat"/>
          <w:sz w:val="22"/>
          <w:szCs w:val="22"/>
          <w:lang w:val="hy-AM"/>
        </w:rPr>
        <w:t>նվազում</w:t>
      </w:r>
      <w:r w:rsidRPr="006B3656">
        <w:rPr>
          <w:rFonts w:ascii="GHEA Grapalat" w:eastAsia="GHEA Grapalat" w:hAnsi="GHEA Grapalat" w:cs="GHEA Grapalat"/>
          <w:sz w:val="22"/>
          <w:szCs w:val="22"/>
          <w:lang w:val="hy-AM"/>
        </w:rPr>
        <w:t>ը (</w:t>
      </w:r>
      <w:r w:rsidRPr="006B3656">
        <w:rPr>
          <w:rFonts w:ascii="GHEA Grapalat" w:eastAsia="GHEA Grapalat" w:hAnsi="GHEA Grapalat" w:cs="Sylfaen"/>
          <w:sz w:val="22"/>
          <w:szCs w:val="22"/>
          <w:lang w:val="hy-AM"/>
        </w:rPr>
        <w:t>նպաստումները</w:t>
      </w:r>
      <w:r w:rsidRPr="006B3656">
        <w:rPr>
          <w:rFonts w:ascii="GHEA Grapalat" w:eastAsia="GHEA Grapalat" w:hAnsi="GHEA Grapalat" w:cs="GHEA Grapalat"/>
          <w:sz w:val="22"/>
          <w:szCs w:val="22"/>
          <w:lang w:val="hy-AM"/>
        </w:rPr>
        <w:t xml:space="preserve">` համապատասխանաբար՝ 2.2 և 1.8 </w:t>
      </w:r>
      <w:r w:rsidRPr="006B3656">
        <w:rPr>
          <w:rFonts w:ascii="GHEA Grapalat" w:eastAsia="GHEA Grapalat" w:hAnsi="GHEA Grapalat" w:cs="Sylfaen"/>
          <w:sz w:val="22"/>
          <w:szCs w:val="22"/>
          <w:lang w:val="hy-AM"/>
        </w:rPr>
        <w:t>տոկոսային</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Sylfaen"/>
          <w:sz w:val="22"/>
          <w:szCs w:val="22"/>
          <w:lang w:val="hy-AM"/>
        </w:rPr>
        <w:t>կետեր): Տրանսպորտ ենթաճյուղի նվազումն իր հերթին պայմանավորված է եղել հիմնականում օդային տրանսպորտով մատուցված ծառայությունների նվազմամբ, իսկ տեղեկատվություն և կապ ենթաճյուղի նվազմանը հիմնականում նպաստել է ՏՏ ենթաճյուղում մատուցված ծառայությունների նվազումը:</w:t>
      </w:r>
      <w:r w:rsidR="00837E26" w:rsidRPr="006B3656">
        <w:rPr>
          <w:rFonts w:ascii="GHEA Grapalat" w:eastAsia="GHEA Grapalat" w:hAnsi="GHEA Grapalat" w:cs="Sylfaen"/>
          <w:sz w:val="22"/>
          <w:szCs w:val="22"/>
          <w:lang w:val="hy-AM"/>
        </w:rPr>
        <w:t xml:space="preserve"> </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Առևտրի 22.9% աճը հիմնականում պայմանավորված է եղել մեծածախ առևտրի աճով (նպաստումը՝ 19.8 տոկոսային կետ)։ Մեծածախ առևտրի բարձր աճը պայմանավորված է տնտեսության մյուս հատվածներում առկա բարձր պահանջարկով, ինչպես նաև մեծածախ առևտրում վերաարտահանման մարժայի մեծ դերով: Առևտրի և ծառայությունների աճն ուղեկցվել է ներքին (մասնավորապես՝ մասնավոր սպառման) և արտաքին պահանջարկի աճով: </w:t>
      </w:r>
    </w:p>
    <w:p w:rsidR="007A0BD0" w:rsidRPr="006B3656" w:rsidRDefault="007A0BD0" w:rsidP="007A0BD0">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Cs/>
          <w:sz w:val="22"/>
          <w:szCs w:val="22"/>
          <w:lang w:val="hy-AM"/>
        </w:rPr>
        <w:t>Հաշվետու ժամանակահատվածում ուղևորափոխադրումների ծավալն աճել է, իսկ բեռնափոխադրումների ծավալը՝ նվազել:</w:t>
      </w:r>
      <w:r w:rsidRPr="006B3656">
        <w:rPr>
          <w:rFonts w:ascii="GHEA Grapalat" w:eastAsia="GHEA Grapalat" w:hAnsi="GHEA Grapalat" w:cs="GHEA Grapalat"/>
          <w:sz w:val="22"/>
          <w:szCs w:val="22"/>
          <w:lang w:val="hy-AM"/>
        </w:rPr>
        <w:t xml:space="preserve"> Ուղևորափոխադրումների 22.8% աճը հիմնականում պայմանավորված է եղել ավտոմոբիլային ուղևորափոխադրումների աճով (նպաստումը՝ 20.0 տոկոսային կետ): Ուղևորափոխադրումների աճին նպաստել է նաև էլեկտրատրանսպորտով փոխադրումների աճը (նպաստումը՝ 2.7 տոկոսային կետ): Բեռնափոխադրումների ծավալի 16.8% նվազումը հիմնականում պայմանավորված է եղել ներհանրապետական ավտոմոբիլային և երկաթուղային բեռնափոխադրումների նվազմամբ (նպաստումները՝ համապատասխանաբար՝ 8.0 և 7.4 տոկոսային կետեր)՝ հիմնականում պայմանավորված Սոթքի հանքավայրի գործունեության դադարեցմամբ:</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5000"/>
      </w:tblGrid>
      <w:tr w:rsidR="007A0BD0" w:rsidRPr="006B3656" w:rsidTr="00A05DB7">
        <w:trPr>
          <w:trHeight w:val="3846"/>
        </w:trPr>
        <w:tc>
          <w:tcPr>
            <w:tcW w:w="5237" w:type="dxa"/>
          </w:tcPr>
          <w:p w:rsidR="007A0BD0" w:rsidRPr="006B3656" w:rsidRDefault="007A0BD0" w:rsidP="00A05DB7">
            <w:pPr>
              <w:tabs>
                <w:tab w:val="right" w:pos="0"/>
              </w:tabs>
              <w:spacing w:before="120" w:after="60" w:line="240" w:lineRule="auto"/>
              <w:contextualSpacing/>
              <w:rPr>
                <w:rFonts w:ascii="GHEA Grapalat" w:hAnsi="GHEA Grapalat" w:cs="Sylfaen"/>
                <w:i/>
                <w:sz w:val="16"/>
                <w:szCs w:val="16"/>
                <w:lang w:val="hy-AM"/>
              </w:rPr>
            </w:pPr>
            <w:r w:rsidRPr="006B3656">
              <w:rPr>
                <w:rFonts w:ascii="GHEA Grapalat" w:hAnsi="GHEA Grapalat" w:cs="Sylfaen"/>
                <w:b/>
                <w:bCs/>
                <w:i/>
                <w:sz w:val="16"/>
                <w:szCs w:val="16"/>
                <w:lang w:val="hy-AM"/>
              </w:rPr>
              <w:t>Գծապատկեր 4.</w:t>
            </w:r>
            <w:r w:rsidRPr="006B3656">
              <w:rPr>
                <w:rFonts w:ascii="GHEA Grapalat" w:hAnsi="GHEA Grapalat" w:cs="Sylfaen"/>
                <w:i/>
                <w:sz w:val="16"/>
                <w:szCs w:val="16"/>
                <w:lang w:val="hy-AM"/>
              </w:rPr>
              <w:t xml:space="preserve"> </w:t>
            </w:r>
            <w:r w:rsidRPr="006B3656">
              <w:rPr>
                <w:rFonts w:ascii="GHEA Grapalat" w:hAnsi="GHEA Grapalat" w:cs="Sylfaen"/>
                <w:sz w:val="16"/>
                <w:szCs w:val="16"/>
                <w:lang w:val="hy-AM"/>
              </w:rPr>
              <w:t>ՏԱՑ և տնտեսության ճյուղերի իրական աճերը նախորդ տարվա նույն ժամանակահատվածի նկատմամբ (%)</w:t>
            </w:r>
            <w:r w:rsidRPr="006B3656">
              <w:rPr>
                <w:rFonts w:ascii="GHEA Grapalat" w:hAnsi="GHEA Grapalat" w:cs="Sylfaen"/>
                <w:i/>
                <w:sz w:val="16"/>
                <w:szCs w:val="16"/>
                <w:lang w:val="hy-AM"/>
              </w:rPr>
              <w:t xml:space="preserve"> </w:t>
            </w:r>
          </w:p>
          <w:p w:rsidR="007A0BD0" w:rsidRPr="006B3656" w:rsidRDefault="007A0BD0" w:rsidP="00A05DB7">
            <w:pPr>
              <w:tabs>
                <w:tab w:val="right" w:pos="0"/>
              </w:tabs>
              <w:spacing w:before="120" w:after="60" w:line="240" w:lineRule="auto"/>
              <w:contextualSpacing/>
              <w:rPr>
                <w:rFonts w:ascii="GHEA Grapalat" w:hAnsi="GHEA Grapalat"/>
                <w:sz w:val="16"/>
                <w:szCs w:val="16"/>
                <w:lang w:val="hy-AM"/>
              </w:rPr>
            </w:pPr>
            <w:r w:rsidRPr="006B3656">
              <w:rPr>
                <w:rFonts w:ascii="GHEA Grapalat" w:hAnsi="GHEA Grapalat"/>
                <w:noProof/>
              </w:rPr>
              <w:drawing>
                <wp:inline distT="0" distB="0" distL="0" distR="0" wp14:anchorId="0E7839EE" wp14:editId="35532273">
                  <wp:extent cx="3064510" cy="1857121"/>
                  <wp:effectExtent l="0" t="0" r="2540" b="1016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0BD0" w:rsidRPr="006B3656" w:rsidRDefault="007A0BD0" w:rsidP="00A05DB7">
            <w:pPr>
              <w:tabs>
                <w:tab w:val="right" w:pos="0"/>
              </w:tabs>
              <w:spacing w:before="120" w:after="60" w:line="360" w:lineRule="auto"/>
              <w:contextualSpacing/>
              <w:jc w:val="both"/>
              <w:rPr>
                <w:rFonts w:ascii="GHEA Grapalat" w:hAnsi="GHEA Grapalat" w:cs="Sylfaen"/>
                <w:i/>
                <w:sz w:val="16"/>
                <w:szCs w:val="16"/>
                <w:lang w:val="hy-AM"/>
              </w:rPr>
            </w:pPr>
            <w:r w:rsidRPr="006B3656">
              <w:rPr>
                <w:rFonts w:ascii="GHEA Grapalat" w:hAnsi="GHEA Grapalat"/>
                <w:i/>
                <w:sz w:val="16"/>
                <w:szCs w:val="16"/>
                <w:lang w:val="hy-AM"/>
              </w:rPr>
              <w:t>Աղբյուրը՝ ՀՀ ՎԿ</w:t>
            </w:r>
          </w:p>
        </w:tc>
        <w:tc>
          <w:tcPr>
            <w:tcW w:w="5008" w:type="dxa"/>
          </w:tcPr>
          <w:p w:rsidR="007A0BD0" w:rsidRPr="006B3656" w:rsidRDefault="007A0BD0" w:rsidP="00A05DB7">
            <w:pPr>
              <w:tabs>
                <w:tab w:val="right" w:pos="0"/>
              </w:tabs>
              <w:spacing w:before="120" w:after="0" w:line="240" w:lineRule="auto"/>
              <w:contextualSpacing/>
              <w:rPr>
                <w:rFonts w:ascii="GHEA Grapalat" w:hAnsi="GHEA Grapalat" w:cs="Sylfaen"/>
                <w:i/>
                <w:sz w:val="16"/>
                <w:szCs w:val="16"/>
                <w:lang w:val="hy-AM"/>
              </w:rPr>
            </w:pPr>
            <w:r w:rsidRPr="006B3656">
              <w:rPr>
                <w:rFonts w:ascii="GHEA Grapalat" w:hAnsi="GHEA Grapalat"/>
                <w:noProof/>
                <w:sz w:val="16"/>
                <w:szCs w:val="16"/>
              </w:rPr>
              <w:drawing>
                <wp:anchor distT="0" distB="0" distL="114300" distR="114300" simplePos="0" relativeHeight="251651072" behindDoc="1" locked="0" layoutInCell="1" allowOverlap="1" wp14:anchorId="515D5817" wp14:editId="05093AAF">
                  <wp:simplePos x="0" y="0"/>
                  <wp:positionH relativeFrom="column">
                    <wp:posOffset>-22225</wp:posOffset>
                  </wp:positionH>
                  <wp:positionV relativeFrom="paragraph">
                    <wp:posOffset>429260</wp:posOffset>
                  </wp:positionV>
                  <wp:extent cx="3020695" cy="1856740"/>
                  <wp:effectExtent l="0" t="0" r="0" b="0"/>
                  <wp:wrapTight wrapText="bothSides">
                    <wp:wrapPolygon edited="0">
                      <wp:start x="0" y="0"/>
                      <wp:lineTo x="0" y="21497"/>
                      <wp:lineTo x="21523" y="21497"/>
                      <wp:lineTo x="21523" y="0"/>
                      <wp:lineTo x="0" y="0"/>
                    </wp:wrapPolygon>
                  </wp:wrapTight>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6B3656">
              <w:rPr>
                <w:rFonts w:ascii="GHEA Grapalat" w:hAnsi="GHEA Grapalat" w:cs="Sylfaen"/>
                <w:b/>
                <w:i/>
                <w:sz w:val="16"/>
                <w:szCs w:val="16"/>
                <w:lang w:val="hy-AM"/>
              </w:rPr>
              <w:t>Գծապատկեր 5.</w:t>
            </w:r>
            <w:r w:rsidRPr="006B3656">
              <w:rPr>
                <w:rFonts w:ascii="GHEA Grapalat" w:hAnsi="GHEA Grapalat" w:cs="Sylfaen"/>
                <w:i/>
                <w:sz w:val="16"/>
                <w:szCs w:val="16"/>
                <w:lang w:val="hy-AM"/>
              </w:rPr>
              <w:t xml:space="preserve"> </w:t>
            </w:r>
            <w:r w:rsidRPr="006B3656">
              <w:rPr>
                <w:rFonts w:ascii="GHEA Grapalat" w:hAnsi="GHEA Grapalat" w:cs="Sylfaen"/>
                <w:sz w:val="16"/>
                <w:szCs w:val="16"/>
                <w:lang w:val="hy-AM"/>
              </w:rPr>
              <w:t>ՏԱՑ և տնտեսության ճյուղերի իրական աճերը</w:t>
            </w:r>
            <w:r w:rsidRPr="006B3656">
              <w:rPr>
                <w:rFonts w:ascii="GHEA Grapalat" w:hAnsi="GHEA Grapalat" w:cs="Sylfaen"/>
                <w:i/>
                <w:sz w:val="16"/>
                <w:szCs w:val="16"/>
                <w:lang w:val="hy-AM"/>
              </w:rPr>
              <w:t xml:space="preserve"> նախորդ տարվա նույն ամսվա նկատմամբ (%)</w:t>
            </w:r>
          </w:p>
          <w:p w:rsidR="007A0BD0" w:rsidRPr="006B3656" w:rsidRDefault="007A0BD0" w:rsidP="00A05DB7">
            <w:pPr>
              <w:spacing w:after="60" w:line="240" w:lineRule="auto"/>
              <w:jc w:val="both"/>
              <w:rPr>
                <w:rFonts w:ascii="GHEA Grapalat" w:hAnsi="GHEA Grapalat"/>
                <w:i/>
                <w:sz w:val="16"/>
                <w:szCs w:val="16"/>
                <w:lang w:val="hy-AM"/>
              </w:rPr>
            </w:pPr>
            <w:r w:rsidRPr="006B3656">
              <w:rPr>
                <w:rFonts w:ascii="GHEA Grapalat" w:hAnsi="GHEA Grapalat"/>
                <w:i/>
                <w:sz w:val="16"/>
                <w:szCs w:val="16"/>
                <w:lang w:val="hy-AM"/>
              </w:rPr>
              <w:t>Աղբյուրը՝ ՀՀ ՎԿ</w:t>
            </w:r>
            <w:r w:rsidRPr="006B3656" w:rsidDel="00DA0563">
              <w:rPr>
                <w:rFonts w:ascii="GHEA Grapalat" w:hAnsi="GHEA Grapalat"/>
                <w:i/>
                <w:sz w:val="16"/>
                <w:szCs w:val="16"/>
                <w:lang w:val="hy-AM"/>
              </w:rPr>
              <w:t xml:space="preserve"> </w:t>
            </w:r>
          </w:p>
        </w:tc>
      </w:tr>
      <w:tr w:rsidR="007A0BD0" w:rsidRPr="0046146D" w:rsidTr="00A05DB7">
        <w:trPr>
          <w:trHeight w:val="3671"/>
        </w:trPr>
        <w:tc>
          <w:tcPr>
            <w:tcW w:w="5237" w:type="dxa"/>
          </w:tcPr>
          <w:p w:rsidR="007A0BD0" w:rsidRPr="006B3656" w:rsidRDefault="007A0BD0" w:rsidP="00A05DB7">
            <w:pPr>
              <w:tabs>
                <w:tab w:val="right" w:pos="0"/>
              </w:tabs>
              <w:spacing w:before="120" w:after="60" w:line="240" w:lineRule="auto"/>
              <w:contextualSpacing/>
              <w:rPr>
                <w:rFonts w:ascii="GHEA Grapalat" w:hAnsi="GHEA Grapalat" w:cs="Sylfaen"/>
                <w:b/>
                <w:bCs/>
                <w:i/>
                <w:sz w:val="6"/>
                <w:szCs w:val="6"/>
                <w:lang w:val="hy-AM"/>
              </w:rPr>
            </w:pPr>
          </w:p>
          <w:p w:rsidR="007A0BD0" w:rsidRPr="006B3656" w:rsidRDefault="007A0BD0" w:rsidP="00A05DB7">
            <w:pPr>
              <w:tabs>
                <w:tab w:val="right" w:pos="0"/>
              </w:tabs>
              <w:spacing w:before="120" w:after="60" w:line="240" w:lineRule="auto"/>
              <w:contextualSpacing/>
              <w:rPr>
                <w:rFonts w:ascii="GHEA Grapalat" w:hAnsi="GHEA Grapalat" w:cs="Sylfaen"/>
                <w:sz w:val="16"/>
                <w:szCs w:val="16"/>
                <w:lang w:val="hy-AM"/>
              </w:rPr>
            </w:pPr>
            <w:r w:rsidRPr="006B3656">
              <w:rPr>
                <w:rFonts w:ascii="GHEA Grapalat" w:hAnsi="GHEA Grapalat" w:cs="Sylfaen"/>
                <w:b/>
                <w:bCs/>
                <w:i/>
                <w:sz w:val="16"/>
                <w:szCs w:val="16"/>
                <w:lang w:val="hy-AM"/>
              </w:rPr>
              <w:t>Գծապատկեր 6.</w:t>
            </w:r>
            <w:r w:rsidRPr="006B3656">
              <w:rPr>
                <w:rFonts w:ascii="GHEA Grapalat" w:hAnsi="GHEA Grapalat" w:cs="Sylfaen"/>
                <w:i/>
                <w:sz w:val="16"/>
                <w:szCs w:val="16"/>
                <w:lang w:val="hy-AM"/>
              </w:rPr>
              <w:t xml:space="preserve"> </w:t>
            </w:r>
            <w:r w:rsidRPr="006B3656">
              <w:rPr>
                <w:rFonts w:ascii="GHEA Grapalat" w:hAnsi="GHEA Grapalat" w:cs="Sylfaen"/>
                <w:sz w:val="16"/>
                <w:szCs w:val="16"/>
                <w:lang w:val="hy-AM"/>
              </w:rPr>
              <w:t>Տնտեսության ճյուղերի նպաստումները ՏԱՑ-ին (տ.կ.)</w:t>
            </w:r>
            <w:r w:rsidRPr="006B3656">
              <w:rPr>
                <w:rFonts w:ascii="GHEA Grapalat" w:hAnsi="GHEA Grapalat" w:cs="Sylfaen"/>
                <w:sz w:val="16"/>
                <w:szCs w:val="16"/>
                <w:vertAlign w:val="superscript"/>
                <w:lang w:val="hy-AM"/>
              </w:rPr>
              <w:footnoteReference w:id="13"/>
            </w:r>
            <w:r w:rsidRPr="006B3656">
              <w:rPr>
                <w:rFonts w:ascii="GHEA Grapalat" w:hAnsi="GHEA Grapalat" w:cs="Sylfaen"/>
                <w:sz w:val="16"/>
                <w:szCs w:val="16"/>
                <w:lang w:val="hy-AM"/>
              </w:rPr>
              <w:t xml:space="preserve"> </w:t>
            </w:r>
          </w:p>
          <w:p w:rsidR="007A0BD0" w:rsidRPr="006B3656" w:rsidRDefault="007A0BD0" w:rsidP="00A05DB7">
            <w:pPr>
              <w:tabs>
                <w:tab w:val="right" w:pos="0"/>
              </w:tabs>
              <w:spacing w:before="120" w:after="60" w:line="240" w:lineRule="auto"/>
              <w:contextualSpacing/>
              <w:rPr>
                <w:rFonts w:ascii="GHEA Grapalat" w:hAnsi="GHEA Grapalat" w:cs="Sylfaen"/>
                <w:i/>
                <w:sz w:val="16"/>
                <w:szCs w:val="16"/>
                <w:lang w:val="hy-AM"/>
              </w:rPr>
            </w:pPr>
            <w:r w:rsidRPr="006B3656">
              <w:rPr>
                <w:rFonts w:ascii="GHEA Grapalat" w:hAnsi="GHEA Grapalat"/>
                <w:i/>
                <w:noProof/>
                <w:sz w:val="16"/>
                <w:szCs w:val="16"/>
              </w:rPr>
              <w:drawing>
                <wp:inline distT="0" distB="0" distL="0" distR="0" wp14:anchorId="4E1CF442" wp14:editId="47D37A04">
                  <wp:extent cx="3095625" cy="1857375"/>
                  <wp:effectExtent l="0" t="0" r="952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A0BD0" w:rsidRPr="006B3656" w:rsidRDefault="007A0BD0" w:rsidP="00A05DB7">
            <w:pPr>
              <w:tabs>
                <w:tab w:val="right" w:pos="0"/>
              </w:tabs>
              <w:spacing w:before="120" w:after="60" w:line="360" w:lineRule="auto"/>
              <w:contextualSpacing/>
              <w:jc w:val="both"/>
              <w:rPr>
                <w:rFonts w:ascii="GHEA Grapalat" w:hAnsi="GHEA Grapalat" w:cs="Sylfaen"/>
                <w:lang w:val="hy-AM"/>
              </w:rPr>
            </w:pPr>
            <w:r w:rsidRPr="006B3656">
              <w:rPr>
                <w:rFonts w:ascii="GHEA Grapalat" w:hAnsi="GHEA Grapalat"/>
                <w:i/>
                <w:sz w:val="16"/>
                <w:szCs w:val="16"/>
                <w:lang w:val="hy-AM"/>
              </w:rPr>
              <w:t>Աղբյուրը՝ ՀՀ ՎԿ, ՀՀ ՖՆ հաշվարկներ</w:t>
            </w:r>
            <w:r w:rsidRPr="006B3656">
              <w:rPr>
                <w:rFonts w:ascii="GHEA Grapalat" w:hAnsi="GHEA Grapalat"/>
                <w:lang w:val="hy-AM"/>
              </w:rPr>
              <w:t xml:space="preserve"> </w:t>
            </w:r>
          </w:p>
        </w:tc>
        <w:tc>
          <w:tcPr>
            <w:tcW w:w="5008" w:type="dxa"/>
          </w:tcPr>
          <w:p w:rsidR="007A0BD0" w:rsidRPr="006B3656" w:rsidRDefault="007A0BD0" w:rsidP="00A05DB7">
            <w:pPr>
              <w:tabs>
                <w:tab w:val="right" w:pos="0"/>
              </w:tabs>
              <w:spacing w:before="120" w:after="60" w:line="312" w:lineRule="auto"/>
              <w:contextualSpacing/>
              <w:jc w:val="both"/>
              <w:rPr>
                <w:rFonts w:ascii="GHEA Grapalat" w:hAnsi="GHEA Grapalat" w:cs="Sylfaen"/>
                <w:b/>
                <w:i/>
                <w:sz w:val="4"/>
                <w:szCs w:val="4"/>
                <w:lang w:val="hy-AM"/>
              </w:rPr>
            </w:pPr>
          </w:p>
          <w:p w:rsidR="007A0BD0" w:rsidRPr="006B3656" w:rsidRDefault="007A0BD0" w:rsidP="00A05DB7">
            <w:pPr>
              <w:tabs>
                <w:tab w:val="right" w:pos="0"/>
              </w:tabs>
              <w:spacing w:before="120" w:after="60" w:line="240" w:lineRule="auto"/>
              <w:contextualSpacing/>
              <w:rPr>
                <w:rFonts w:ascii="GHEA Grapalat" w:hAnsi="GHEA Grapalat" w:cs="Sylfaen"/>
                <w:sz w:val="16"/>
                <w:szCs w:val="16"/>
                <w:lang w:val="hy-AM"/>
              </w:rPr>
            </w:pPr>
            <w:r w:rsidRPr="006B3656">
              <w:rPr>
                <w:rFonts w:ascii="GHEA Grapalat" w:hAnsi="GHEA Grapalat" w:cs="Sylfaen"/>
                <w:b/>
                <w:i/>
                <w:sz w:val="16"/>
                <w:szCs w:val="16"/>
                <w:lang w:val="hy-AM"/>
              </w:rPr>
              <w:t>Գծապատկեր 7.</w:t>
            </w:r>
            <w:r w:rsidRPr="006B3656">
              <w:rPr>
                <w:rFonts w:ascii="GHEA Grapalat" w:hAnsi="GHEA Grapalat" w:cs="Sylfaen"/>
                <w:i/>
                <w:sz w:val="16"/>
                <w:szCs w:val="16"/>
                <w:lang w:val="hy-AM"/>
              </w:rPr>
              <w:t xml:space="preserve"> </w:t>
            </w:r>
            <w:r w:rsidRPr="006B3656">
              <w:rPr>
                <w:rFonts w:ascii="GHEA Grapalat" w:hAnsi="GHEA Grapalat" w:cs="Sylfaen"/>
                <w:sz w:val="16"/>
                <w:szCs w:val="16"/>
                <w:lang w:val="hy-AM"/>
              </w:rPr>
              <w:t xml:space="preserve">Տնտեսության ճյուղերի նպաստումները ՏԱՑ-ին </w:t>
            </w:r>
            <w:r w:rsidRPr="006B3656">
              <w:rPr>
                <w:rFonts w:ascii="GHEA Grapalat" w:hAnsi="GHEA Grapalat" w:cs="Sylfaen"/>
                <w:sz w:val="16"/>
                <w:szCs w:val="18"/>
                <w:lang w:val="hy-AM"/>
              </w:rPr>
              <w:t>(տ.կ.)</w:t>
            </w:r>
            <w:r w:rsidRPr="006B3656">
              <w:rPr>
                <w:rFonts w:ascii="GHEA Grapalat" w:hAnsi="GHEA Grapalat" w:cs="Sylfaen"/>
                <w:sz w:val="16"/>
                <w:szCs w:val="16"/>
                <w:vertAlign w:val="superscript"/>
                <w:lang w:val="hy-AM"/>
              </w:rPr>
              <w:t xml:space="preserve"> </w:t>
            </w:r>
          </w:p>
          <w:p w:rsidR="007A0BD0" w:rsidRPr="006B3656" w:rsidRDefault="007A0BD0" w:rsidP="00A05DB7">
            <w:pPr>
              <w:tabs>
                <w:tab w:val="right" w:pos="0"/>
              </w:tabs>
              <w:spacing w:before="120" w:after="60" w:line="240" w:lineRule="auto"/>
              <w:contextualSpacing/>
              <w:rPr>
                <w:rFonts w:ascii="GHEA Grapalat" w:hAnsi="GHEA Grapalat"/>
                <w:lang w:val="hy-AM"/>
              </w:rPr>
            </w:pPr>
            <w:r w:rsidRPr="006B3656">
              <w:rPr>
                <w:rFonts w:ascii="GHEA Grapalat" w:hAnsi="GHEA Grapalat"/>
                <w:noProof/>
              </w:rPr>
              <w:drawing>
                <wp:inline distT="0" distB="0" distL="0" distR="0" wp14:anchorId="16FCD6D4" wp14:editId="7CCA41A7">
                  <wp:extent cx="2963545" cy="1865327"/>
                  <wp:effectExtent l="0" t="0" r="8255" b="190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0BD0" w:rsidRPr="006B3656" w:rsidRDefault="007A0BD0" w:rsidP="00A05DB7">
            <w:pPr>
              <w:spacing w:before="40" w:after="60" w:line="312" w:lineRule="auto"/>
              <w:jc w:val="both"/>
              <w:rPr>
                <w:rFonts w:ascii="GHEA Grapalat" w:hAnsi="GHEA Grapalat"/>
                <w:i/>
                <w:sz w:val="16"/>
                <w:szCs w:val="16"/>
                <w:lang w:val="hy-AM"/>
              </w:rPr>
            </w:pPr>
            <w:r w:rsidRPr="006B3656">
              <w:rPr>
                <w:rFonts w:ascii="GHEA Grapalat" w:hAnsi="GHEA Grapalat"/>
                <w:i/>
                <w:sz w:val="16"/>
                <w:szCs w:val="16"/>
                <w:lang w:val="hy-AM"/>
              </w:rPr>
              <w:t>Աղբյուրը՝ ՀՀ ՎԿ, ՀՀ ՖՆ հաշվարկներ</w:t>
            </w:r>
          </w:p>
        </w:tc>
      </w:tr>
    </w:tbl>
    <w:p w:rsidR="009A5497" w:rsidRPr="006B3656" w:rsidRDefault="009A5497" w:rsidP="009A5497">
      <w:pPr>
        <w:spacing w:line="360" w:lineRule="auto"/>
        <w:ind w:firstLine="567"/>
        <w:jc w:val="both"/>
        <w:rPr>
          <w:rFonts w:ascii="GHEA Grapalat" w:hAnsi="GHEA Grapalat" w:cs="GHEA Grapalat"/>
          <w:sz w:val="22"/>
          <w:szCs w:val="22"/>
          <w:lang w:val="hy-AM"/>
        </w:rPr>
      </w:pPr>
    </w:p>
    <w:p w:rsidR="007A0BD0" w:rsidRPr="006B3656" w:rsidRDefault="007A0BD0" w:rsidP="007A0BD0">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i/>
          <w:sz w:val="22"/>
          <w:szCs w:val="22"/>
          <w:lang w:val="hy-AM"/>
        </w:rPr>
        <w:t>Համախառն պահանջարկ</w:t>
      </w:r>
      <w:r w:rsidRPr="006B3656">
        <w:rPr>
          <w:rFonts w:ascii="GHEA Grapalat" w:eastAsia="GHEA Grapalat" w:hAnsi="GHEA Grapalat" w:cs="GHEA Grapalat"/>
          <w:b/>
          <w:sz w:val="22"/>
          <w:szCs w:val="22"/>
          <w:vertAlign w:val="superscript"/>
          <w:lang w:val="hy-AM"/>
        </w:rPr>
        <w:footnoteReference w:id="14"/>
      </w:r>
      <w:r w:rsidRPr="006B3656">
        <w:rPr>
          <w:rFonts w:ascii="GHEA Grapalat" w:eastAsia="GHEA Grapalat" w:hAnsi="GHEA Grapalat" w:cs="GHEA Grapalat"/>
          <w:b/>
          <w:i/>
          <w:sz w:val="22"/>
          <w:szCs w:val="22"/>
          <w:lang w:val="hy-AM"/>
        </w:rPr>
        <w:t>:</w:t>
      </w:r>
      <w:r w:rsidRPr="006B3656">
        <w:rPr>
          <w:rFonts w:ascii="GHEA Grapalat" w:eastAsia="GHEA Grapalat" w:hAnsi="GHEA Grapalat" w:cs="GHEA Grapalat"/>
          <w:b/>
          <w:sz w:val="22"/>
          <w:szCs w:val="22"/>
          <w:vertAlign w:val="superscript"/>
          <w:lang w:val="hy-AM"/>
        </w:rPr>
        <w:t xml:space="preserve"> </w:t>
      </w:r>
      <w:r w:rsidRPr="006B3656">
        <w:rPr>
          <w:rFonts w:ascii="GHEA Grapalat" w:eastAsia="GHEA Grapalat" w:hAnsi="GHEA Grapalat" w:cs="GHEA Grapalat"/>
          <w:sz w:val="22"/>
          <w:szCs w:val="22"/>
          <w:lang w:val="hy-AM"/>
        </w:rPr>
        <w:t>Առաջին կիսամյակում տնտեսական ակտիվության աճն ուղեկցվել է ինչպես ներքին, այնպես էլ արտաքին պահանջարկի աճով:</w:t>
      </w:r>
    </w:p>
    <w:p w:rsidR="007A0BD0" w:rsidRPr="006B3656" w:rsidRDefault="007A0BD0"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bCs/>
          <w:i/>
          <w:iCs/>
          <w:sz w:val="22"/>
          <w:szCs w:val="22"/>
          <w:lang w:val="hy-AM"/>
        </w:rPr>
        <w:t>Սպառում։</w:t>
      </w:r>
      <w:r w:rsidRPr="006B3656">
        <w:rPr>
          <w:rFonts w:ascii="GHEA Grapalat" w:eastAsia="GHEA Grapalat" w:hAnsi="GHEA Grapalat" w:cs="GHEA Grapalat"/>
          <w:sz w:val="22"/>
          <w:szCs w:val="22"/>
          <w:lang w:val="hy-AM"/>
        </w:rPr>
        <w:t xml:space="preserve"> Հունվար-հունիսին սպառումն իրական արտահայտությամբ աճել է շուրջ 2.2%-ով՝ պայմանավորված մասնավոր հատվածի սպառման աճով, որին նպաստել </w:t>
      </w:r>
      <w:r w:rsidR="000667C7" w:rsidRPr="00BE2DF1">
        <w:rPr>
          <w:rFonts w:ascii="GHEA Grapalat" w:eastAsia="GHEA Grapalat" w:hAnsi="GHEA Grapalat" w:cs="GHEA Grapalat"/>
          <w:sz w:val="22"/>
          <w:szCs w:val="22"/>
          <w:lang w:val="hy-AM"/>
        </w:rPr>
        <w:t>է</w:t>
      </w:r>
      <w:r w:rsidRPr="006B3656">
        <w:rPr>
          <w:rFonts w:ascii="GHEA Grapalat" w:eastAsia="GHEA Grapalat" w:hAnsi="GHEA Grapalat" w:cs="GHEA Grapalat"/>
          <w:sz w:val="22"/>
          <w:szCs w:val="22"/>
          <w:lang w:val="hy-AM"/>
        </w:rPr>
        <w:t xml:space="preserve"> բնակչության տնօրինվող եկամտի և սպառողական վարկավորման ծավալների աճը: Մասնավոր սպառման աճին դրական նպաստում է ունեցել նաև Լեռնային Ղարաբաղից ՀՀ բռնի տեղահանված բնակչության սպառումը: </w:t>
      </w:r>
    </w:p>
    <w:p w:rsidR="007A0BD0" w:rsidRPr="006B3656" w:rsidRDefault="007A0BD0"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bCs/>
          <w:i/>
          <w:iCs/>
          <w:sz w:val="22"/>
          <w:szCs w:val="22"/>
          <w:lang w:val="hy-AM"/>
        </w:rPr>
        <w:t>Ներդրումներ։</w:t>
      </w:r>
      <w:r w:rsidRPr="006B3656">
        <w:rPr>
          <w:rFonts w:ascii="GHEA Grapalat" w:eastAsia="GHEA Grapalat" w:hAnsi="GHEA Grapalat" w:cs="GHEA Grapalat"/>
          <w:sz w:val="22"/>
          <w:szCs w:val="22"/>
          <w:lang w:val="hy-AM"/>
        </w:rPr>
        <w:t xml:space="preserve"> Հունվար-հունիսին գնահատվում է կապիտալ ներդրումների</w:t>
      </w:r>
      <w:r w:rsidRPr="006B3656">
        <w:rPr>
          <w:rFonts w:ascii="GHEA Grapalat" w:eastAsia="GHEA Grapalat" w:hAnsi="GHEA Grapalat" w:cs="GHEA Grapalat"/>
          <w:sz w:val="22"/>
          <w:szCs w:val="22"/>
          <w:vertAlign w:val="superscript"/>
          <w:lang w:val="hy-AM"/>
        </w:rPr>
        <w:footnoteReference w:id="15"/>
      </w:r>
      <w:r w:rsidR="000667C7" w:rsidRPr="00BE2DF1">
        <w:rPr>
          <w:rFonts w:ascii="GHEA Grapalat" w:eastAsia="GHEA Grapalat" w:hAnsi="GHEA Grapalat" w:cs="GHEA Grapalat"/>
          <w:sz w:val="22"/>
          <w:szCs w:val="22"/>
          <w:lang w:val="hy-AM"/>
        </w:rPr>
        <w:t>՝</w:t>
      </w:r>
      <w:r w:rsidRPr="006B3656">
        <w:rPr>
          <w:rFonts w:ascii="GHEA Grapalat" w:eastAsia="GHEA Grapalat" w:hAnsi="GHEA Grapalat" w:cs="GHEA Grapalat"/>
          <w:sz w:val="22"/>
          <w:szCs w:val="22"/>
          <w:lang w:val="hy-AM"/>
        </w:rPr>
        <w:t xml:space="preserve"> նախորդ տարվա նույն ժամանակահատվածի նկատմամբ իրական արտահայտությամբ շուրջ 12.4% աճ՝ պայմանավորված ինչպես պետական, այնպես էլ մասնավոր ներդրումների աճով: </w:t>
      </w:r>
      <w:r w:rsidRPr="006B3656">
        <w:rPr>
          <w:rFonts w:ascii="GHEA Grapalat" w:hAnsi="GHEA Grapalat"/>
          <w:color w:val="000000"/>
          <w:sz w:val="22"/>
          <w:szCs w:val="22"/>
          <w:lang w:val="hy-AM"/>
        </w:rPr>
        <w:t xml:space="preserve">Մասնավոր ներդրումների վրա դրական ազդեցություն </w:t>
      </w:r>
      <w:r w:rsidR="000667C7" w:rsidRPr="00BE2DF1">
        <w:rPr>
          <w:rFonts w:ascii="GHEA Grapalat" w:hAnsi="GHEA Grapalat"/>
          <w:color w:val="000000"/>
          <w:sz w:val="22"/>
          <w:szCs w:val="22"/>
          <w:lang w:val="hy-AM"/>
        </w:rPr>
        <w:t>է</w:t>
      </w:r>
      <w:r w:rsidRPr="006B3656">
        <w:rPr>
          <w:rFonts w:ascii="GHEA Grapalat" w:hAnsi="GHEA Grapalat"/>
          <w:color w:val="000000"/>
          <w:sz w:val="22"/>
          <w:szCs w:val="22"/>
          <w:lang w:val="hy-AM"/>
        </w:rPr>
        <w:t xml:space="preserve"> ունեցել </w:t>
      </w:r>
      <w:r w:rsidR="00E00657" w:rsidRPr="006B3656">
        <w:rPr>
          <w:rFonts w:ascii="GHEA Grapalat" w:hAnsi="GHEA Grapalat"/>
          <w:color w:val="000000"/>
          <w:sz w:val="22"/>
          <w:szCs w:val="22"/>
          <w:lang w:val="hy-AM"/>
        </w:rPr>
        <w:t>հիպոտեկ</w:t>
      </w:r>
      <w:r w:rsidRPr="006B3656">
        <w:rPr>
          <w:rFonts w:ascii="GHEA Grapalat" w:hAnsi="GHEA Grapalat"/>
          <w:color w:val="000000"/>
          <w:sz w:val="22"/>
          <w:szCs w:val="22"/>
          <w:lang w:val="hy-AM"/>
        </w:rPr>
        <w:t>ային և շինարարության վարկերի ծավալների աճը:</w:t>
      </w:r>
      <w:r w:rsidR="00837E26" w:rsidRPr="006B3656">
        <w:rPr>
          <w:rFonts w:ascii="GHEA Grapalat" w:hAnsi="GHEA Grapalat"/>
          <w:color w:val="000000"/>
          <w:sz w:val="22"/>
          <w:szCs w:val="22"/>
          <w:lang w:val="hy-AM"/>
        </w:rPr>
        <w:t xml:space="preserve"> </w:t>
      </w:r>
    </w:p>
    <w:p w:rsidR="007A0BD0" w:rsidRPr="006B3656" w:rsidRDefault="007A0BD0"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Ներդրումների աճը հիմնականում պայմանավորված է եղել անշարժ գույքի հետ կապված գործունեության, տրանսպորտի, ջրամատակարարում, կոյուղի, թափոնների կառավարում և վերամշակում, առևտրի, ինչպես նաև կրթության ոլորտներում կատարված ներդրումների </w:t>
      </w:r>
      <w:r w:rsidR="000667C7" w:rsidRPr="006B3656">
        <w:rPr>
          <w:rFonts w:ascii="GHEA Grapalat" w:eastAsia="GHEA Grapalat" w:hAnsi="GHEA Grapalat" w:cs="GHEA Grapalat"/>
          <w:sz w:val="22"/>
          <w:szCs w:val="22"/>
          <w:lang w:val="hy-AM"/>
        </w:rPr>
        <w:t>աճ</w:t>
      </w:r>
      <w:r w:rsidRPr="006B3656">
        <w:rPr>
          <w:rFonts w:ascii="GHEA Grapalat" w:eastAsia="GHEA Grapalat" w:hAnsi="GHEA Grapalat" w:cs="GHEA Grapalat"/>
          <w:sz w:val="22"/>
          <w:szCs w:val="22"/>
          <w:lang w:val="hy-AM"/>
        </w:rPr>
        <w:t>ով</w:t>
      </w:r>
      <w:r w:rsidRPr="006B3656">
        <w:rPr>
          <w:rFonts w:ascii="GHEA Grapalat" w:eastAsia="GHEA Grapalat" w:hAnsi="GHEA Grapalat" w:cs="GHEA Grapalat"/>
          <w:sz w:val="22"/>
          <w:szCs w:val="22"/>
          <w:vertAlign w:val="superscript"/>
          <w:lang w:val="hy-AM"/>
        </w:rPr>
        <w:footnoteReference w:id="16"/>
      </w:r>
      <w:r w:rsidRPr="006B3656">
        <w:rPr>
          <w:rFonts w:ascii="GHEA Grapalat" w:eastAsia="GHEA Grapalat" w:hAnsi="GHEA Grapalat" w:cs="GHEA Grapalat"/>
          <w:sz w:val="22"/>
          <w:szCs w:val="22"/>
          <w:lang w:val="hy-AM"/>
        </w:rPr>
        <w:t>:</w:t>
      </w:r>
    </w:p>
    <w:p w:rsidR="007A0BD0" w:rsidRPr="006B3656" w:rsidRDefault="007A0BD0"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bCs/>
          <w:i/>
          <w:iCs/>
          <w:sz w:val="22"/>
          <w:szCs w:val="22"/>
          <w:lang w:val="hy-AM"/>
        </w:rPr>
        <w:t>Զուտ արտահանում։</w:t>
      </w:r>
      <w:r w:rsidRPr="006B3656">
        <w:rPr>
          <w:rFonts w:ascii="GHEA Grapalat" w:eastAsia="GHEA Grapalat" w:hAnsi="GHEA Grapalat" w:cs="GHEA Grapalat"/>
          <w:sz w:val="22"/>
          <w:szCs w:val="22"/>
          <w:lang w:val="hy-AM"/>
        </w:rPr>
        <w:t xml:space="preserve"> Ապրանքների և ծառայությունների արտահանման իրական ծավալների աճը գնահատվում է շուրջ 79.6%` պայմանավորված արտաքին պահանջարկի, մասնավորապես</w:t>
      </w:r>
      <w:r w:rsidR="00AA0424" w:rsidRPr="00BE2DF1">
        <w:rPr>
          <w:rFonts w:ascii="GHEA Grapalat" w:eastAsia="GHEA Grapalat" w:hAnsi="GHEA Grapalat" w:cs="GHEA Grapalat"/>
          <w:sz w:val="22"/>
          <w:szCs w:val="22"/>
          <w:lang w:val="hy-AM"/>
        </w:rPr>
        <w:t>՝</w:t>
      </w:r>
      <w:r w:rsidRPr="006B3656">
        <w:rPr>
          <w:rFonts w:ascii="GHEA Grapalat" w:eastAsia="GHEA Grapalat" w:hAnsi="GHEA Grapalat" w:cs="GHEA Grapalat"/>
          <w:sz w:val="22"/>
          <w:szCs w:val="22"/>
          <w:lang w:val="hy-AM"/>
        </w:rPr>
        <w:t xml:space="preserve"> վերաարտահանման (հատկապես՝ ԱՄԷ) բարձր ծավալներով: Հաշվետու ժամանակահատվածում ապրանքների և ծառայությունների ներմուծման ծավալները նախորդ տարվա նույն ժամանակահատվածի համեմատ աճել են շուրջ 70.5%-ով` պայմանավորված բարձր տնտեսական ակտիվությամբ և վերաարտահանման նպատակով իրականացված ներմուծմամբ:</w:t>
      </w:r>
      <w:r w:rsidRPr="006B3656">
        <w:rPr>
          <w:rFonts w:ascii="GHEA Grapalat" w:eastAsia="GHEA Grapalat" w:hAnsi="GHEA Grapalat" w:cs="GHEA Grapalat"/>
          <w:b/>
          <w:sz w:val="22"/>
          <w:szCs w:val="22"/>
          <w:lang w:val="hy-AM"/>
        </w:rPr>
        <w:t xml:space="preserve"> </w:t>
      </w:r>
    </w:p>
    <w:p w:rsidR="009A5497" w:rsidRPr="006B3656" w:rsidRDefault="009A5497" w:rsidP="00E77630">
      <w:pPr>
        <w:spacing w:line="360" w:lineRule="auto"/>
        <w:ind w:firstLine="567"/>
        <w:jc w:val="both"/>
        <w:rPr>
          <w:rFonts w:ascii="GHEA Grapalat" w:hAnsi="GHEA Grapalat" w:cs="GHEA Grapalat"/>
          <w:sz w:val="22"/>
          <w:szCs w:val="22"/>
          <w:lang w:val="hy-AM"/>
        </w:rPr>
      </w:pPr>
    </w:p>
    <w:p w:rsidR="00563135" w:rsidRPr="006B3656" w:rsidRDefault="00563135" w:rsidP="00563135">
      <w:pPr>
        <w:pStyle w:val="Heading6"/>
        <w:ind w:left="567"/>
        <w:rPr>
          <w:rFonts w:ascii="GHEA Grapalat" w:hAnsi="GHEA Grapalat"/>
          <w:b/>
          <w:sz w:val="22"/>
          <w:szCs w:val="22"/>
          <w:u w:val="none"/>
        </w:rPr>
      </w:pPr>
      <w:bookmarkStart w:id="23" w:name="_Toc71311883"/>
      <w:r w:rsidRPr="006B3656">
        <w:rPr>
          <w:rFonts w:ascii="GHEA Grapalat" w:hAnsi="GHEA Grapalat"/>
          <w:b/>
          <w:sz w:val="22"/>
          <w:szCs w:val="22"/>
          <w:u w:val="none"/>
        </w:rPr>
        <w:t>Աշխատանքի շուկա</w:t>
      </w:r>
      <w:bookmarkEnd w:id="23"/>
      <w:r w:rsidRPr="006B3656">
        <w:rPr>
          <w:rFonts w:ascii="GHEA Grapalat" w:hAnsi="GHEA Grapalat"/>
          <w:b/>
          <w:sz w:val="22"/>
          <w:szCs w:val="22"/>
          <w:u w:val="none"/>
        </w:rPr>
        <w:t xml:space="preserve"> </w:t>
      </w:r>
    </w:p>
    <w:p w:rsidR="009B57CE" w:rsidRPr="006B3656" w:rsidRDefault="009B57CE" w:rsidP="00297D06">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sz w:val="22"/>
          <w:szCs w:val="22"/>
          <w:lang w:val="hy-AM"/>
        </w:rPr>
        <w:t>Տնտեսական բարձր ակտիվության պայմաններում հունվար-հունիսին վարձու աշխատողների թիվը և աշխատավարձերն աճել են։ 2024 թվականի</w:t>
      </w:r>
      <w:r w:rsidRPr="006B3656">
        <w:rPr>
          <w:rFonts w:ascii="GHEA Grapalat" w:eastAsia="GHEA Grapalat" w:hAnsi="GHEA Grapalat"/>
          <w:sz w:val="22"/>
          <w:szCs w:val="22"/>
          <w:lang w:val="hy-AM"/>
        </w:rPr>
        <w:t xml:space="preserve"> առաջին կիսամյակում պաշտոնապես գրանցված </w:t>
      </w:r>
      <w:r w:rsidRPr="006B3656">
        <w:rPr>
          <w:rFonts w:ascii="GHEA Grapalat" w:eastAsia="GHEA Grapalat" w:hAnsi="GHEA Grapalat" w:cs="GHEA Grapalat"/>
          <w:sz w:val="22"/>
          <w:szCs w:val="22"/>
          <w:lang w:val="hy-AM"/>
        </w:rPr>
        <w:t>գործազուրկների</w:t>
      </w:r>
      <w:r w:rsidRPr="006B3656">
        <w:rPr>
          <w:rFonts w:ascii="GHEA Grapalat" w:eastAsia="GHEA Grapalat" w:hAnsi="GHEA Grapalat"/>
          <w:sz w:val="22"/>
          <w:szCs w:val="22"/>
          <w:lang w:val="hy-AM"/>
        </w:rPr>
        <w:t xml:space="preserve"> միջին ամսական թիվը նախորդ տարվա նույն ժամանակահատվածի նկատմամբ նվազել է 5.5%-ով՝ կազմելով 44,525 մարդ: Միևնույն ժամանակ վարձու աշխատողների թիվն աճել է 5.0%-ով՝ կազմելով 745,978 մարդ։ Վարձու աշխատողների թվի աճին հիմնականում նպաստել </w:t>
      </w:r>
      <w:r w:rsidR="00AA0424" w:rsidRPr="00BE2DF1">
        <w:rPr>
          <w:rFonts w:ascii="GHEA Grapalat" w:eastAsia="GHEA Grapalat" w:hAnsi="GHEA Grapalat"/>
          <w:sz w:val="22"/>
          <w:szCs w:val="22"/>
          <w:lang w:val="hy-AM"/>
        </w:rPr>
        <w:t>է</w:t>
      </w:r>
      <w:r w:rsidRPr="006B3656">
        <w:rPr>
          <w:rFonts w:ascii="GHEA Grapalat" w:eastAsia="GHEA Grapalat" w:hAnsi="GHEA Grapalat"/>
          <w:sz w:val="22"/>
          <w:szCs w:val="22"/>
          <w:lang w:val="hy-AM"/>
        </w:rPr>
        <w:t xml:space="preserve"> առևտրի, կրթության և շինարարության ոլորտներում աշխատողների թվի աճը: Վարձու աշխատողների աճին հիմնականում նպաստել են տնտեսության դրական զարգացումները, </w:t>
      </w:r>
      <w:r w:rsidRPr="006B3656">
        <w:rPr>
          <w:rFonts w:ascii="GHEA Grapalat" w:eastAsia="GHEA Grapalat" w:hAnsi="GHEA Grapalat" w:cs="GHEA Grapalat"/>
          <w:bCs/>
          <w:sz w:val="22"/>
          <w:szCs w:val="22"/>
          <w:lang w:val="hy-AM"/>
        </w:rPr>
        <w:t>ԼՂ բնակչության որոշ մասի</w:t>
      </w:r>
      <w:r w:rsidR="00AA0424" w:rsidRPr="00BE2DF1">
        <w:rPr>
          <w:rFonts w:ascii="GHEA Grapalat" w:eastAsia="GHEA Grapalat" w:hAnsi="GHEA Grapalat" w:cs="GHEA Grapalat"/>
          <w:bCs/>
          <w:sz w:val="22"/>
          <w:szCs w:val="22"/>
          <w:lang w:val="hy-AM"/>
        </w:rPr>
        <w:t>՝</w:t>
      </w:r>
      <w:r w:rsidRPr="006B3656">
        <w:rPr>
          <w:rFonts w:ascii="GHEA Grapalat" w:eastAsia="GHEA Grapalat" w:hAnsi="GHEA Grapalat" w:cs="GHEA Grapalat"/>
          <w:bCs/>
          <w:sz w:val="22"/>
          <w:szCs w:val="22"/>
          <w:lang w:val="hy-AM"/>
        </w:rPr>
        <w:t xml:space="preserve"> ՀՀ աշխատանքի շուկայում ընդգրկումը,</w:t>
      </w:r>
      <w:r w:rsidRPr="006B3656">
        <w:rPr>
          <w:rFonts w:ascii="GHEA Grapalat" w:eastAsia="GHEA Grapalat" w:hAnsi="GHEA Grapalat"/>
          <w:sz w:val="22"/>
          <w:szCs w:val="22"/>
          <w:lang w:val="hy-AM"/>
        </w:rPr>
        <w:t xml:space="preserve"> </w:t>
      </w:r>
      <w:r w:rsidRPr="006B3656">
        <w:rPr>
          <w:rFonts w:ascii="GHEA Grapalat" w:eastAsia="GHEA Grapalat" w:hAnsi="GHEA Grapalat" w:cs="GHEA Grapalat"/>
          <w:bCs/>
          <w:sz w:val="22"/>
          <w:szCs w:val="22"/>
          <w:lang w:val="hy-AM"/>
        </w:rPr>
        <w:t>ինչպես նաև սեզոնային աշխատողների (հիմնականում շինարարության ոլորտում)</w:t>
      </w:r>
      <w:r w:rsidR="004A2778" w:rsidRPr="00BE2DF1">
        <w:rPr>
          <w:rFonts w:ascii="GHEA Grapalat" w:eastAsia="GHEA Grapalat" w:hAnsi="GHEA Grapalat" w:cs="GHEA Grapalat"/>
          <w:bCs/>
          <w:sz w:val="22"/>
          <w:szCs w:val="22"/>
          <w:lang w:val="hy-AM"/>
        </w:rPr>
        <w:t>՝</w:t>
      </w:r>
      <w:r w:rsidRPr="006B3656">
        <w:rPr>
          <w:rFonts w:ascii="GHEA Grapalat" w:eastAsia="GHEA Grapalat" w:hAnsi="GHEA Grapalat" w:cs="GHEA Grapalat"/>
          <w:bCs/>
          <w:sz w:val="22"/>
          <w:szCs w:val="22"/>
          <w:lang w:val="hy-AM"/>
        </w:rPr>
        <w:t xml:space="preserve"> արտերկրում գործունեութ</w:t>
      </w:r>
      <w:r w:rsidR="004A2778" w:rsidRPr="00BE2DF1">
        <w:rPr>
          <w:rFonts w:ascii="GHEA Grapalat" w:eastAsia="GHEA Grapalat" w:hAnsi="GHEA Grapalat" w:cs="GHEA Grapalat"/>
          <w:bCs/>
          <w:sz w:val="22"/>
          <w:szCs w:val="22"/>
          <w:lang w:val="hy-AM"/>
        </w:rPr>
        <w:t>յ</w:t>
      </w:r>
      <w:r w:rsidRPr="006B3656">
        <w:rPr>
          <w:rFonts w:ascii="GHEA Grapalat" w:eastAsia="GHEA Grapalat" w:hAnsi="GHEA Grapalat" w:cs="GHEA Grapalat"/>
          <w:bCs/>
          <w:sz w:val="22"/>
          <w:szCs w:val="22"/>
          <w:lang w:val="hy-AM"/>
        </w:rPr>
        <w:t>ան իրականացման փոխարեն ՀՀ-ում գործունեություն իրականացնելու նախընտրությունը:</w:t>
      </w:r>
    </w:p>
    <w:p w:rsidR="009B57CE" w:rsidRPr="006B3656" w:rsidRDefault="009B57CE"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2024 թվականի առաջին եռամսյակում գործազրկության մակարդակը նախորդ տարվա նույն եռամսյակի նկատմամբ աճել է 1.8 տոկոսային կետով՝ կազմելով 15.5%, գործազուրկների թիվն աճել է 13.8%-ով, զբաղվածների թիվը՝ նվազել 1.2%-ով։ Միաժամանակ, աշխատուժի առաջարկն աճել է 3.2%-ով։ Գործազուրկների թվի աճին իր նպաստումն է ունեցել նաև ԼՂ-ից դեպի ՀՀ բռնի տեղահանված աշխատունակ բնակչության</w:t>
      </w:r>
      <w:r w:rsidR="004A2778" w:rsidRPr="00BE2DF1">
        <w:rPr>
          <w:rFonts w:ascii="GHEA Grapalat" w:eastAsia="GHEA Grapalat" w:hAnsi="GHEA Grapalat" w:cs="GHEA Grapalat"/>
          <w:sz w:val="22"/>
          <w:szCs w:val="22"/>
          <w:lang w:val="hy-AM"/>
        </w:rPr>
        <w:t>՝</w:t>
      </w:r>
      <w:r w:rsidRPr="006B3656">
        <w:rPr>
          <w:rFonts w:ascii="GHEA Grapalat" w:eastAsia="GHEA Grapalat" w:hAnsi="GHEA Grapalat" w:cs="GHEA Grapalat"/>
          <w:sz w:val="22"/>
          <w:szCs w:val="22"/>
          <w:lang w:val="hy-AM"/>
        </w:rPr>
        <w:t xml:space="preserve"> ՀՀ աշխատաշուկայում դեռևս ցածր ներգրավվածությունը: </w:t>
      </w:r>
    </w:p>
    <w:p w:rsidR="009B57CE" w:rsidRPr="006B3656" w:rsidRDefault="009B57CE"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2024 թվականի առաջին կիսամյակում միջին ամսական անվանական աշխատավարձը նախորդ տարվա նույն ժամանակահատվածի համեմատ աճել է 6.8%-ով` կազմելով 279,023 դրամ: Աշխատավարձի աճին հիմնականում նպաստել </w:t>
      </w:r>
      <w:r w:rsidR="004A2778" w:rsidRPr="00F371F3">
        <w:rPr>
          <w:rFonts w:ascii="GHEA Grapalat" w:eastAsia="GHEA Grapalat" w:hAnsi="GHEA Grapalat" w:cs="GHEA Grapalat"/>
          <w:sz w:val="22"/>
          <w:szCs w:val="22"/>
          <w:lang w:val="hy-AM"/>
        </w:rPr>
        <w:t>է</w:t>
      </w:r>
      <w:r w:rsidRPr="006B3656">
        <w:rPr>
          <w:rFonts w:ascii="GHEA Grapalat" w:eastAsia="GHEA Grapalat" w:hAnsi="GHEA Grapalat" w:cs="GHEA Grapalat"/>
          <w:sz w:val="22"/>
          <w:szCs w:val="22"/>
          <w:lang w:val="hy-AM"/>
        </w:rPr>
        <w:t xml:space="preserve"> մեծածախ և մանրածախ առևտրի, կրթության, ֆինանսական և ապահովագրական գործունեության, մշակող արդյունաբերության, առողջապահության և բնակչության սոցիալական սպասարկման, շինարարության, ինչպես նաև կացության և հանրային սննդի կազմակերպման ոլորտների աշխատավարձերի աճը։ Միջին ամսական անվանական աշխատավարձը պետական հատվածում աճել է 10.0%-ով` կազմելով 211,319 դրամ, իսկ ոչ պետականում` 5.6%-ով և կազմել է 306,316 դրամ: Իրական աշխատավարձը՝ 0.6% գնանկման պայմաններում, 2023 թվականի նույն ժամանակահատվածի համեմատ աճել է 7.4%-ով:</w:t>
      </w:r>
    </w:p>
    <w:p w:rsidR="009B57CE" w:rsidRPr="006B3656" w:rsidRDefault="009B57CE" w:rsidP="00297D06">
      <w:pPr>
        <w:spacing w:line="360" w:lineRule="auto"/>
        <w:ind w:firstLine="567"/>
        <w:jc w:val="both"/>
        <w:rPr>
          <w:rFonts w:ascii="GHEA Grapalat" w:eastAsia="GHEA Grapalat" w:hAnsi="GHEA Grapalat" w:cs="GHEA Grapalat"/>
          <w:sz w:val="22"/>
          <w:szCs w:val="22"/>
          <w:lang w:val="hy-AM"/>
        </w:rPr>
      </w:pPr>
    </w:p>
    <w:tbl>
      <w:tblPr>
        <w:tblW w:w="15678" w:type="dxa"/>
        <w:tblInd w:w="108" w:type="dxa"/>
        <w:tblLook w:val="04A0" w:firstRow="1" w:lastRow="0" w:firstColumn="1" w:lastColumn="0" w:noHBand="0" w:noVBand="1"/>
      </w:tblPr>
      <w:tblGrid>
        <w:gridCol w:w="5226"/>
        <w:gridCol w:w="5226"/>
        <w:gridCol w:w="5226"/>
      </w:tblGrid>
      <w:tr w:rsidR="009B57CE" w:rsidRPr="006B3656" w:rsidTr="00A05DB7">
        <w:trPr>
          <w:trHeight w:val="962"/>
        </w:trPr>
        <w:tc>
          <w:tcPr>
            <w:tcW w:w="5226" w:type="dxa"/>
          </w:tcPr>
          <w:p w:rsidR="009B57CE" w:rsidRPr="006B3656" w:rsidRDefault="009B57CE" w:rsidP="00A05DB7">
            <w:pPr>
              <w:tabs>
                <w:tab w:val="right" w:pos="0"/>
              </w:tabs>
              <w:spacing w:before="120" w:after="60"/>
              <w:contextualSpacing/>
              <w:rPr>
                <w:rFonts w:ascii="GHEA Grapalat" w:hAnsi="GHEA Grapalat"/>
                <w:i/>
                <w:sz w:val="16"/>
                <w:szCs w:val="16"/>
                <w:lang w:val="hy-AM"/>
              </w:rPr>
            </w:pPr>
            <w:r w:rsidRPr="006B3656">
              <w:rPr>
                <w:rFonts w:ascii="GHEA Grapalat" w:hAnsi="GHEA Grapalat"/>
                <w:b/>
                <w:i/>
                <w:sz w:val="16"/>
                <w:szCs w:val="16"/>
                <w:lang w:val="hy-AM"/>
              </w:rPr>
              <w:t>Գծապատկեր 8.</w:t>
            </w:r>
            <w:r w:rsidRPr="006B3656">
              <w:rPr>
                <w:rFonts w:ascii="GHEA Grapalat" w:hAnsi="GHEA Grapalat"/>
                <w:i/>
                <w:sz w:val="16"/>
                <w:szCs w:val="16"/>
                <w:lang w:val="hy-AM"/>
              </w:rPr>
              <w:t xml:space="preserve"> </w:t>
            </w:r>
            <w:r w:rsidRPr="006B3656">
              <w:rPr>
                <w:rFonts w:ascii="GHEA Grapalat" w:hAnsi="GHEA Grapalat"/>
                <w:sz w:val="16"/>
                <w:szCs w:val="16"/>
                <w:lang w:val="hy-AM"/>
              </w:rPr>
              <w:t>Գործազրկության մակարդակ, գործազուրկներ, վարձու աշխատողներ և զբաղվածներ</w:t>
            </w:r>
          </w:p>
          <w:p w:rsidR="009B57CE" w:rsidRPr="006B3656" w:rsidRDefault="009B57CE" w:rsidP="00A05DB7">
            <w:pPr>
              <w:tabs>
                <w:tab w:val="right" w:pos="0"/>
              </w:tabs>
              <w:spacing w:before="120" w:after="60"/>
              <w:contextualSpacing/>
              <w:rPr>
                <w:rFonts w:ascii="GHEA Grapalat" w:hAnsi="GHEA Grapalat"/>
                <w:b/>
                <w:sz w:val="16"/>
                <w:szCs w:val="16"/>
                <w:lang w:val="hy-AM"/>
              </w:rPr>
            </w:pPr>
            <w:r w:rsidRPr="006B3656">
              <w:rPr>
                <w:rFonts w:ascii="GHEA Grapalat" w:hAnsi="GHEA Grapalat"/>
                <w:noProof/>
                <w:sz w:val="22"/>
                <w:szCs w:val="22"/>
              </w:rPr>
              <w:drawing>
                <wp:inline distT="0" distB="0" distL="0" distR="0" wp14:anchorId="76459E2C" wp14:editId="67D1FD96">
                  <wp:extent cx="3181350" cy="2390775"/>
                  <wp:effectExtent l="0" t="0" r="0" b="952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26" w:type="dxa"/>
          </w:tcPr>
          <w:p w:rsidR="009B57CE" w:rsidRPr="006B3656" w:rsidRDefault="009B57CE" w:rsidP="00A05DB7">
            <w:pPr>
              <w:tabs>
                <w:tab w:val="right" w:pos="0"/>
              </w:tabs>
              <w:spacing w:before="120" w:after="60"/>
              <w:contextualSpacing/>
              <w:rPr>
                <w:rFonts w:ascii="GHEA Grapalat" w:hAnsi="GHEA Grapalat"/>
                <w:sz w:val="16"/>
                <w:szCs w:val="16"/>
                <w:lang w:val="hy-AM"/>
              </w:rPr>
            </w:pPr>
            <w:r w:rsidRPr="006B3656">
              <w:rPr>
                <w:rFonts w:ascii="GHEA Grapalat" w:hAnsi="GHEA Grapalat"/>
                <w:b/>
                <w:i/>
                <w:sz w:val="16"/>
                <w:szCs w:val="16"/>
                <w:lang w:val="hy-AM"/>
              </w:rPr>
              <w:t>Գծապատկեր 9.</w:t>
            </w:r>
            <w:r w:rsidRPr="006B3656">
              <w:rPr>
                <w:rFonts w:ascii="GHEA Grapalat" w:hAnsi="GHEA Grapalat"/>
                <w:i/>
                <w:sz w:val="16"/>
                <w:szCs w:val="16"/>
                <w:lang w:val="hy-AM"/>
              </w:rPr>
              <w:t xml:space="preserve"> </w:t>
            </w:r>
            <w:r w:rsidRPr="006B3656">
              <w:rPr>
                <w:rFonts w:ascii="GHEA Grapalat" w:hAnsi="GHEA Grapalat"/>
                <w:sz w:val="16"/>
                <w:szCs w:val="16"/>
                <w:lang w:val="hy-AM"/>
              </w:rPr>
              <w:t>Միջին ամսական աշխատավարձի աճը նախորդ տարվա նույն ժամանակահատվածի նկատմամբ, %</w:t>
            </w:r>
          </w:p>
          <w:p w:rsidR="009B57CE" w:rsidRPr="006B3656" w:rsidDel="00D90B16" w:rsidRDefault="009B57CE" w:rsidP="00A05DB7">
            <w:pPr>
              <w:tabs>
                <w:tab w:val="right" w:pos="0"/>
              </w:tabs>
              <w:spacing w:before="120" w:after="60"/>
              <w:contextualSpacing/>
              <w:rPr>
                <w:rFonts w:ascii="GHEA Grapalat" w:hAnsi="GHEA Grapalat"/>
                <w:b/>
                <w:sz w:val="16"/>
                <w:szCs w:val="16"/>
                <w:lang w:val="hy-AM"/>
              </w:rPr>
            </w:pPr>
            <w:r w:rsidRPr="006B3656">
              <w:rPr>
                <w:rFonts w:ascii="GHEA Grapalat" w:hAnsi="GHEA Grapalat"/>
                <w:noProof/>
                <w:sz w:val="16"/>
                <w:szCs w:val="16"/>
              </w:rPr>
              <w:drawing>
                <wp:inline distT="0" distB="0" distL="0" distR="0" wp14:anchorId="7DFA4A37" wp14:editId="05FE2150">
                  <wp:extent cx="3171825" cy="2401294"/>
                  <wp:effectExtent l="0" t="0" r="9525" b="18415"/>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226" w:type="dxa"/>
            <w:shd w:val="clear" w:color="auto" w:fill="auto"/>
          </w:tcPr>
          <w:p w:rsidR="009B57CE" w:rsidRPr="006B3656" w:rsidRDefault="009B57CE" w:rsidP="00A05DB7">
            <w:pPr>
              <w:tabs>
                <w:tab w:val="right" w:pos="0"/>
              </w:tabs>
              <w:spacing w:before="120" w:after="60"/>
              <w:contextualSpacing/>
              <w:rPr>
                <w:rFonts w:ascii="GHEA Grapalat" w:hAnsi="GHEA Grapalat"/>
                <w:sz w:val="16"/>
                <w:szCs w:val="16"/>
                <w:lang w:val="hy-AM"/>
              </w:rPr>
            </w:pPr>
          </w:p>
        </w:tc>
      </w:tr>
      <w:tr w:rsidR="009B57CE" w:rsidRPr="006B3656" w:rsidTr="00A05DB7">
        <w:trPr>
          <w:trHeight w:val="314"/>
        </w:trPr>
        <w:tc>
          <w:tcPr>
            <w:tcW w:w="5226" w:type="dxa"/>
          </w:tcPr>
          <w:p w:rsidR="009B57CE" w:rsidRPr="006B3656" w:rsidRDefault="009B57CE" w:rsidP="00A05DB7">
            <w:pPr>
              <w:tabs>
                <w:tab w:val="right" w:pos="0"/>
              </w:tabs>
              <w:spacing w:before="120" w:after="60"/>
              <w:contextualSpacing/>
              <w:rPr>
                <w:rFonts w:ascii="GHEA Grapalat" w:hAnsi="GHEA Grapalat"/>
                <w:i/>
                <w:sz w:val="18"/>
                <w:szCs w:val="18"/>
                <w:lang w:val="hy-AM"/>
              </w:rPr>
            </w:pPr>
            <w:r w:rsidRPr="006B3656">
              <w:rPr>
                <w:rFonts w:ascii="GHEA Grapalat" w:hAnsi="GHEA Grapalat"/>
                <w:i/>
                <w:sz w:val="18"/>
                <w:szCs w:val="18"/>
                <w:lang w:val="hy-AM"/>
              </w:rPr>
              <w:t>Աղբյուրը՝ ՀՀ ՎԿ</w:t>
            </w:r>
          </w:p>
        </w:tc>
        <w:tc>
          <w:tcPr>
            <w:tcW w:w="5226" w:type="dxa"/>
          </w:tcPr>
          <w:p w:rsidR="009B57CE" w:rsidRPr="006B3656" w:rsidDel="00D90B16" w:rsidRDefault="009B57CE" w:rsidP="00A05DB7">
            <w:pPr>
              <w:tabs>
                <w:tab w:val="right" w:pos="0"/>
              </w:tabs>
              <w:spacing w:before="120" w:after="60"/>
              <w:contextualSpacing/>
              <w:rPr>
                <w:rFonts w:ascii="GHEA Grapalat" w:hAnsi="GHEA Grapalat"/>
                <w:i/>
                <w:sz w:val="18"/>
                <w:szCs w:val="18"/>
                <w:lang w:val="hy-AM"/>
              </w:rPr>
            </w:pPr>
            <w:r w:rsidRPr="006B3656">
              <w:rPr>
                <w:rFonts w:ascii="GHEA Grapalat" w:hAnsi="GHEA Grapalat"/>
                <w:i/>
                <w:sz w:val="18"/>
                <w:szCs w:val="18"/>
                <w:lang w:val="hy-AM"/>
              </w:rPr>
              <w:t>Աղբյուրը՝ ՀՀ ՎԿ</w:t>
            </w:r>
          </w:p>
        </w:tc>
        <w:tc>
          <w:tcPr>
            <w:tcW w:w="5226" w:type="dxa"/>
            <w:shd w:val="clear" w:color="auto" w:fill="auto"/>
          </w:tcPr>
          <w:p w:rsidR="009B57CE" w:rsidRPr="006B3656" w:rsidRDefault="009B57CE" w:rsidP="00A05DB7">
            <w:pPr>
              <w:tabs>
                <w:tab w:val="right" w:pos="0"/>
              </w:tabs>
              <w:spacing w:before="120" w:after="60"/>
              <w:contextualSpacing/>
              <w:rPr>
                <w:rFonts w:ascii="GHEA Grapalat" w:hAnsi="GHEA Grapalat" w:cs="Sylfaen"/>
                <w:sz w:val="22"/>
                <w:szCs w:val="22"/>
                <w:lang w:val="hy-AM"/>
              </w:rPr>
            </w:pPr>
          </w:p>
        </w:tc>
      </w:tr>
    </w:tbl>
    <w:p w:rsidR="00D87203" w:rsidRPr="006B3656" w:rsidRDefault="00D87203" w:rsidP="00922965">
      <w:pPr>
        <w:ind w:firstLine="567"/>
        <w:jc w:val="both"/>
        <w:rPr>
          <w:rFonts w:ascii="GHEA Grapalat" w:hAnsi="GHEA Grapalat" w:cs="GHEA Grapalat"/>
          <w:sz w:val="22"/>
          <w:szCs w:val="22"/>
          <w:lang w:val="hy-AM"/>
        </w:rPr>
      </w:pPr>
    </w:p>
    <w:p w:rsidR="00563135" w:rsidRPr="006B3656" w:rsidRDefault="00563135" w:rsidP="00563135">
      <w:pPr>
        <w:pStyle w:val="Heading6"/>
        <w:ind w:left="567"/>
        <w:rPr>
          <w:rFonts w:ascii="GHEA Grapalat" w:hAnsi="GHEA Grapalat"/>
          <w:b/>
          <w:sz w:val="22"/>
          <w:szCs w:val="22"/>
          <w:u w:val="none"/>
        </w:rPr>
      </w:pPr>
      <w:bookmarkStart w:id="24" w:name="_Toc6389321"/>
      <w:bookmarkStart w:id="25" w:name="_Toc37763588"/>
      <w:bookmarkStart w:id="26" w:name="_Toc71311884"/>
      <w:r w:rsidRPr="006B3656">
        <w:rPr>
          <w:rFonts w:ascii="GHEA Grapalat" w:hAnsi="GHEA Grapalat"/>
          <w:b/>
          <w:sz w:val="22"/>
          <w:szCs w:val="22"/>
          <w:u w:val="none"/>
        </w:rPr>
        <w:t>Գնաճ</w:t>
      </w:r>
      <w:bookmarkEnd w:id="24"/>
      <w:bookmarkEnd w:id="25"/>
      <w:r w:rsidRPr="006B3656">
        <w:rPr>
          <w:rFonts w:ascii="GHEA Grapalat" w:hAnsi="GHEA Grapalat"/>
          <w:b/>
          <w:sz w:val="22"/>
          <w:szCs w:val="22"/>
          <w:u w:val="none"/>
        </w:rPr>
        <w:t xml:space="preserve"> և դրամավարկային քաղաքականություն</w:t>
      </w:r>
      <w:bookmarkEnd w:id="26"/>
    </w:p>
    <w:p w:rsidR="009B57CE" w:rsidRPr="006B3656" w:rsidRDefault="009B57CE"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2024 թվականի </w:t>
      </w:r>
      <w:r w:rsidR="005A0252" w:rsidRPr="006B3656">
        <w:rPr>
          <w:rFonts w:ascii="GHEA Grapalat" w:eastAsia="GHEA Grapalat" w:hAnsi="GHEA Grapalat" w:cs="GHEA Grapalat"/>
          <w:sz w:val="22"/>
          <w:szCs w:val="22"/>
          <w:lang w:val="hy-AM"/>
        </w:rPr>
        <w:t>առաջին</w:t>
      </w:r>
      <w:r w:rsidRPr="006B3656">
        <w:rPr>
          <w:rFonts w:ascii="GHEA Grapalat" w:eastAsia="GHEA Grapalat" w:hAnsi="GHEA Grapalat" w:cs="GHEA Grapalat"/>
          <w:sz w:val="22"/>
          <w:szCs w:val="22"/>
          <w:lang w:val="hy-AM"/>
        </w:rPr>
        <w:t xml:space="preserve"> կիսամյակի ընթացքում գնանկումային միտումներ</w:t>
      </w:r>
      <w:r w:rsidR="00EF06DC" w:rsidRPr="00F371F3">
        <w:rPr>
          <w:rFonts w:ascii="GHEA Grapalat" w:eastAsia="GHEA Grapalat" w:hAnsi="GHEA Grapalat" w:cs="GHEA Grapalat"/>
          <w:sz w:val="22"/>
          <w:szCs w:val="22"/>
          <w:lang w:val="hy-AM"/>
        </w:rPr>
        <w:t>ն</w:t>
      </w:r>
      <w:r w:rsidRPr="006B3656">
        <w:rPr>
          <w:rFonts w:ascii="GHEA Grapalat" w:eastAsia="GHEA Grapalat" w:hAnsi="GHEA Grapalat" w:cs="GHEA Grapalat"/>
          <w:sz w:val="22"/>
          <w:szCs w:val="22"/>
          <w:lang w:val="hy-AM"/>
        </w:rPr>
        <w:t xml:space="preserve"> աստիճանաբար մեղմվել են և փոխարինվել թույլ՝ ԿԲ թիրախային միջակայքից ներքև գնաճային միտումներով, որի պայմաններում ԿԲ-ն շարունակել է նվազեցնել քաղաքականության տոկոսադրույքը՝ հունիսին սահմանելով այն 8%: Հունիսին 12 ամսյա գնաճը կազմել է 0.8%, այնուամենայնիվ</w:t>
      </w:r>
      <w:r w:rsidR="00EF06DC" w:rsidRPr="00F371F3">
        <w:rPr>
          <w:rFonts w:ascii="GHEA Grapalat" w:eastAsia="GHEA Grapalat" w:hAnsi="GHEA Grapalat" w:cs="GHEA Grapalat"/>
          <w:sz w:val="22"/>
          <w:szCs w:val="22"/>
          <w:lang w:val="hy-AM"/>
        </w:rPr>
        <w:t>,</w:t>
      </w:r>
      <w:r w:rsidRPr="006B3656">
        <w:rPr>
          <w:rFonts w:ascii="GHEA Grapalat" w:eastAsia="GHEA Grapalat" w:hAnsi="GHEA Grapalat" w:cs="GHEA Grapalat"/>
          <w:sz w:val="22"/>
          <w:szCs w:val="22"/>
          <w:lang w:val="hy-AM"/>
        </w:rPr>
        <w:t xml:space="preserve"> կիսամյակի գնաճը շարունակում է գտնվել բացասական տիրույթում՝ կազմելով -0.6%: Գնանկումային զարգացումները կիսամյակի ընթացքում պայմանավորված են եղել արտաքին հատվածից փոխանցվող գնանկումային ճնշումներով, դոլարի նկատմամբ դրամի արժևորման </w:t>
      </w:r>
      <w:bookmarkStart w:id="27" w:name="_Hlk165935577"/>
      <w:r w:rsidRPr="006B3656">
        <w:rPr>
          <w:rFonts w:ascii="GHEA Grapalat" w:eastAsia="GHEA Grapalat" w:hAnsi="GHEA Grapalat" w:cs="GHEA Grapalat"/>
          <w:sz w:val="22"/>
          <w:szCs w:val="22"/>
          <w:lang w:val="hy-AM"/>
        </w:rPr>
        <w:t xml:space="preserve">լագային ազդեցություններով և ռուբլու նկատմամբ դրսևորված արժևորմամբ, ինչպես նաև համախառն պահանջարկի որոշակի թուլացմամբ։ </w:t>
      </w:r>
      <w:bookmarkEnd w:id="27"/>
      <w:r w:rsidRPr="006B3656">
        <w:rPr>
          <w:rFonts w:ascii="GHEA Grapalat" w:eastAsia="GHEA Grapalat" w:hAnsi="GHEA Grapalat" w:cs="GHEA Grapalat"/>
          <w:sz w:val="22"/>
          <w:szCs w:val="22"/>
          <w:lang w:val="hy-AM"/>
        </w:rPr>
        <w:t>Վերջինս արտացոլվել է ծառայությունների գնաճային միտումների թուլացմամբ (ծառայությունների միջին գնաճը կազմել է 2.8%՝ 2023թ</w:t>
      </w:r>
      <w:r w:rsidRPr="006B3656">
        <w:rPr>
          <w:rFonts w:ascii="Cambria Math" w:eastAsia="GHEA Grapalat" w:hAnsi="Cambria Math" w:cs="Cambria Math"/>
          <w:sz w:val="22"/>
          <w:szCs w:val="22"/>
          <w:lang w:val="hy-AM"/>
        </w:rPr>
        <w:t>․</w:t>
      </w:r>
      <w:r w:rsidRPr="006B3656">
        <w:rPr>
          <w:rFonts w:ascii="GHEA Grapalat" w:eastAsia="GHEA Grapalat" w:hAnsi="GHEA Grapalat" w:cs="GHEA Grapalat"/>
          <w:sz w:val="22"/>
          <w:szCs w:val="22"/>
          <w:lang w:val="hy-AM"/>
        </w:rPr>
        <w:t xml:space="preserve">-ի </w:t>
      </w:r>
      <w:r w:rsidR="005A0252" w:rsidRPr="006B3656">
        <w:rPr>
          <w:rFonts w:ascii="GHEA Grapalat" w:eastAsia="GHEA Grapalat" w:hAnsi="GHEA Grapalat" w:cs="GHEA Grapalat"/>
          <w:sz w:val="22"/>
          <w:szCs w:val="22"/>
          <w:lang w:val="hy-AM"/>
        </w:rPr>
        <w:t>առաջին</w:t>
      </w:r>
      <w:r w:rsidRPr="006B3656">
        <w:rPr>
          <w:rFonts w:ascii="GHEA Grapalat" w:eastAsia="GHEA Grapalat" w:hAnsi="GHEA Grapalat" w:cs="GHEA Grapalat"/>
          <w:sz w:val="22"/>
          <w:szCs w:val="22"/>
          <w:lang w:val="hy-AM"/>
        </w:rPr>
        <w:t xml:space="preserve"> կիսամյակի 5</w:t>
      </w:r>
      <w:r w:rsidRPr="006B3656">
        <w:rPr>
          <w:rFonts w:ascii="Cambria Math" w:eastAsia="GHEA Grapalat" w:hAnsi="Cambria Math" w:cs="Cambria Math"/>
          <w:sz w:val="22"/>
          <w:szCs w:val="22"/>
          <w:lang w:val="hy-AM"/>
        </w:rPr>
        <w:t>․</w:t>
      </w:r>
      <w:r w:rsidRPr="006B3656">
        <w:rPr>
          <w:rFonts w:ascii="GHEA Grapalat" w:eastAsia="GHEA Grapalat" w:hAnsi="GHEA Grapalat" w:cs="GHEA Grapalat"/>
          <w:sz w:val="22"/>
          <w:szCs w:val="22"/>
          <w:lang w:val="hy-AM"/>
        </w:rPr>
        <w:t xml:space="preserve">7% միջին գնաճի ցուցանիշի դիմաց): </w:t>
      </w:r>
    </w:p>
    <w:p w:rsidR="00297D06" w:rsidRPr="006B3656" w:rsidRDefault="00297D06" w:rsidP="00297D06">
      <w:pPr>
        <w:spacing w:line="360" w:lineRule="auto"/>
        <w:ind w:firstLine="567"/>
        <w:jc w:val="both"/>
        <w:rPr>
          <w:rFonts w:ascii="GHEA Grapalat" w:eastAsia="GHEA Grapalat" w:hAnsi="GHEA Grapalat" w:cs="GHEA Grapalat"/>
          <w:sz w:val="22"/>
          <w:szCs w:val="22"/>
          <w:lang w:val="hy-AM"/>
        </w:rPr>
      </w:pPr>
    </w:p>
    <w:p w:rsidR="009B57CE" w:rsidRPr="006B3656" w:rsidRDefault="009B57CE" w:rsidP="0065183D">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Գնաճի տեմպերը և ԿԲ տոկոսադրույք</w:t>
      </w:r>
      <w:r w:rsidR="006966E8" w:rsidRPr="006B3656">
        <w:rPr>
          <w:lang w:val="hy-AM"/>
        </w:rPr>
        <w:t>ն</w:t>
      </w:r>
      <w:r w:rsidRPr="006B3656">
        <w:rPr>
          <w:lang w:val="hy-AM"/>
        </w:rPr>
        <w:t xml:space="preserve"> ըստ ամիսների, 2020-2024թթ</w:t>
      </w:r>
      <w:r w:rsidRPr="006B3656">
        <w:rPr>
          <w:rFonts w:ascii="Cambria Math" w:hAnsi="Cambria Math" w:cs="Cambria Math"/>
          <w:lang w:val="hy-AM"/>
        </w:rPr>
        <w:t>․</w:t>
      </w:r>
      <w:r w:rsidRPr="006B3656">
        <w:rPr>
          <w:lang w:val="hy-AM"/>
        </w:rPr>
        <w:t>, %</w:t>
      </w:r>
    </w:p>
    <w:p w:rsidR="009B57CE" w:rsidRPr="006B3656" w:rsidRDefault="009B57CE" w:rsidP="009B57CE">
      <w:pPr>
        <w:spacing w:line="360" w:lineRule="auto"/>
        <w:jc w:val="both"/>
        <w:rPr>
          <w:rFonts w:ascii="GHEA Grapalat" w:eastAsia="GHEA Grapalat" w:hAnsi="GHEA Grapalat" w:cs="GHEA Grapalat"/>
          <w:noProof/>
          <w:sz w:val="22"/>
          <w:szCs w:val="22"/>
          <w:lang w:val="hy-AM"/>
        </w:rPr>
      </w:pPr>
      <w:r w:rsidRPr="006B3656">
        <w:rPr>
          <w:rFonts w:ascii="GHEA Grapalat" w:eastAsia="GHEA Grapalat" w:hAnsi="GHEA Grapalat" w:cs="GHEA Grapalat"/>
          <w:noProof/>
          <w:sz w:val="22"/>
          <w:szCs w:val="22"/>
        </w:rPr>
        <w:drawing>
          <wp:inline distT="0" distB="0" distL="0" distR="0" wp14:anchorId="01509AF6" wp14:editId="0C5578E2">
            <wp:extent cx="6648450" cy="2066290"/>
            <wp:effectExtent l="0" t="0" r="0" b="10160"/>
            <wp:docPr id="15"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57CE" w:rsidRPr="006B3656" w:rsidRDefault="009B57CE" w:rsidP="009B57CE">
      <w:pPr>
        <w:spacing w:after="120" w:line="360" w:lineRule="auto"/>
        <w:jc w:val="both"/>
        <w:rPr>
          <w:rFonts w:ascii="GHEA Grapalat" w:eastAsia="GHEA Grapalat" w:hAnsi="GHEA Grapalat" w:cs="GHEA Grapalat"/>
          <w:i/>
          <w:iCs/>
          <w:noProof/>
          <w:sz w:val="22"/>
          <w:szCs w:val="22"/>
          <w:lang w:val="hy-AM"/>
        </w:rPr>
      </w:pPr>
      <w:r w:rsidRPr="006B3656">
        <w:rPr>
          <w:rFonts w:ascii="GHEA Grapalat" w:eastAsia="GHEA Grapalat" w:hAnsi="GHEA Grapalat" w:cs="GHEA Grapalat"/>
          <w:i/>
          <w:iCs/>
          <w:noProof/>
          <w:color w:val="000000"/>
          <w:sz w:val="18"/>
          <w:szCs w:val="18"/>
          <w:lang w:val="hy-AM"/>
        </w:rPr>
        <w:t>Աղբյուրը՝ ՀՀ ԿԲ</w:t>
      </w:r>
    </w:p>
    <w:p w:rsidR="00297D06" w:rsidRPr="006B3656" w:rsidRDefault="00297D06" w:rsidP="009B57CE">
      <w:pPr>
        <w:spacing w:line="360" w:lineRule="auto"/>
        <w:ind w:firstLine="567"/>
        <w:jc w:val="both"/>
        <w:rPr>
          <w:rFonts w:ascii="GHEA Grapalat" w:eastAsia="GHEA Grapalat" w:hAnsi="GHEA Grapalat" w:cs="GHEA Grapalat"/>
          <w:sz w:val="22"/>
          <w:szCs w:val="22"/>
          <w:lang w:val="hy-AM"/>
        </w:rPr>
      </w:pPr>
    </w:p>
    <w:p w:rsidR="009B57CE" w:rsidRPr="006B3656" w:rsidRDefault="009B57CE" w:rsidP="009B57CE">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Միջին գնաճին դրական է նպաստել «Ծառայություններ» ապրանքախմբում արձանագրված 2.8% գների աճը (նպաստումը գնաճին` 0.9 տոկոսային կետ)՝ ինչը հիմնականում պայմանավորված է տրանսպորտային, բարձրագույն կրթության և հիվանդանոցային ծառայությունների դրական նպաստումներով: «Սննդամթերք և ոչ ալկոհոլային խմիչքներ» ապրանքախմբում արձանագրվել է </w:t>
      </w:r>
      <w:r w:rsidR="00FD4773" w:rsidRPr="006B3656">
        <w:rPr>
          <w:rFonts w:ascii="GHEA Grapalat" w:eastAsia="GHEA Grapalat" w:hAnsi="GHEA Grapalat" w:cs="GHEA Grapalat"/>
          <w:sz w:val="22"/>
          <w:szCs w:val="22"/>
          <w:lang w:val="hy-AM"/>
        </w:rPr>
        <w:noBreakHyphen/>
      </w:r>
      <w:r w:rsidRPr="006B3656">
        <w:rPr>
          <w:rFonts w:ascii="GHEA Grapalat" w:eastAsia="GHEA Grapalat" w:hAnsi="GHEA Grapalat" w:cs="GHEA Grapalat"/>
          <w:sz w:val="22"/>
          <w:szCs w:val="22"/>
          <w:lang w:val="hy-AM"/>
        </w:rPr>
        <w:t>4.4% միջին գնաճի ցուցանիշ (նպաստումը գնաճին՝ -1.8 տոկոսային կետ)` հիմնականում պայմանավորված առաջին անհրաժեշտության պարենային ապրանքների (հացաբուլկեղեն և ձավարեղեն, յուղեր և ճարպեր, բանջարեղեն) գնանկմամբ: «Ալկոհոլային խմիչքներ, ծխախոտային արտադրատեսակներ» խմբում արձանագրվել է 6.7% գնաճ (նպաստումը գնաճին` 0.3 տոկոսային կետ), իսկ «Ոչ պարենային ապրանքներ» խմբում արձանագրվել է 0.1% գնաճ (նպաստումը գնաճին` 0.02 տոկոսային կետ):</w:t>
      </w:r>
    </w:p>
    <w:p w:rsidR="00FD4773" w:rsidRPr="006B3656" w:rsidRDefault="00FD4773" w:rsidP="009B57CE">
      <w:pPr>
        <w:spacing w:line="360" w:lineRule="auto"/>
        <w:ind w:firstLine="567"/>
        <w:jc w:val="both"/>
        <w:rPr>
          <w:rFonts w:ascii="GHEA Grapalat" w:eastAsia="GHEA Grapalat" w:hAnsi="GHEA Grapalat" w:cs="GHEA Grapalat"/>
          <w:sz w:val="22"/>
          <w:szCs w:val="22"/>
          <w:lang w:val="hy-AM"/>
        </w:rPr>
      </w:pPr>
    </w:p>
    <w:p w:rsidR="00B95ECC" w:rsidRPr="006B3656" w:rsidRDefault="009B57CE"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Գնաճի նպաստումները խոշոր ապրանքախմբերով, 2020-2024թթ., տոկոսային</w:t>
      </w:r>
      <w:r w:rsidR="00B95ECC" w:rsidRPr="006B3656">
        <w:rPr>
          <w:lang w:val="hy-AM"/>
        </w:rPr>
        <w:t xml:space="preserve"> կետ</w:t>
      </w:r>
    </w:p>
    <w:p w:rsidR="009B57CE" w:rsidRPr="006B3656" w:rsidRDefault="009B57CE" w:rsidP="008A3FDC">
      <w:pPr>
        <w:pStyle w:val="a8"/>
        <w:rPr>
          <w:lang w:val="hy-AM" w:eastAsia="x-none"/>
        </w:rPr>
      </w:pPr>
      <w:r w:rsidRPr="006B3656">
        <w:drawing>
          <wp:inline distT="0" distB="0" distL="0" distR="0" wp14:anchorId="460B1B58" wp14:editId="3324C883">
            <wp:extent cx="3085106" cy="20066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B3656">
        <w:drawing>
          <wp:inline distT="0" distB="0" distL="0" distR="0" wp14:anchorId="252D1AF7" wp14:editId="4E70333F">
            <wp:extent cx="3108960" cy="20066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B3656">
        <w:drawing>
          <wp:inline distT="0" distB="0" distL="0" distR="0" wp14:anchorId="416AD699" wp14:editId="3AB775D6">
            <wp:extent cx="6402070" cy="498475"/>
            <wp:effectExtent l="0" t="0" r="17780" b="158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57CE" w:rsidRPr="006B3656" w:rsidRDefault="009B57CE" w:rsidP="009B57CE">
      <w:pPr>
        <w:spacing w:after="240"/>
        <w:rPr>
          <w:rFonts w:ascii="GHEA Grapalat" w:hAnsi="GHEA Grapalat" w:cs="Sylfaen"/>
          <w:b/>
          <w:i/>
          <w:iCs/>
          <w:noProof/>
          <w:sz w:val="22"/>
          <w:szCs w:val="22"/>
          <w:lang w:val="hy-AM" w:eastAsia="x-none"/>
        </w:rPr>
      </w:pPr>
      <w:r w:rsidRPr="006B3656">
        <w:rPr>
          <w:rFonts w:ascii="GHEA Grapalat" w:eastAsia="GHEA Grapalat" w:hAnsi="GHEA Grapalat" w:cs="GHEA Grapalat"/>
          <w:i/>
          <w:iCs/>
          <w:noProof/>
          <w:color w:val="000000"/>
          <w:sz w:val="18"/>
          <w:szCs w:val="18"/>
          <w:lang w:val="hy-AM"/>
        </w:rPr>
        <w:t>Աղբյուրը՝ ՀՀ ՎԿ և ՀՀ ՖՆ հաշվարկներ</w:t>
      </w:r>
    </w:p>
    <w:p w:rsidR="009B57CE" w:rsidRPr="006B3656" w:rsidRDefault="009B57CE" w:rsidP="004E44C7">
      <w:pPr>
        <w:spacing w:line="360" w:lineRule="auto"/>
        <w:ind w:firstLine="567"/>
        <w:jc w:val="both"/>
        <w:rPr>
          <w:rFonts w:ascii="GHEA Grapalat" w:hAnsi="GHEA Grapalat" w:cs="Sylfaen"/>
          <w:b/>
          <w:iCs/>
          <w:noProof/>
          <w:sz w:val="28"/>
          <w:szCs w:val="22"/>
          <w:lang w:val="hy-AM" w:eastAsia="x-none"/>
        </w:rPr>
      </w:pPr>
      <w:r w:rsidRPr="006B3656">
        <w:rPr>
          <w:rFonts w:ascii="GHEA Grapalat" w:eastAsia="GHEA Grapalat" w:hAnsi="GHEA Grapalat" w:cs="GHEA Grapalat"/>
          <w:iCs/>
          <w:noProof/>
          <w:color w:val="000000"/>
          <w:sz w:val="22"/>
          <w:szCs w:val="18"/>
          <w:lang w:val="hy-AM"/>
        </w:rPr>
        <w:t xml:space="preserve">2024 թվականի առաջին կիսամյակում ԿԲ-ը, արձագանքելով գնանկումային ճնշումներին, նվազեցրել է քաղաքականության տոկոսադրույքը 1.25 տոկոսային կետով՝ հունիսին սահմանելով այն 8%։ Դրամավարկային քաղաքականության տոկոսադրույքի նվազեցումը, պահպանվող գնանկումային միջավայրը և քաղաքականության հետագա մեղմացման սպասումները հանգեցրել են պետական պարտատոմսերի </w:t>
      </w:r>
      <w:r w:rsidRPr="006B3656">
        <w:rPr>
          <w:rFonts w:ascii="GHEA Grapalat" w:eastAsia="GHEA Grapalat" w:hAnsi="GHEA Grapalat" w:cs="GHEA Grapalat"/>
          <w:sz w:val="22"/>
          <w:szCs w:val="22"/>
          <w:lang w:val="hy-AM"/>
        </w:rPr>
        <w:t>տոկոսադրույքների</w:t>
      </w:r>
      <w:r w:rsidRPr="006B3656">
        <w:rPr>
          <w:rFonts w:ascii="GHEA Grapalat" w:eastAsia="GHEA Grapalat" w:hAnsi="GHEA Grapalat" w:cs="GHEA Grapalat"/>
          <w:iCs/>
          <w:noProof/>
          <w:color w:val="000000"/>
          <w:sz w:val="22"/>
          <w:szCs w:val="18"/>
          <w:lang w:val="hy-AM"/>
        </w:rPr>
        <w:t xml:space="preserve"> նվազմանը: Վարկերի և ավանդների տոկոսադրույքները, առավել կոշտ լինելով և առավելապես կրելով հիմնարար գործոնների ազդեցություները, նման ճշգրտումներ չեն գրանցել։ Այսպես, սպառողական և </w:t>
      </w:r>
      <w:r w:rsidR="00E00657" w:rsidRPr="006B3656">
        <w:rPr>
          <w:rFonts w:ascii="GHEA Grapalat" w:eastAsia="GHEA Grapalat" w:hAnsi="GHEA Grapalat" w:cs="GHEA Grapalat"/>
          <w:iCs/>
          <w:noProof/>
          <w:color w:val="000000"/>
          <w:sz w:val="22"/>
          <w:szCs w:val="18"/>
          <w:lang w:val="hy-AM"/>
        </w:rPr>
        <w:t>հիպոտեկ</w:t>
      </w:r>
      <w:r w:rsidRPr="006B3656">
        <w:rPr>
          <w:rFonts w:ascii="GHEA Grapalat" w:eastAsia="GHEA Grapalat" w:hAnsi="GHEA Grapalat" w:cs="GHEA Grapalat"/>
          <w:iCs/>
          <w:noProof/>
          <w:color w:val="000000"/>
          <w:sz w:val="22"/>
          <w:szCs w:val="18"/>
          <w:lang w:val="hy-AM"/>
        </w:rPr>
        <w:t>ային վարկերի տոկոսադրույքները վերջին շրջանում դիտված աճից հետո որոշակիորեն կայունացել են, մինչդեռ իրավաբանական անձանց վարկերի տոկոսադրույքները նախորդ տարվա նույն ժամանակահատվածի համեմատ՝ փոքր-ինչ աճել: Ավանդների տոկոսադրույքներ</w:t>
      </w:r>
      <w:r w:rsidR="00B95ECC" w:rsidRPr="00BE2DF1">
        <w:rPr>
          <w:rFonts w:ascii="GHEA Grapalat" w:eastAsia="GHEA Grapalat" w:hAnsi="GHEA Grapalat" w:cs="GHEA Grapalat"/>
          <w:iCs/>
          <w:noProof/>
          <w:color w:val="000000"/>
          <w:sz w:val="22"/>
          <w:szCs w:val="18"/>
          <w:lang w:val="hy-AM"/>
        </w:rPr>
        <w:t>ն</w:t>
      </w:r>
      <w:r w:rsidRPr="006B3656">
        <w:rPr>
          <w:rFonts w:ascii="GHEA Grapalat" w:eastAsia="GHEA Grapalat" w:hAnsi="GHEA Grapalat" w:cs="GHEA Grapalat"/>
          <w:iCs/>
          <w:noProof/>
          <w:color w:val="000000"/>
          <w:sz w:val="22"/>
          <w:szCs w:val="18"/>
          <w:lang w:val="hy-AM"/>
        </w:rPr>
        <w:t xml:space="preserve"> այդ ընթացքում էական փոփոխություններ չեն կրել։ </w:t>
      </w:r>
    </w:p>
    <w:p w:rsidR="009B57CE" w:rsidRPr="006B3656" w:rsidRDefault="009B57CE"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ՀՀ դրամով տոկոսադրույքների միտումները ՀՀ ֆինանսական շուկաներում, 2020-2024թթ.,</w:t>
      </w:r>
      <w:r w:rsidR="005E3D90" w:rsidRPr="006B3656">
        <w:rPr>
          <w:lang w:val="hy-AM"/>
        </w:rPr>
        <w:t xml:space="preserve"> </w:t>
      </w:r>
      <w:r w:rsidRPr="006B3656">
        <w:rPr>
          <w:lang w:val="hy-AM"/>
        </w:rPr>
        <w:t>%</w:t>
      </w:r>
    </w:p>
    <w:p w:rsidR="009B57CE" w:rsidRPr="006B3656" w:rsidRDefault="009B57CE" w:rsidP="009B57CE">
      <w:pPr>
        <w:spacing w:line="360" w:lineRule="auto"/>
        <w:rPr>
          <w:rFonts w:ascii="GHEA Grapalat" w:hAnsi="GHEA Grapalat" w:cs="GHEA Grapalat"/>
          <w:noProof/>
          <w:sz w:val="22"/>
          <w:szCs w:val="22"/>
          <w:lang w:val="hy-AM"/>
        </w:rPr>
      </w:pPr>
      <w:r w:rsidRPr="006B3656">
        <w:rPr>
          <w:rFonts w:ascii="GHEA Grapalat" w:hAnsi="GHEA Grapalat" w:cs="GHEA Grapalat"/>
          <w:noProof/>
          <w:sz w:val="22"/>
          <w:szCs w:val="22"/>
        </w:rPr>
        <w:drawing>
          <wp:inline distT="0" distB="0" distL="0" distR="0" wp14:anchorId="2B306CCF" wp14:editId="7BCB0169">
            <wp:extent cx="6300216" cy="2606040"/>
            <wp:effectExtent l="0" t="0" r="5715"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57CE" w:rsidRPr="006B3656" w:rsidRDefault="009B57CE" w:rsidP="009B57CE">
      <w:pPr>
        <w:spacing w:after="120" w:line="360" w:lineRule="auto"/>
        <w:rPr>
          <w:rFonts w:ascii="GHEA Grapalat" w:hAnsi="GHEA Grapalat" w:cs="GHEA Grapalat"/>
          <w:i/>
          <w:iCs/>
          <w:noProof/>
          <w:sz w:val="22"/>
          <w:szCs w:val="22"/>
          <w:lang w:val="hy-AM"/>
        </w:rPr>
      </w:pPr>
      <w:r w:rsidRPr="006B3656">
        <w:rPr>
          <w:rFonts w:ascii="GHEA Grapalat" w:hAnsi="GHEA Grapalat"/>
          <w:i/>
          <w:iCs/>
          <w:noProof/>
          <w:sz w:val="18"/>
          <w:szCs w:val="18"/>
          <w:lang w:val="hy-AM"/>
        </w:rPr>
        <w:t>Աղբյուրը՝ ՀՀ ԿԲ</w:t>
      </w:r>
    </w:p>
    <w:p w:rsidR="004577F0" w:rsidRPr="006B3656" w:rsidRDefault="004577F0" w:rsidP="003A0D6B">
      <w:pPr>
        <w:spacing w:line="360" w:lineRule="auto"/>
        <w:ind w:firstLine="567"/>
        <w:jc w:val="both"/>
        <w:rPr>
          <w:rFonts w:ascii="GHEA Grapalat" w:hAnsi="GHEA Grapalat" w:cs="GHEA Grapalat"/>
          <w:sz w:val="22"/>
          <w:szCs w:val="22"/>
          <w:lang w:val="hy-AM"/>
        </w:rPr>
      </w:pPr>
    </w:p>
    <w:p w:rsidR="00563135" w:rsidRPr="006B3656" w:rsidRDefault="00563135" w:rsidP="00563135">
      <w:pPr>
        <w:pStyle w:val="Heading6"/>
        <w:ind w:left="567"/>
        <w:rPr>
          <w:rFonts w:ascii="GHEA Grapalat" w:hAnsi="GHEA Grapalat"/>
          <w:b/>
          <w:sz w:val="22"/>
          <w:szCs w:val="22"/>
          <w:u w:val="none"/>
        </w:rPr>
      </w:pPr>
      <w:bookmarkStart w:id="28" w:name="_Toc71311885"/>
      <w:r w:rsidRPr="006B3656">
        <w:rPr>
          <w:rFonts w:ascii="GHEA Grapalat" w:hAnsi="GHEA Grapalat"/>
          <w:b/>
          <w:sz w:val="22"/>
          <w:szCs w:val="22"/>
          <w:u w:val="none"/>
        </w:rPr>
        <w:t>Արտաքին առևտուր</w:t>
      </w:r>
      <w:bookmarkEnd w:id="28"/>
      <w:r w:rsidR="00D87203" w:rsidRPr="006B3656">
        <w:rPr>
          <w:rFonts w:ascii="GHEA Grapalat" w:hAnsi="GHEA Grapalat"/>
          <w:b/>
          <w:sz w:val="22"/>
          <w:szCs w:val="22"/>
          <w:u w:val="none"/>
        </w:rPr>
        <w:t xml:space="preserve"> և զբոսաշրջություն</w:t>
      </w:r>
    </w:p>
    <w:p w:rsidR="00EC7354" w:rsidRPr="006B3656" w:rsidRDefault="00EC7354" w:rsidP="004E44C7">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b/>
          <w:i/>
          <w:sz w:val="22"/>
          <w:szCs w:val="22"/>
          <w:lang w:val="hy-AM"/>
        </w:rPr>
        <w:t>Արտաքին առևտուր</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
          <w:i/>
          <w:sz w:val="22"/>
          <w:szCs w:val="22"/>
          <w:lang w:val="hy-AM"/>
        </w:rPr>
        <w:t>(դոլարային արտահայտությամբ)</w:t>
      </w:r>
      <w:r w:rsidRPr="006B3656">
        <w:rPr>
          <w:rFonts w:ascii="GHEA Grapalat" w:eastAsia="GHEA Grapalat" w:hAnsi="GHEA Grapalat" w:cs="GHEA Grapalat"/>
          <w:b/>
          <w:i/>
          <w:sz w:val="22"/>
          <w:szCs w:val="22"/>
          <w:vertAlign w:val="superscript"/>
          <w:lang w:val="hy-AM"/>
        </w:rPr>
        <w:footnoteReference w:id="17"/>
      </w:r>
      <w:r w:rsidRPr="006B3656">
        <w:rPr>
          <w:rFonts w:ascii="GHEA Grapalat" w:eastAsia="GHEA Grapalat" w:hAnsi="GHEA Grapalat" w:cs="GHEA Grapalat"/>
          <w:b/>
          <w:i/>
          <w:sz w:val="22"/>
          <w:szCs w:val="22"/>
          <w:lang w:val="hy-AM"/>
        </w:rPr>
        <w:t>:</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iCs/>
          <w:noProof/>
          <w:color w:val="000000"/>
          <w:sz w:val="22"/>
          <w:szCs w:val="18"/>
          <w:lang w:val="hy-AM"/>
        </w:rPr>
        <w:t xml:space="preserve">2024 թվականի </w:t>
      </w:r>
      <w:bookmarkStart w:id="29" w:name="_Hlk165886058"/>
      <w:r w:rsidRPr="006B3656">
        <w:rPr>
          <w:rFonts w:ascii="GHEA Grapalat" w:eastAsia="GHEA Grapalat" w:hAnsi="GHEA Grapalat" w:cs="GHEA Grapalat"/>
          <w:iCs/>
          <w:noProof/>
          <w:color w:val="000000"/>
          <w:sz w:val="22"/>
          <w:szCs w:val="18"/>
          <w:lang w:val="hy-AM"/>
        </w:rPr>
        <w:t xml:space="preserve">առաջին </w:t>
      </w:r>
      <w:bookmarkEnd w:id="29"/>
      <w:r w:rsidRPr="006B3656">
        <w:rPr>
          <w:rFonts w:ascii="GHEA Grapalat" w:eastAsia="GHEA Grapalat" w:hAnsi="GHEA Grapalat" w:cs="GHEA Grapalat"/>
          <w:iCs/>
          <w:noProof/>
          <w:color w:val="000000"/>
          <w:sz w:val="22"/>
          <w:szCs w:val="18"/>
          <w:lang w:val="hy-AM"/>
        </w:rPr>
        <w:t xml:space="preserve">կիսամյակում գրանցվել է արտաքին ապրանքաշրջանառության եռանիշ աճ՝ հիմնականում պայմանավորված վերաարտահանման բարձր ծավալներով։ Արտաքին ապրանքաշրջանառությունը 2024 թվականի առաջին կիսամյակում կազմել է 18407.3 մլն ԱՄՆ դոլար` նախորդ տարվա նույն ժամանակահատվածի նկատմամբ </w:t>
      </w:r>
      <w:r w:rsidRPr="006B3656">
        <w:rPr>
          <w:rFonts w:ascii="GHEA Grapalat" w:eastAsia="GHEA Grapalat" w:hAnsi="GHEA Grapalat" w:cs="GHEA Grapalat"/>
          <w:sz w:val="22"/>
          <w:szCs w:val="22"/>
          <w:lang w:val="hy-AM"/>
        </w:rPr>
        <w:t>աճելով</w:t>
      </w:r>
      <w:r w:rsidRPr="006B3656">
        <w:rPr>
          <w:rFonts w:ascii="GHEA Grapalat" w:eastAsia="GHEA Grapalat" w:hAnsi="GHEA Grapalat" w:cs="GHEA Grapalat"/>
          <w:iCs/>
          <w:noProof/>
          <w:color w:val="000000"/>
          <w:sz w:val="22"/>
          <w:szCs w:val="18"/>
          <w:lang w:val="hy-AM"/>
        </w:rPr>
        <w:t xml:space="preserve"> 2 անգամ։ Հաշվետու ժամանակահատվածում արձանագրվել են դոլարային արտահայտությամբ արտահանման և ներմուծման բարձր աճի տեմպեր. արտահանումն աճել է 2.3 անգամ` կազմելով 7927.6 մլն ԱՄՆ դոլար, իսկ ներմուծումը` 86.5%-ով՝ կազմելով 10479.7 մլն ԱՄՆ դոլար: 2024 թվականի առաջին կիսամյակում ապրանքների գծով արտաքին առևտրի բացասական մնացորդը, պայմանավորված ներմուծման մեծ ծավալներով</w:t>
      </w:r>
      <w:r w:rsidR="00F443C7" w:rsidRPr="00F371F3">
        <w:rPr>
          <w:rFonts w:ascii="GHEA Grapalat" w:eastAsia="GHEA Grapalat" w:hAnsi="GHEA Grapalat" w:cs="GHEA Grapalat"/>
          <w:iCs/>
          <w:noProof/>
          <w:color w:val="000000"/>
          <w:sz w:val="22"/>
          <w:szCs w:val="18"/>
          <w:lang w:val="hy-AM"/>
        </w:rPr>
        <w:t>,</w:t>
      </w:r>
      <w:r w:rsidRPr="006B3656">
        <w:rPr>
          <w:rFonts w:ascii="GHEA Grapalat" w:eastAsia="GHEA Grapalat" w:hAnsi="GHEA Grapalat" w:cs="GHEA Grapalat"/>
          <w:iCs/>
          <w:noProof/>
          <w:color w:val="000000"/>
          <w:sz w:val="22"/>
          <w:szCs w:val="18"/>
          <w:lang w:val="hy-AM"/>
        </w:rPr>
        <w:t xml:space="preserve"> նախորդ տարվա նկատմամբ վատթարացել է 14.1%-ով և կազմել -2552.2 մլն ԱՄՆ դոլար:</w:t>
      </w:r>
    </w:p>
    <w:p w:rsidR="00EC7354" w:rsidRPr="006B3656" w:rsidRDefault="00EC735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Առևտրային հաշվեկշռի դինամիկան հունվար-մարտ ամիսներին (մլն ԱՄՆ դոլար)</w:t>
      </w:r>
      <w:r w:rsidRPr="006B3656">
        <w:rPr>
          <w:vertAlign w:val="superscript"/>
          <w:lang w:val="hy-AM"/>
        </w:rPr>
        <w:footnoteReference w:id="18"/>
      </w:r>
    </w:p>
    <w:p w:rsidR="00EC7354" w:rsidRPr="006B3656" w:rsidRDefault="00EC7354" w:rsidP="00EC7354">
      <w:pPr>
        <w:keepNext/>
        <w:spacing w:line="336" w:lineRule="auto"/>
        <w:jc w:val="center"/>
        <w:rPr>
          <w:rFonts w:ascii="GHEA Grapalat" w:eastAsia="GHEA Grapalat" w:hAnsi="GHEA Grapalat" w:cs="GHEA Grapalat"/>
          <w:sz w:val="22"/>
          <w:szCs w:val="22"/>
          <w:lang w:val="hy-AM"/>
        </w:rPr>
      </w:pPr>
      <w:r w:rsidRPr="006B3656">
        <w:rPr>
          <w:rFonts w:ascii="GHEA Grapalat" w:hAnsi="GHEA Grapalat"/>
          <w:noProof/>
        </w:rPr>
        <w:drawing>
          <wp:inline distT="0" distB="0" distL="0" distR="0" wp14:anchorId="36020C89" wp14:editId="07A7B31F">
            <wp:extent cx="6515100" cy="2385060"/>
            <wp:effectExtent l="0" t="0" r="0" b="1524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43C7" w:rsidRPr="006B3656" w:rsidRDefault="00F443C7" w:rsidP="004E44C7">
      <w:pPr>
        <w:spacing w:line="360" w:lineRule="auto"/>
        <w:ind w:firstLine="567"/>
        <w:jc w:val="both"/>
        <w:rPr>
          <w:rFonts w:ascii="GHEA Grapalat" w:eastAsia="GHEA Grapalat" w:hAnsi="GHEA Grapalat" w:cs="GHEA Grapalat"/>
          <w:iCs/>
          <w:noProof/>
          <w:color w:val="000000"/>
          <w:sz w:val="22"/>
          <w:szCs w:val="18"/>
          <w:lang w:val="hy-AM"/>
        </w:rPr>
      </w:pPr>
    </w:p>
    <w:p w:rsidR="00EC7354" w:rsidRPr="006B3656" w:rsidRDefault="00EC7354" w:rsidP="004E44C7">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b/>
          <w:i/>
          <w:sz w:val="22"/>
          <w:szCs w:val="22"/>
          <w:lang w:val="hy-AM"/>
        </w:rPr>
        <w:t>Արտահանում:</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GHEA Grapalat"/>
          <w:iCs/>
          <w:noProof/>
          <w:color w:val="000000"/>
          <w:sz w:val="22"/>
          <w:szCs w:val="18"/>
          <w:lang w:val="hy-AM"/>
        </w:rPr>
        <w:t>2024 թվականի առաջին կիսամյակում</w:t>
      </w:r>
      <w:r w:rsidR="00837E26" w:rsidRPr="006B3656">
        <w:rPr>
          <w:rFonts w:ascii="GHEA Grapalat" w:eastAsia="GHEA Grapalat" w:hAnsi="GHEA Grapalat" w:cs="GHEA Grapalat"/>
          <w:iCs/>
          <w:noProof/>
          <w:color w:val="000000"/>
          <w:sz w:val="22"/>
          <w:szCs w:val="18"/>
          <w:lang w:val="hy-AM"/>
        </w:rPr>
        <w:t xml:space="preserve"> </w:t>
      </w:r>
      <w:r w:rsidRPr="006B3656">
        <w:rPr>
          <w:rFonts w:ascii="GHEA Grapalat" w:eastAsia="GHEA Grapalat" w:hAnsi="GHEA Grapalat" w:cs="GHEA Grapalat"/>
          <w:iCs/>
          <w:noProof/>
          <w:color w:val="000000"/>
          <w:sz w:val="22"/>
          <w:szCs w:val="18"/>
          <w:lang w:val="hy-AM"/>
        </w:rPr>
        <w:t>ապրանքների արտահանումն աճել է 2.3 անգամ՝ հիմնականում պայմանավորված վերաարտահանման (հատկապես՝ ԱՄԷ) բարձր ծավալներով։ Սակայն հատկանշական է այն հանգամանքը, որ վերջին 2 ամիսներին արտահանման աճի տեմպերը կտրուկ դանդաղել են՝ հիմնականում պայմանավորված ոսկու վերաարտահանման ծավալների կտրուկ կրճատմամբ: Արտահանման իրական ծավալների աճը նույն ժամանակահատվածում կազմել է շուրջ 142%: Արտահանման աճին ամենամեծ դրական նպաստումն է ունեցել «Թանկարժեք և կիսաթանկարժեք քարեր, թանկարժեք մետաղներ և դրանցից իրեր» (146.4 տոկոսային կետ) ապրանքախումբը (հիմնականում՝ «ոսկի անմշակ կամ կիսամշակ, փոշի» և «ոսկերչական իրեր» ապրանքախմբերը): Արտահանման աճին դրական նպաստում են ունեցել նաև «Հանքահումքային արտադրանք» (2.3 տոկոսային կետով) և «Բուսական ծագման արտադրանք» (0.4 տոկոսային կետով) ապրանքախմբերը և այլն։ Ամենամեծ բացասական նպաստումն են ունեցել է «Տրանսպորտային միջոցներ» (9.2 տոկոսային կետով), «Ոչ թանկարժեք մետաղներ և դրանցից</w:t>
      </w:r>
      <w:r w:rsidR="006076B9" w:rsidRPr="00BE2DF1">
        <w:rPr>
          <w:rFonts w:ascii="GHEA Grapalat" w:eastAsia="GHEA Grapalat" w:hAnsi="GHEA Grapalat" w:cs="GHEA Grapalat"/>
          <w:iCs/>
          <w:noProof/>
          <w:color w:val="000000"/>
          <w:sz w:val="22"/>
          <w:szCs w:val="18"/>
          <w:lang w:val="hy-AM"/>
        </w:rPr>
        <w:t xml:space="preserve"> պատրաստված իրեր</w:t>
      </w:r>
      <w:r w:rsidRPr="006B3656">
        <w:rPr>
          <w:rFonts w:ascii="GHEA Grapalat" w:eastAsia="GHEA Grapalat" w:hAnsi="GHEA Grapalat" w:cs="GHEA Grapalat"/>
          <w:iCs/>
          <w:noProof/>
          <w:color w:val="000000"/>
          <w:sz w:val="22"/>
          <w:szCs w:val="18"/>
          <w:lang w:val="hy-AM"/>
        </w:rPr>
        <w:t>» (3.4 տոկոսային կետ</w:t>
      </w:r>
      <w:r w:rsidR="006076B9" w:rsidRPr="006B3656">
        <w:rPr>
          <w:rFonts w:ascii="GHEA Grapalat" w:eastAsia="GHEA Grapalat" w:hAnsi="GHEA Grapalat" w:cs="GHEA Grapalat"/>
          <w:iCs/>
          <w:noProof/>
          <w:color w:val="000000"/>
          <w:sz w:val="22"/>
          <w:szCs w:val="18"/>
          <w:lang w:val="hy-AM"/>
        </w:rPr>
        <w:t>)</w:t>
      </w:r>
      <w:r w:rsidR="00837E26" w:rsidRPr="006B3656">
        <w:rPr>
          <w:rFonts w:ascii="GHEA Grapalat" w:eastAsia="GHEA Grapalat" w:hAnsi="GHEA Grapalat" w:cs="GHEA Grapalat"/>
          <w:iCs/>
          <w:noProof/>
          <w:color w:val="000000"/>
          <w:sz w:val="22"/>
          <w:szCs w:val="18"/>
          <w:lang w:val="hy-AM"/>
        </w:rPr>
        <w:t xml:space="preserve"> </w:t>
      </w:r>
      <w:r w:rsidRPr="006B3656">
        <w:rPr>
          <w:rFonts w:ascii="GHEA Grapalat" w:eastAsia="GHEA Grapalat" w:hAnsi="GHEA Grapalat" w:cs="GHEA Grapalat"/>
          <w:iCs/>
          <w:noProof/>
          <w:color w:val="000000"/>
          <w:sz w:val="22"/>
          <w:szCs w:val="18"/>
          <w:lang w:val="hy-AM"/>
        </w:rPr>
        <w:t xml:space="preserve">ապրանքախմբերը: </w:t>
      </w:r>
    </w:p>
    <w:p w:rsidR="00C815EF" w:rsidRPr="006B3656" w:rsidRDefault="00C815EF" w:rsidP="004E44C7">
      <w:pPr>
        <w:spacing w:line="360" w:lineRule="auto"/>
        <w:ind w:firstLine="567"/>
        <w:jc w:val="both"/>
        <w:rPr>
          <w:rFonts w:ascii="GHEA Grapalat" w:eastAsia="GHEA Grapalat" w:hAnsi="GHEA Grapalat" w:cs="GHEA Grapalat"/>
          <w:iCs/>
          <w:noProof/>
          <w:color w:val="000000"/>
          <w:sz w:val="22"/>
          <w:szCs w:val="18"/>
          <w:lang w:val="hy-AM"/>
        </w:rPr>
      </w:pPr>
    </w:p>
    <w:p w:rsidR="00EC7354" w:rsidRPr="006B3656" w:rsidRDefault="00EC735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Ապրանքների արտահանման ամսական միտումները 2024 թվականի հունվար-հունիս ամիսներին</w:t>
      </w:r>
    </w:p>
    <w:p w:rsidR="00EC7354" w:rsidRPr="006B3656" w:rsidRDefault="00EC7354" w:rsidP="00EC7354">
      <w:pPr>
        <w:keepNext/>
        <w:spacing w:after="120" w:line="276" w:lineRule="auto"/>
        <w:ind w:right="-284"/>
        <w:rPr>
          <w:rFonts w:ascii="GHEA Grapalat" w:eastAsia="GHEA Grapalat" w:hAnsi="GHEA Grapalat" w:cs="GHEA Grapalat"/>
          <w:i/>
          <w:color w:val="000000"/>
          <w:sz w:val="18"/>
          <w:szCs w:val="18"/>
          <w:lang w:val="hy-AM"/>
        </w:rPr>
      </w:pPr>
      <w:r w:rsidRPr="006B3656">
        <w:rPr>
          <w:rFonts w:ascii="GHEA Grapalat" w:eastAsia="GHEA Grapalat" w:hAnsi="GHEA Grapalat" w:cs="GHEA Grapalat"/>
          <w:i/>
          <w:color w:val="000000"/>
          <w:sz w:val="18"/>
          <w:szCs w:val="18"/>
          <w:lang w:val="hy-AM"/>
        </w:rPr>
        <w:t xml:space="preserve"> </w:t>
      </w:r>
      <w:r w:rsidRPr="006B3656">
        <w:rPr>
          <w:rFonts w:ascii="GHEA Grapalat" w:hAnsi="GHEA Grapalat"/>
          <w:noProof/>
          <w:sz w:val="22"/>
          <w:szCs w:val="22"/>
        </w:rPr>
        <w:drawing>
          <wp:inline distT="0" distB="0" distL="0" distR="0" wp14:anchorId="478F6D73" wp14:editId="6466AFAA">
            <wp:extent cx="3276000" cy="2232000"/>
            <wp:effectExtent l="0" t="0" r="635" b="165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B3656">
        <w:rPr>
          <w:rFonts w:ascii="GHEA Grapalat" w:eastAsia="GHEA Grapalat" w:hAnsi="GHEA Grapalat" w:cs="GHEA Grapalat"/>
          <w:i/>
          <w:color w:val="000000"/>
          <w:sz w:val="18"/>
          <w:szCs w:val="18"/>
          <w:lang w:val="hy-AM"/>
        </w:rPr>
        <w:t xml:space="preserve"> </w:t>
      </w:r>
      <w:r w:rsidRPr="006B3656">
        <w:rPr>
          <w:rFonts w:ascii="GHEA Grapalat" w:eastAsia="Calibri" w:hAnsi="GHEA Grapalat"/>
          <w:i/>
          <w:noProof/>
          <w:sz w:val="22"/>
          <w:szCs w:val="22"/>
        </w:rPr>
        <w:drawing>
          <wp:inline distT="0" distB="0" distL="0" distR="0" wp14:anchorId="526DF342" wp14:editId="5F1A1765">
            <wp:extent cx="3276000" cy="2235600"/>
            <wp:effectExtent l="0" t="0" r="635"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7354" w:rsidRPr="006B3656" w:rsidRDefault="00EC7354" w:rsidP="00EC7354">
      <w:pPr>
        <w:keepNext/>
        <w:spacing w:after="120" w:line="276" w:lineRule="auto"/>
        <w:ind w:right="-284"/>
        <w:rPr>
          <w:rFonts w:ascii="GHEA Grapalat" w:eastAsia="GHEA Grapalat" w:hAnsi="GHEA Grapalat" w:cs="GHEA Grapalat"/>
          <w:b/>
          <w:i/>
          <w:sz w:val="22"/>
          <w:szCs w:val="22"/>
          <w:lang w:val="hy-AM"/>
        </w:rPr>
      </w:pPr>
      <w:r w:rsidRPr="006B3656">
        <w:rPr>
          <w:rFonts w:ascii="GHEA Grapalat" w:eastAsia="GHEA Grapalat" w:hAnsi="GHEA Grapalat" w:cs="GHEA Grapalat"/>
          <w:i/>
          <w:color w:val="000000"/>
          <w:sz w:val="18"/>
          <w:szCs w:val="18"/>
          <w:lang w:val="hy-AM"/>
        </w:rPr>
        <w:t>Աղբյուրը՝ ՀՀ</w:t>
      </w:r>
      <w:r w:rsidR="00837E26" w:rsidRPr="006B3656">
        <w:rPr>
          <w:rFonts w:ascii="GHEA Grapalat" w:eastAsia="GHEA Grapalat" w:hAnsi="GHEA Grapalat" w:cs="GHEA Grapalat"/>
          <w:i/>
          <w:color w:val="000000"/>
          <w:sz w:val="18"/>
          <w:szCs w:val="18"/>
          <w:lang w:val="hy-AM"/>
        </w:rPr>
        <w:t xml:space="preserve"> </w:t>
      </w:r>
      <w:r w:rsidRPr="006B3656">
        <w:rPr>
          <w:rFonts w:ascii="GHEA Grapalat" w:eastAsia="GHEA Grapalat" w:hAnsi="GHEA Grapalat" w:cs="GHEA Grapalat"/>
          <w:i/>
          <w:color w:val="000000"/>
          <w:sz w:val="18"/>
          <w:szCs w:val="18"/>
          <w:lang w:val="hy-AM"/>
        </w:rPr>
        <w:t>ՎԿ և ՀՀ ՖՆ հաշվարկներ</w:t>
      </w:r>
    </w:p>
    <w:p w:rsidR="005B4C7B" w:rsidRPr="006B3656" w:rsidRDefault="005B4C7B" w:rsidP="004E44C7">
      <w:pPr>
        <w:spacing w:line="360" w:lineRule="auto"/>
        <w:ind w:firstLine="567"/>
        <w:jc w:val="both"/>
        <w:rPr>
          <w:rFonts w:ascii="GHEA Grapalat" w:eastAsia="GHEA Grapalat" w:hAnsi="GHEA Grapalat" w:cs="GHEA Grapalat"/>
          <w:iCs/>
          <w:noProof/>
          <w:color w:val="000000"/>
          <w:sz w:val="22"/>
          <w:szCs w:val="18"/>
          <w:lang w:val="hy-AM"/>
        </w:rPr>
      </w:pPr>
    </w:p>
    <w:p w:rsidR="00EC7354" w:rsidRPr="006B3656" w:rsidRDefault="00EC7354" w:rsidP="004E44C7">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b/>
          <w:i/>
          <w:sz w:val="22"/>
          <w:szCs w:val="22"/>
          <w:lang w:val="hy-AM"/>
        </w:rPr>
        <w:t>Ներմուծում:</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iCs/>
          <w:noProof/>
          <w:color w:val="000000"/>
          <w:sz w:val="22"/>
          <w:szCs w:val="18"/>
          <w:lang w:val="hy-AM"/>
        </w:rPr>
        <w:t>2024 թվականի առաջին կիսամյակում արձանագրվել է ներմուծման երկնիշ աճ՝ հիմնականում պայմանավորված վերաարտահանման նպատակով իրականացված ներմուծմամբ: Սակայն</w:t>
      </w:r>
      <w:r w:rsidR="00837E26" w:rsidRPr="006B3656">
        <w:rPr>
          <w:rFonts w:ascii="GHEA Grapalat" w:eastAsia="GHEA Grapalat" w:hAnsi="GHEA Grapalat" w:cs="GHEA Grapalat"/>
          <w:iCs/>
          <w:noProof/>
          <w:color w:val="000000"/>
          <w:sz w:val="22"/>
          <w:szCs w:val="18"/>
          <w:lang w:val="hy-AM"/>
        </w:rPr>
        <w:t xml:space="preserve"> </w:t>
      </w:r>
      <w:r w:rsidRPr="006B3656">
        <w:rPr>
          <w:rFonts w:ascii="GHEA Grapalat" w:eastAsia="GHEA Grapalat" w:hAnsi="GHEA Grapalat" w:cs="GHEA Grapalat"/>
          <w:iCs/>
          <w:noProof/>
          <w:color w:val="000000"/>
          <w:sz w:val="22"/>
          <w:szCs w:val="18"/>
          <w:lang w:val="hy-AM"/>
        </w:rPr>
        <w:t>վերաարտահանման նվազման հետևանքով կիսամյակի վերջին 2 ամիսներին արձանագրվել է ներմուծման աճի տեմպերի կտրուկ դանդաղում: 2024 թվականի առաջին կիսամյակում դոլարային արտահայտությամբ ապրանքների ներմուծման ծավալ</w:t>
      </w:r>
      <w:r w:rsidR="00415C34" w:rsidRPr="00F371F3">
        <w:rPr>
          <w:rFonts w:ascii="GHEA Grapalat" w:eastAsia="GHEA Grapalat" w:hAnsi="GHEA Grapalat" w:cs="GHEA Grapalat"/>
          <w:iCs/>
          <w:noProof/>
          <w:color w:val="000000"/>
          <w:sz w:val="22"/>
          <w:szCs w:val="18"/>
          <w:lang w:val="hy-AM"/>
        </w:rPr>
        <w:t>ն</w:t>
      </w:r>
      <w:r w:rsidRPr="006B3656">
        <w:rPr>
          <w:rFonts w:ascii="GHEA Grapalat" w:eastAsia="GHEA Grapalat" w:hAnsi="GHEA Grapalat" w:cs="GHEA Grapalat"/>
          <w:iCs/>
          <w:noProof/>
          <w:color w:val="000000"/>
          <w:sz w:val="22"/>
          <w:szCs w:val="18"/>
          <w:lang w:val="hy-AM"/>
        </w:rPr>
        <w:t xml:space="preserve"> աճել է 86.5%-ով՝ կազմելով 10497.7 մլն դոլար: Ընդ որում՝ գրանցվել է իրական ծավալների շուրջ 86.5% աճ, իսկ ներմուծվող ապրանքների գների աճը կազմել է 1.6%:</w:t>
      </w:r>
    </w:p>
    <w:p w:rsidR="00EC7354" w:rsidRPr="006B3656" w:rsidRDefault="00EC7354" w:rsidP="007A6E34">
      <w:pPr>
        <w:spacing w:line="360" w:lineRule="auto"/>
        <w:ind w:firstLine="567"/>
        <w:jc w:val="both"/>
        <w:rPr>
          <w:rFonts w:ascii="GHEA Grapalat" w:eastAsia="GHEA Grapalat" w:hAnsi="GHEA Grapalat" w:cs="GHEA Grapalat"/>
          <w:iCs/>
          <w:noProof/>
          <w:color w:val="000000"/>
          <w:sz w:val="22"/>
          <w:szCs w:val="18"/>
          <w:lang w:val="hy-AM"/>
        </w:rPr>
      </w:pPr>
    </w:p>
    <w:p w:rsidR="00EC7354" w:rsidRPr="006B3656" w:rsidRDefault="00EC735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Ապրանքների ներմուծման ամսական միտումները 2024 թվականի հունվար-հունիս ամիսներին</w:t>
      </w:r>
    </w:p>
    <w:p w:rsidR="00EC7354" w:rsidRPr="006B3656" w:rsidRDefault="00EC7354" w:rsidP="00EC7354">
      <w:pPr>
        <w:spacing w:line="276" w:lineRule="auto"/>
        <w:jc w:val="both"/>
        <w:rPr>
          <w:rFonts w:ascii="GHEA Grapalat" w:eastAsia="GHEA Grapalat" w:hAnsi="GHEA Grapalat" w:cs="GHEA Grapalat"/>
          <w:b/>
          <w:i/>
          <w:iCs/>
          <w:sz w:val="22"/>
          <w:szCs w:val="22"/>
          <w:lang w:val="hy-AM"/>
        </w:rPr>
      </w:pPr>
      <w:r w:rsidRPr="006B3656">
        <w:rPr>
          <w:rFonts w:ascii="GHEA Grapalat" w:hAnsi="GHEA Grapalat"/>
          <w:noProof/>
          <w:sz w:val="22"/>
          <w:szCs w:val="22"/>
        </w:rPr>
        <w:drawing>
          <wp:inline distT="0" distB="0" distL="0" distR="0" wp14:anchorId="07007787" wp14:editId="37F636DB">
            <wp:extent cx="3204375" cy="223139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B3656">
        <w:rPr>
          <w:rFonts w:ascii="GHEA Grapalat" w:eastAsia="GHEA Grapalat" w:hAnsi="GHEA Grapalat" w:cs="GHEA Grapalat"/>
          <w:b/>
          <w:i/>
          <w:iCs/>
          <w:sz w:val="22"/>
          <w:szCs w:val="22"/>
          <w:lang w:val="hy-AM"/>
        </w:rPr>
        <w:t xml:space="preserve"> </w:t>
      </w:r>
      <w:r w:rsidRPr="006B3656">
        <w:rPr>
          <w:rFonts w:ascii="GHEA Grapalat" w:eastAsia="Calibri" w:hAnsi="GHEA Grapalat"/>
          <w:i/>
          <w:noProof/>
          <w:sz w:val="22"/>
          <w:szCs w:val="22"/>
        </w:rPr>
        <w:drawing>
          <wp:inline distT="0" distB="0" distL="0" distR="0" wp14:anchorId="7BA34DF7" wp14:editId="42F2F7D6">
            <wp:extent cx="3212327" cy="223139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7354" w:rsidRPr="006B3656" w:rsidRDefault="00EC7354" w:rsidP="00EC7354">
      <w:pPr>
        <w:spacing w:before="120" w:line="360" w:lineRule="auto"/>
        <w:rPr>
          <w:rFonts w:ascii="GHEA Grapalat" w:eastAsia="GHEA Grapalat" w:hAnsi="GHEA Grapalat" w:cs="GHEA Grapalat"/>
          <w:sz w:val="22"/>
          <w:szCs w:val="22"/>
          <w:lang w:val="hy-AM"/>
        </w:rPr>
      </w:pPr>
      <w:r w:rsidRPr="006B3656">
        <w:rPr>
          <w:rFonts w:ascii="GHEA Grapalat" w:eastAsia="GHEA Grapalat" w:hAnsi="GHEA Grapalat" w:cs="GHEA Grapalat"/>
          <w:i/>
          <w:color w:val="000000"/>
          <w:sz w:val="18"/>
          <w:szCs w:val="18"/>
          <w:lang w:val="hy-AM"/>
        </w:rPr>
        <w:t>Աղբյուրը՝ ՀՀ</w:t>
      </w:r>
      <w:r w:rsidR="00837E26" w:rsidRPr="006B3656">
        <w:rPr>
          <w:rFonts w:ascii="GHEA Grapalat" w:eastAsia="GHEA Grapalat" w:hAnsi="GHEA Grapalat" w:cs="GHEA Grapalat"/>
          <w:i/>
          <w:color w:val="000000"/>
          <w:sz w:val="18"/>
          <w:szCs w:val="18"/>
          <w:lang w:val="hy-AM"/>
        </w:rPr>
        <w:t xml:space="preserve"> </w:t>
      </w:r>
      <w:r w:rsidRPr="006B3656">
        <w:rPr>
          <w:rFonts w:ascii="GHEA Grapalat" w:eastAsia="GHEA Grapalat" w:hAnsi="GHEA Grapalat" w:cs="GHEA Grapalat"/>
          <w:i/>
          <w:color w:val="000000"/>
          <w:sz w:val="18"/>
          <w:szCs w:val="18"/>
          <w:lang w:val="hy-AM"/>
        </w:rPr>
        <w:t>ՎԿ և ՀՀ ՖՆ հաշվարկներ</w:t>
      </w:r>
    </w:p>
    <w:p w:rsidR="00EC7354" w:rsidRPr="006B3656" w:rsidRDefault="00EC7354" w:rsidP="00EC7354">
      <w:pPr>
        <w:spacing w:line="360" w:lineRule="auto"/>
        <w:ind w:firstLine="567"/>
        <w:jc w:val="both"/>
        <w:rPr>
          <w:rFonts w:ascii="GHEA Grapalat" w:eastAsia="GHEA Grapalat" w:hAnsi="GHEA Grapalat" w:cs="GHEA Grapalat"/>
          <w:sz w:val="22"/>
          <w:szCs w:val="22"/>
          <w:lang w:val="hy-AM"/>
        </w:rPr>
      </w:pPr>
    </w:p>
    <w:p w:rsidR="00EC7354" w:rsidRPr="006B3656" w:rsidRDefault="00EC7354" w:rsidP="00EC7354">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iCs/>
          <w:noProof/>
          <w:color w:val="000000"/>
          <w:sz w:val="22"/>
          <w:szCs w:val="18"/>
          <w:lang w:val="hy-AM"/>
        </w:rPr>
        <w:t xml:space="preserve">2024 թվականի առաջին վեց ամիսներին ներմուծման դոլարային արտահայտությամբ ծավալների աճին ամենամեծ նպաստումն են ունեցել «Թանկարժեք և կիսաթանկարժեք քարեր, թանկարժեք մետաղներ և դրանցից իրեր» (96.3 տոկոսային կետ) և «Քիմիական արտադրության ապրանքներ» (1.2 տոկոսային կետ) ապրանքախմբերը։ Էական բացասական նպաստում է ունեցել «Վերգետնյա, օդային և ջրային տրանսպորտի միջոցներ» ապրանքախումբը, որը ներմուծման աճին հակազդել է 10.5 տոկոսային կետով։ </w:t>
      </w:r>
    </w:p>
    <w:p w:rsidR="00EC7354" w:rsidRPr="006B3656" w:rsidRDefault="00EC7354" w:rsidP="00EC7354">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iCs/>
          <w:noProof/>
          <w:color w:val="000000"/>
          <w:sz w:val="22"/>
          <w:szCs w:val="18"/>
          <w:lang w:val="hy-AM"/>
        </w:rPr>
        <w:t>Ըստ ապրանքների լայն տնտեսական դասակարգման՝ ներմուծման աճին նպաստել են «Միջանկյալ սպառման ապրանքները» (94.2 տոկոսային կետ, այդ թվում՝ արդյունաբերական մատակարարումները՝ 95.7 տոկոսային կետ) և «Վերջնական սպառման ապրանքները» (2.2 տոկոսային կետ), իսկ «Կապիտալ ապրանքները» (0.8 տոկոսային կետ) և «Մարդատար ավտոմեքենաները» (9 տոկոսային կետ) հակազդել են</w:t>
      </w:r>
      <w:r w:rsidRPr="006B3656">
        <w:rPr>
          <w:rFonts w:ascii="GHEA Grapalat" w:eastAsia="GHEA Grapalat" w:hAnsi="GHEA Grapalat" w:cs="GHEA Grapalat"/>
          <w:iCs/>
          <w:noProof/>
          <w:color w:val="000000"/>
          <w:sz w:val="22"/>
          <w:szCs w:val="18"/>
          <w:vertAlign w:val="superscript"/>
          <w:lang w:val="hy-AM"/>
        </w:rPr>
        <w:footnoteReference w:id="19"/>
      </w:r>
      <w:r w:rsidRPr="006B3656">
        <w:rPr>
          <w:rFonts w:ascii="GHEA Grapalat" w:eastAsia="GHEA Grapalat" w:hAnsi="GHEA Grapalat" w:cs="GHEA Grapalat"/>
          <w:iCs/>
          <w:noProof/>
          <w:color w:val="000000"/>
          <w:sz w:val="22"/>
          <w:szCs w:val="18"/>
          <w:lang w:val="hy-AM"/>
        </w:rPr>
        <w:t>։</w:t>
      </w:r>
    </w:p>
    <w:p w:rsidR="00EC7354" w:rsidRPr="006B3656" w:rsidRDefault="00EC7354" w:rsidP="004E44C7">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b/>
          <w:i/>
          <w:sz w:val="22"/>
          <w:szCs w:val="22"/>
          <w:lang w:val="hy-AM"/>
        </w:rPr>
        <w:t>Արտաքին առևտուրն ըստ գործընկեր երկրների:</w:t>
      </w:r>
      <w:r w:rsidRPr="006B3656">
        <w:rPr>
          <w:rFonts w:ascii="GHEA Grapalat" w:eastAsia="GHEA Grapalat" w:hAnsi="GHEA Grapalat" w:cs="GHEA Grapalat"/>
          <w:i/>
          <w:sz w:val="22"/>
          <w:szCs w:val="22"/>
          <w:lang w:val="hy-AM"/>
        </w:rPr>
        <w:t xml:space="preserve"> </w:t>
      </w:r>
      <w:r w:rsidRPr="006B3656">
        <w:rPr>
          <w:rFonts w:ascii="GHEA Grapalat" w:eastAsia="GHEA Grapalat" w:hAnsi="GHEA Grapalat" w:cs="GHEA Grapalat"/>
          <w:iCs/>
          <w:noProof/>
          <w:color w:val="000000"/>
          <w:sz w:val="22"/>
          <w:szCs w:val="18"/>
          <w:lang w:val="hy-AM"/>
        </w:rPr>
        <w:t>2024 թվականի առաջին կիսամյակում արտաքին առևտրաշրջանառության աշխարհագրական կառուցվածքը նախորդ տարվա նկատմամբ որոշակի</w:t>
      </w:r>
      <w:r w:rsidR="00B35393" w:rsidRPr="00F371F3">
        <w:rPr>
          <w:rFonts w:ascii="GHEA Grapalat" w:eastAsia="GHEA Grapalat" w:hAnsi="GHEA Grapalat" w:cs="GHEA Grapalat"/>
          <w:iCs/>
          <w:noProof/>
          <w:color w:val="000000"/>
          <w:sz w:val="22"/>
          <w:szCs w:val="18"/>
          <w:lang w:val="hy-AM"/>
        </w:rPr>
        <w:t>որեն</w:t>
      </w:r>
      <w:r w:rsidRPr="006B3656">
        <w:rPr>
          <w:rFonts w:ascii="GHEA Grapalat" w:eastAsia="GHEA Grapalat" w:hAnsi="GHEA Grapalat" w:cs="GHEA Grapalat"/>
          <w:iCs/>
          <w:noProof/>
          <w:color w:val="000000"/>
          <w:sz w:val="22"/>
          <w:szCs w:val="18"/>
          <w:lang w:val="hy-AM"/>
        </w:rPr>
        <w:t xml:space="preserve"> փոփոխվել է։ Արտաքին առևտրի կառուցվածքում այլ երկրների և ԵԱՏՄ-ի դերը բարձրացել է, իսկ ԵՄ-ի երկրների դերը՝ նվազել։ ՀՀ արտաքին առևտրաշրջանառության 46.6%-ը բաժին է ընկել ԱՊՀ (որից 46.2</w:t>
      </w:r>
      <w:r w:rsidR="00696484" w:rsidRPr="00BE2DF1">
        <w:rPr>
          <w:rFonts w:ascii="GHEA Grapalat" w:eastAsia="GHEA Grapalat" w:hAnsi="GHEA Grapalat" w:cs="GHEA Grapalat"/>
          <w:iCs/>
          <w:noProof/>
          <w:color w:val="000000"/>
          <w:sz w:val="22"/>
          <w:szCs w:val="18"/>
          <w:lang w:val="hy-AM"/>
        </w:rPr>
        <w:t xml:space="preserve"> տոկոսային</w:t>
      </w:r>
      <w:r w:rsidRPr="006B3656">
        <w:rPr>
          <w:rFonts w:ascii="GHEA Grapalat" w:eastAsia="GHEA Grapalat" w:hAnsi="GHEA Grapalat" w:cs="GHEA Grapalat"/>
          <w:iCs/>
          <w:noProof/>
          <w:color w:val="000000"/>
          <w:sz w:val="22"/>
          <w:szCs w:val="18"/>
          <w:lang w:val="hy-AM"/>
        </w:rPr>
        <w:t xml:space="preserve"> կետը` ԵԱՏՄ), 5.7%-ը` ԵՄ և 47.7%-ը` այլ երկրներին: ՀՀ արտաքին առևտրաշրջանառության մեջ նախորդ տարվա համեմատ այլ երկրների կշիռն ավելացել է 1.4 տոկոսային կետով (որին մեծ նպաստում է ունեցել ԱՄԷ արտահանումը) և ԱՊՀ երկրների կշիռը՝</w:t>
      </w:r>
      <w:r w:rsidR="00837E26" w:rsidRPr="006B3656">
        <w:rPr>
          <w:rFonts w:ascii="GHEA Grapalat" w:eastAsia="GHEA Grapalat" w:hAnsi="GHEA Grapalat" w:cs="GHEA Grapalat"/>
          <w:iCs/>
          <w:noProof/>
          <w:color w:val="000000"/>
          <w:sz w:val="22"/>
          <w:szCs w:val="18"/>
          <w:lang w:val="hy-AM"/>
        </w:rPr>
        <w:t xml:space="preserve"> </w:t>
      </w:r>
      <w:r w:rsidRPr="006B3656">
        <w:rPr>
          <w:rFonts w:ascii="GHEA Grapalat" w:eastAsia="GHEA Grapalat" w:hAnsi="GHEA Grapalat" w:cs="GHEA Grapalat"/>
          <w:iCs/>
          <w:noProof/>
          <w:color w:val="000000"/>
          <w:sz w:val="22"/>
          <w:szCs w:val="18"/>
          <w:lang w:val="hy-AM"/>
        </w:rPr>
        <w:t>8.3% տոկոսային կետով, ԵԱՏՄ-</w:t>
      </w:r>
      <w:r w:rsidR="00B35393" w:rsidRPr="00BE2DF1">
        <w:rPr>
          <w:rFonts w:ascii="GHEA Grapalat" w:eastAsia="GHEA Grapalat" w:hAnsi="GHEA Grapalat" w:cs="GHEA Grapalat"/>
          <w:iCs/>
          <w:noProof/>
          <w:color w:val="000000"/>
          <w:sz w:val="22"/>
          <w:szCs w:val="18"/>
          <w:lang w:val="hy-AM"/>
        </w:rPr>
        <w:t>ինը</w:t>
      </w:r>
      <w:r w:rsidRPr="006B3656">
        <w:rPr>
          <w:rFonts w:ascii="GHEA Grapalat" w:eastAsia="GHEA Grapalat" w:hAnsi="GHEA Grapalat" w:cs="GHEA Grapalat"/>
          <w:iCs/>
          <w:noProof/>
          <w:color w:val="000000"/>
          <w:sz w:val="22"/>
          <w:szCs w:val="18"/>
          <w:lang w:val="hy-AM"/>
        </w:rPr>
        <w:t>՝ 8.8 տոկոսային կետով (ՌԴ՝ 9.6), իսկ ԵՄ-</w:t>
      </w:r>
      <w:r w:rsidR="00B35393" w:rsidRPr="00BE2DF1">
        <w:rPr>
          <w:rFonts w:ascii="GHEA Grapalat" w:eastAsia="GHEA Grapalat" w:hAnsi="GHEA Grapalat" w:cs="GHEA Grapalat"/>
          <w:iCs/>
          <w:noProof/>
          <w:color w:val="000000"/>
          <w:sz w:val="22"/>
          <w:szCs w:val="18"/>
          <w:lang w:val="hy-AM"/>
        </w:rPr>
        <w:t>ի</w:t>
      </w:r>
      <w:r w:rsidRPr="006B3656">
        <w:rPr>
          <w:rFonts w:ascii="GHEA Grapalat" w:eastAsia="GHEA Grapalat" w:hAnsi="GHEA Grapalat" w:cs="GHEA Grapalat"/>
          <w:iCs/>
          <w:noProof/>
          <w:color w:val="000000"/>
          <w:sz w:val="22"/>
          <w:szCs w:val="18"/>
          <w:lang w:val="hy-AM"/>
        </w:rPr>
        <w:t xml:space="preserve"> կշիռը նվազել է 9.7 տոկոսային կետով։</w:t>
      </w:r>
    </w:p>
    <w:p w:rsidR="00EC7354" w:rsidRPr="006B3656" w:rsidRDefault="00EC735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Cs/>
          <w:sz w:val="22"/>
          <w:szCs w:val="22"/>
          <w:lang w:val="hy-AM"/>
        </w:rPr>
        <w:t xml:space="preserve">ՀՀ խոշոր առևտրային գործընկեր ՌԴ-ի հետ առևտրաշրջանառության ծավալները հաշվետու տարում ավելացել են, մասնավորապես՝ հաշվետու ժամանակահատվածում արտահանումը դեպի ՌԴ նվազել է 21.1% ով, իսկ ՌԴ-ից </w:t>
      </w:r>
      <w:r w:rsidR="00696484" w:rsidRPr="006B3656">
        <w:rPr>
          <w:rFonts w:ascii="GHEA Grapalat" w:eastAsia="GHEA Grapalat" w:hAnsi="GHEA Grapalat" w:cs="GHEA Grapalat"/>
          <w:bCs/>
          <w:sz w:val="22"/>
          <w:szCs w:val="22"/>
          <w:lang w:val="hy-AM"/>
        </w:rPr>
        <w:t>ներմուծումն</w:t>
      </w:r>
      <w:r w:rsidRPr="006B3656">
        <w:rPr>
          <w:rFonts w:ascii="GHEA Grapalat" w:eastAsia="GHEA Grapalat" w:hAnsi="GHEA Grapalat" w:cs="GHEA Grapalat"/>
          <w:bCs/>
          <w:sz w:val="22"/>
          <w:szCs w:val="22"/>
          <w:lang w:val="hy-AM"/>
        </w:rPr>
        <w:t xml:space="preserve"> աճել է 4.8 անգամ: 2024 թվականի առաջին </w:t>
      </w:r>
      <w:r w:rsidR="008A3FDC" w:rsidRPr="006B3656">
        <w:rPr>
          <w:rFonts w:ascii="GHEA Grapalat" w:eastAsia="GHEA Grapalat" w:hAnsi="GHEA Grapalat" w:cs="GHEA Grapalat"/>
          <w:bCs/>
          <w:sz w:val="22"/>
          <w:szCs w:val="22"/>
          <w:lang w:val="hy-AM"/>
        </w:rPr>
        <w:t xml:space="preserve">կիսամյակում </w:t>
      </w:r>
      <w:r w:rsidRPr="006B3656">
        <w:rPr>
          <w:rFonts w:ascii="GHEA Grapalat" w:eastAsia="GHEA Grapalat" w:hAnsi="GHEA Grapalat" w:cs="GHEA Grapalat"/>
          <w:bCs/>
          <w:sz w:val="22"/>
          <w:szCs w:val="22"/>
          <w:lang w:val="hy-AM"/>
        </w:rPr>
        <w:t xml:space="preserve">ՀՀ խոշոր առևտրային գործընկերների շրջանակում ընդգրկված Արաբական Միացյալ Էմիրությունների հետ առևտրաշրջանառության ծավալն աճել է </w:t>
      </w:r>
      <w:r w:rsidR="00884D1E" w:rsidRPr="00F371F3">
        <w:rPr>
          <w:rFonts w:ascii="GHEA Grapalat" w:eastAsia="GHEA Grapalat" w:hAnsi="GHEA Grapalat" w:cs="GHEA Grapalat"/>
          <w:bCs/>
          <w:sz w:val="22"/>
          <w:szCs w:val="22"/>
          <w:lang w:val="hy-AM"/>
        </w:rPr>
        <w:t>7</w:t>
      </w:r>
      <w:r w:rsidRPr="006B3656">
        <w:rPr>
          <w:rFonts w:ascii="GHEA Grapalat" w:eastAsia="GHEA Grapalat" w:hAnsi="GHEA Grapalat" w:cs="GHEA Grapalat"/>
          <w:bCs/>
          <w:sz w:val="22"/>
          <w:szCs w:val="22"/>
          <w:lang w:val="hy-AM"/>
        </w:rPr>
        <w:t xml:space="preserve">.5 անգամ (կշիռը՝ 20.1%), որին մեծ նպաստում է ունեցել արտահանման 7.8 անգամ աճը (հիմնականում արտահանվել են անմշակ ոսկի և ոսկերչական իրեր): 2024 թվականի առաջին </w:t>
      </w:r>
      <w:r w:rsidR="008A3FDC" w:rsidRPr="006B3656">
        <w:rPr>
          <w:rFonts w:ascii="GHEA Grapalat" w:eastAsia="GHEA Grapalat" w:hAnsi="GHEA Grapalat" w:cs="GHEA Grapalat"/>
          <w:bCs/>
          <w:sz w:val="22"/>
          <w:szCs w:val="22"/>
          <w:lang w:val="hy-AM"/>
        </w:rPr>
        <w:t xml:space="preserve">կիսամյակում </w:t>
      </w:r>
      <w:r w:rsidRPr="006B3656">
        <w:rPr>
          <w:rFonts w:ascii="GHEA Grapalat" w:eastAsia="GHEA Grapalat" w:hAnsi="GHEA Grapalat" w:cs="GHEA Grapalat"/>
          <w:bCs/>
          <w:sz w:val="22"/>
          <w:szCs w:val="22"/>
          <w:lang w:val="hy-AM"/>
        </w:rPr>
        <w:t>ՀՀ խոշոր առևտրային գործընկերներ են նաև Չինաստանը (7.6%), Իրանը (1.8%), ԱՄՆ-ն (1.3%), Գերմանիան (1.2%) և այլն:</w:t>
      </w:r>
    </w:p>
    <w:p w:rsidR="00EC7354" w:rsidRPr="006B3656" w:rsidRDefault="00EC735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sz w:val="22"/>
          <w:szCs w:val="22"/>
          <w:lang w:val="hy-AM"/>
        </w:rPr>
        <w:t>Զբոսաշրջություն:</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2024 թվականի առաջին կիսամյակում ՀՀ այցելած զբոսաշրջիկների թվաքանակը նախորդ տարվա նույն ժամանակահատվածի համեմատ նվազել է, իսկ ՀՀ-ից մեկնած զբոսաշրջիկների թվաքանակն ավելացել է: 2024 թվականի առաջին կիսամյակում ՀՀ այցելած զբոսաշրջիկների թվաքանակը</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նախորդ տարվա նույն ժամանակահատվածի նկատմամբ նվազել է 6.1%</w:t>
      </w:r>
      <w:r w:rsidR="00816933" w:rsidRPr="00F371F3">
        <w:rPr>
          <w:rFonts w:ascii="GHEA Grapalat" w:eastAsia="GHEA Grapalat" w:hAnsi="GHEA Grapalat" w:cs="GHEA Grapalat"/>
          <w:bCs/>
          <w:sz w:val="22"/>
          <w:szCs w:val="22"/>
          <w:lang w:val="hy-AM"/>
        </w:rPr>
        <w:t>-ով</w:t>
      </w:r>
      <w:r w:rsidRPr="006B3656">
        <w:rPr>
          <w:rFonts w:ascii="GHEA Grapalat" w:eastAsia="GHEA Grapalat" w:hAnsi="GHEA Grapalat" w:cs="GHEA Grapalat"/>
          <w:bCs/>
          <w:sz w:val="22"/>
          <w:szCs w:val="22"/>
          <w:lang w:val="hy-AM"/>
        </w:rPr>
        <w:t xml:space="preserve"> (շուրջ 61 հազար մարդով), որին նպաստել է ՌԴ-ից զբոսաշրջիկների թվաքանակի կրճատումը (բացասական նպաստումը</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կազմել է շուրջ 12.5</w:t>
      </w:r>
      <w:r w:rsidR="00816933" w:rsidRPr="00F371F3">
        <w:rPr>
          <w:rFonts w:ascii="GHEA Grapalat" w:eastAsia="GHEA Grapalat" w:hAnsi="GHEA Grapalat" w:cs="GHEA Grapalat"/>
          <w:bCs/>
          <w:sz w:val="22"/>
          <w:szCs w:val="22"/>
          <w:lang w:val="hy-AM"/>
        </w:rPr>
        <w:t xml:space="preserve"> տոկոս</w:t>
      </w:r>
      <w:r w:rsidRPr="006B3656">
        <w:rPr>
          <w:rFonts w:ascii="GHEA Grapalat" w:eastAsia="GHEA Grapalat" w:hAnsi="GHEA Grapalat" w:cs="GHEA Grapalat"/>
          <w:bCs/>
          <w:sz w:val="22"/>
          <w:szCs w:val="22"/>
          <w:lang w:val="hy-AM"/>
        </w:rPr>
        <w:t>ային կետ): Մինչդեռ այլ երկրներից ժամանած զբոսաշրջիկների թվաքանակ</w:t>
      </w:r>
      <w:r w:rsidR="00816933" w:rsidRPr="00F371F3">
        <w:rPr>
          <w:rFonts w:ascii="GHEA Grapalat" w:eastAsia="GHEA Grapalat" w:hAnsi="GHEA Grapalat" w:cs="GHEA Grapalat"/>
          <w:bCs/>
          <w:sz w:val="22"/>
          <w:szCs w:val="22"/>
          <w:lang w:val="hy-AM"/>
        </w:rPr>
        <w:t>ն</w:t>
      </w:r>
      <w:r w:rsidRPr="006B3656">
        <w:rPr>
          <w:rFonts w:ascii="GHEA Grapalat" w:eastAsia="GHEA Grapalat" w:hAnsi="GHEA Grapalat" w:cs="GHEA Grapalat"/>
          <w:bCs/>
          <w:sz w:val="22"/>
          <w:szCs w:val="22"/>
          <w:lang w:val="hy-AM"/>
        </w:rPr>
        <w:t xml:space="preserve"> աճել է 14%-ով կամ 70 հազարով: Արդյունքում այլ երկրներից (առանց ՌԴ) ՀՀ այցելած զբոսաշրջիկների թվաքանակը նույնպես հատել է 2019 թվականի նախահամավարակային ժամանակաշրջանի մակարդակը:</w:t>
      </w:r>
    </w:p>
    <w:p w:rsidR="00EC7354" w:rsidRPr="006B3656" w:rsidRDefault="00EC735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Cs/>
          <w:sz w:val="22"/>
          <w:szCs w:val="22"/>
          <w:lang w:val="hy-AM"/>
        </w:rPr>
        <w:t xml:space="preserve">ՀՀ-ից մեկնած զբոսաշրջիկների թվաքանակը կազմել է շուրջ 705 հազար մարդ՝ նախորդ տարվա նույն ժամանակահատվածի նկատմամբ աճելով 9.4%-ով (կամ շուրջ 60 հազարով): </w:t>
      </w:r>
    </w:p>
    <w:p w:rsidR="00EC7354" w:rsidRPr="006B3656" w:rsidRDefault="00EC7354" w:rsidP="00816933">
      <w:pPr>
        <w:spacing w:line="360" w:lineRule="auto"/>
        <w:ind w:firstLine="567"/>
        <w:jc w:val="both"/>
        <w:rPr>
          <w:rFonts w:ascii="GHEA Grapalat" w:eastAsia="GHEA Grapalat" w:hAnsi="GHEA Grapalat" w:cs="GHEA Grapalat"/>
          <w:bCs/>
          <w:sz w:val="22"/>
          <w:szCs w:val="22"/>
          <w:lang w:val="hy-AM"/>
        </w:rPr>
      </w:pPr>
    </w:p>
    <w:p w:rsidR="00EC7354" w:rsidRPr="006B3656" w:rsidRDefault="00EC735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ՀՀ այցելած զբոսաշրջիկների</w:t>
      </w:r>
      <w:r w:rsidR="00837E26" w:rsidRPr="006B3656">
        <w:rPr>
          <w:lang w:val="hy-AM"/>
        </w:rPr>
        <w:t xml:space="preserve"> </w:t>
      </w:r>
      <w:r w:rsidRPr="006B3656">
        <w:rPr>
          <w:lang w:val="hy-AM"/>
        </w:rPr>
        <w:t>դինամիկան 2019-2024թթ. հունվար-հունիս ամիսներին, հազար մարդ</w:t>
      </w:r>
    </w:p>
    <w:p w:rsidR="00EC7354" w:rsidRPr="006B3656" w:rsidRDefault="00EC7354" w:rsidP="00EC7354">
      <w:pPr>
        <w:spacing w:line="276" w:lineRule="auto"/>
        <w:jc w:val="center"/>
        <w:rPr>
          <w:rFonts w:ascii="GHEA Grapalat" w:eastAsia="GHEA Grapalat" w:hAnsi="GHEA Grapalat" w:cs="GHEA Grapalat"/>
          <w:i/>
          <w:sz w:val="22"/>
          <w:szCs w:val="22"/>
          <w:lang w:val="hy-AM"/>
        </w:rPr>
      </w:pPr>
      <w:r w:rsidRPr="006B3656">
        <w:rPr>
          <w:rFonts w:ascii="GHEA Grapalat" w:eastAsia="GHEA Grapalat" w:hAnsi="GHEA Grapalat" w:cs="GHEA Grapalat"/>
          <w:i/>
          <w:noProof/>
          <w:sz w:val="22"/>
          <w:szCs w:val="22"/>
        </w:rPr>
        <w:drawing>
          <wp:inline distT="0" distB="0" distL="0" distR="0" wp14:anchorId="7E1AB75D" wp14:editId="61F956D4">
            <wp:extent cx="6486525" cy="2339340"/>
            <wp:effectExtent l="0" t="0" r="9525"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7354" w:rsidRPr="006B3656" w:rsidRDefault="00EC7354" w:rsidP="00EC7354">
      <w:pPr>
        <w:spacing w:after="120" w:line="276" w:lineRule="auto"/>
        <w:jc w:val="both"/>
        <w:rPr>
          <w:rFonts w:ascii="GHEA Grapalat" w:eastAsia="GHEA Grapalat" w:hAnsi="GHEA Grapalat" w:cs="GHEA Grapalat"/>
          <w:sz w:val="22"/>
          <w:szCs w:val="22"/>
          <w:lang w:val="hy-AM"/>
        </w:rPr>
      </w:pPr>
      <w:r w:rsidRPr="006B3656">
        <w:rPr>
          <w:rFonts w:ascii="GHEA Grapalat" w:eastAsia="GHEA Grapalat" w:hAnsi="GHEA Grapalat" w:cs="GHEA Grapalat"/>
          <w:i/>
          <w:sz w:val="20"/>
          <w:szCs w:val="20"/>
          <w:lang w:val="hy-AM"/>
        </w:rPr>
        <w:t>Աղբյուրը՝ ՀՀ ՎԿ</w:t>
      </w:r>
    </w:p>
    <w:p w:rsidR="003A0D6B" w:rsidRPr="006B3656" w:rsidRDefault="003A0D6B" w:rsidP="004A28E8">
      <w:pPr>
        <w:ind w:firstLine="567"/>
        <w:jc w:val="both"/>
        <w:rPr>
          <w:rFonts w:ascii="GHEA Grapalat" w:hAnsi="GHEA Grapalat" w:cs="GHEA Grapalat"/>
          <w:sz w:val="22"/>
          <w:szCs w:val="22"/>
          <w:lang w:val="hy-AM"/>
        </w:rPr>
      </w:pPr>
    </w:p>
    <w:p w:rsidR="00CE28FE" w:rsidRPr="006B3656" w:rsidRDefault="00CE28FE" w:rsidP="00B465FB">
      <w:pPr>
        <w:pStyle w:val="Heading6"/>
        <w:ind w:left="567"/>
        <w:rPr>
          <w:rFonts w:ascii="GHEA Grapalat" w:hAnsi="GHEA Grapalat"/>
          <w:b/>
          <w:sz w:val="22"/>
          <w:szCs w:val="22"/>
          <w:u w:val="none"/>
        </w:rPr>
      </w:pPr>
      <w:bookmarkStart w:id="30" w:name="_Toc6389323"/>
      <w:bookmarkStart w:id="31" w:name="_Toc37763590"/>
      <w:bookmarkStart w:id="32" w:name="_Toc71311887"/>
      <w:r w:rsidRPr="006B3656">
        <w:rPr>
          <w:rFonts w:ascii="GHEA Grapalat" w:hAnsi="GHEA Grapalat"/>
          <w:b/>
          <w:sz w:val="22"/>
          <w:szCs w:val="22"/>
          <w:u w:val="none"/>
        </w:rPr>
        <w:t>Արժութային շուկա և փոխարժեքներ</w:t>
      </w:r>
    </w:p>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sz w:val="22"/>
          <w:szCs w:val="22"/>
          <w:lang w:val="hy-AM"/>
        </w:rPr>
        <w:t xml:space="preserve">Ֆիզիկական անձանց փոխանցումներ։ </w:t>
      </w:r>
      <w:r w:rsidRPr="006B3656">
        <w:rPr>
          <w:rFonts w:ascii="GHEA Grapalat" w:eastAsia="GHEA Grapalat" w:hAnsi="GHEA Grapalat" w:cs="GHEA Grapalat"/>
          <w:bCs/>
          <w:sz w:val="22"/>
          <w:szCs w:val="22"/>
          <w:lang w:val="hy-AM"/>
        </w:rPr>
        <w:t xml:space="preserve">Ֆիզիկական անձանց փոխանցումները դեպի ՀՀ 2024 թվականի առաջին կիսամյակում դեռևս մնում են բարձր մակարդակում, սակայն նախորդ տարվա առաջին կիսամյակի համեմատ նվազել են։ ՀՀ բանկերի միջոցով ֆիզիկական անձանց անունով այլ երկրներից մուտք եղած և ՀՀ-ից արտերկիր կատարված առևտրային և ոչ առևտրային նպատակով փոխանցումների զուտ ներհոսքը 2024 թվականի առաջին կիսամյակի դրությամբ կազմել </w:t>
      </w:r>
      <w:r w:rsidR="003C53A9" w:rsidRPr="00BE2DF1">
        <w:rPr>
          <w:rFonts w:ascii="GHEA Grapalat" w:eastAsia="GHEA Grapalat" w:hAnsi="GHEA Grapalat" w:cs="GHEA Grapalat"/>
          <w:bCs/>
          <w:sz w:val="22"/>
          <w:szCs w:val="22"/>
          <w:lang w:val="hy-AM"/>
        </w:rPr>
        <w:t>է</w:t>
      </w:r>
      <w:r w:rsidRPr="006B3656">
        <w:rPr>
          <w:rFonts w:ascii="GHEA Grapalat" w:eastAsia="GHEA Grapalat" w:hAnsi="GHEA Grapalat" w:cs="GHEA Grapalat"/>
          <w:bCs/>
          <w:sz w:val="22"/>
          <w:szCs w:val="22"/>
          <w:lang w:val="hy-AM"/>
        </w:rPr>
        <w:t xml:space="preserve"> 595.4 մլն դոլար</w:t>
      </w:r>
      <w:r w:rsidR="003C53A9" w:rsidRPr="006B3656">
        <w:rPr>
          <w:rFonts w:ascii="GHEA Grapalat" w:eastAsia="GHEA Grapalat" w:hAnsi="GHEA Grapalat" w:cs="GHEA Grapalat"/>
          <w:bCs/>
          <w:sz w:val="22"/>
          <w:szCs w:val="22"/>
          <w:lang w:val="hy-AM"/>
        </w:rPr>
        <w:t>՝</w:t>
      </w:r>
      <w:r w:rsidRPr="006B3656">
        <w:rPr>
          <w:rFonts w:ascii="GHEA Grapalat" w:eastAsia="GHEA Grapalat" w:hAnsi="GHEA Grapalat" w:cs="GHEA Grapalat"/>
          <w:bCs/>
          <w:sz w:val="22"/>
          <w:szCs w:val="22"/>
          <w:lang w:val="hy-AM"/>
        </w:rPr>
        <w:t xml:space="preserve"> նախորդ տարվա նույն ժամանակահատվածի համեմատ արձանագրելով 33.7% անկում, իսկ ՌԴ-ից զուտ ներհոսքը նվազել է 25.2%-ով՝ հիմնականում պայմանավորված փոխանցումների ներհոսքի նվազմամբ: Արդյունքում տարեսկզբին ավելացած արտարժույթի ծավալները սկսել են նվազել</w:t>
      </w:r>
      <w:r w:rsidR="003C53A9" w:rsidRPr="00BE2DF1">
        <w:rPr>
          <w:rFonts w:ascii="GHEA Grapalat" w:eastAsia="GHEA Grapalat" w:hAnsi="GHEA Grapalat" w:cs="GHEA Grapalat"/>
          <w:bCs/>
          <w:sz w:val="22"/>
          <w:szCs w:val="22"/>
          <w:lang w:val="hy-AM"/>
        </w:rPr>
        <w:t>՝</w:t>
      </w:r>
      <w:r w:rsidRPr="006B3656">
        <w:rPr>
          <w:rFonts w:ascii="GHEA Grapalat" w:eastAsia="GHEA Grapalat" w:hAnsi="GHEA Grapalat" w:cs="GHEA Grapalat"/>
          <w:bCs/>
          <w:sz w:val="22"/>
          <w:szCs w:val="22"/>
          <w:lang w:val="hy-AM"/>
        </w:rPr>
        <w:t xml:space="preserve"> դեռևս մնալով բարձր մակարդակում՝ պահպանելով ՀՀ-ում արտարժույթի բարձր առաջարկը։</w:t>
      </w:r>
    </w:p>
    <w:p w:rsidR="003C53A9" w:rsidRPr="006B3656" w:rsidRDefault="003C53A9" w:rsidP="004E44C7">
      <w:pPr>
        <w:spacing w:line="360" w:lineRule="auto"/>
        <w:ind w:firstLine="567"/>
        <w:jc w:val="both"/>
        <w:rPr>
          <w:rFonts w:ascii="GHEA Grapalat" w:eastAsia="GHEA Grapalat" w:hAnsi="GHEA Grapalat" w:cs="GHEA Grapalat"/>
          <w:bCs/>
          <w:sz w:val="22"/>
          <w:szCs w:val="22"/>
          <w:lang w:val="hy-AM"/>
        </w:rPr>
      </w:pPr>
    </w:p>
    <w:p w:rsidR="00B24504" w:rsidRPr="006B3656" w:rsidRDefault="00B2450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ՀՀ բանկերի միջոցով ֆիզիկական անձանց անունով</w:t>
      </w:r>
      <w:r w:rsidR="00837E26" w:rsidRPr="006B3656">
        <w:rPr>
          <w:lang w:val="hy-AM"/>
        </w:rPr>
        <w:t xml:space="preserve"> </w:t>
      </w:r>
      <w:r w:rsidRPr="006B3656">
        <w:rPr>
          <w:lang w:val="hy-AM"/>
        </w:rPr>
        <w:t xml:space="preserve">արտերկրից մուտք եղած և ՀՀ-ից ֆիզիկական անձանց կողմից արտերկիր կատարված զուտ փոխանցումներ, մլն ԱՄՆ դոլար </w:t>
      </w:r>
    </w:p>
    <w:p w:rsidR="00B24504" w:rsidRPr="006B3656" w:rsidRDefault="00B24504" w:rsidP="00B24504">
      <w:pPr>
        <w:spacing w:after="120"/>
        <w:jc w:val="center"/>
        <w:rPr>
          <w:rFonts w:ascii="GHEA Grapalat" w:hAnsi="GHEA Grapalat" w:cs="Sylfaen"/>
          <w:i/>
          <w:sz w:val="18"/>
          <w:szCs w:val="18"/>
          <w:lang w:val="hy-AM"/>
        </w:rPr>
      </w:pPr>
      <w:r w:rsidRPr="006B3656">
        <w:rPr>
          <w:rFonts w:ascii="GHEA Grapalat" w:eastAsia="GHEA Grapalat" w:hAnsi="GHEA Grapalat"/>
          <w:b/>
          <w:noProof/>
        </w:rPr>
        <w:drawing>
          <wp:inline distT="0" distB="0" distL="0" distR="0" wp14:anchorId="35850085" wp14:editId="4A71D1AC">
            <wp:extent cx="6229350" cy="2349796"/>
            <wp:effectExtent l="0" t="0" r="0" b="12700"/>
            <wp:docPr id="1062742652" name="Chart 1062742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4504" w:rsidRPr="006B3656" w:rsidRDefault="00B24504" w:rsidP="00B24504">
      <w:pPr>
        <w:spacing w:after="120"/>
        <w:rPr>
          <w:rFonts w:ascii="GHEA Grapalat" w:hAnsi="GHEA Grapalat" w:cs="Sylfaen"/>
          <w:i/>
          <w:sz w:val="18"/>
          <w:szCs w:val="18"/>
          <w:lang w:val="hy-AM"/>
        </w:rPr>
      </w:pPr>
      <w:r w:rsidRPr="006B3656">
        <w:rPr>
          <w:rFonts w:ascii="GHEA Grapalat" w:hAnsi="GHEA Grapalat" w:cs="Sylfaen"/>
          <w:i/>
          <w:sz w:val="18"/>
          <w:szCs w:val="18"/>
          <w:lang w:val="hy-AM"/>
        </w:rPr>
        <w:t>Աղբյուրը՝ ՀՀ ԿԲ, ՀՀ ՖՆ հաշվարկներ</w:t>
      </w:r>
    </w:p>
    <w:p w:rsidR="003C53A9" w:rsidRPr="006B3656" w:rsidRDefault="003C53A9" w:rsidP="004E44C7">
      <w:pPr>
        <w:spacing w:line="360" w:lineRule="auto"/>
        <w:ind w:firstLine="567"/>
        <w:jc w:val="both"/>
        <w:rPr>
          <w:rFonts w:ascii="GHEA Grapalat" w:eastAsia="GHEA Grapalat" w:hAnsi="GHEA Grapalat" w:cs="GHEA Grapalat"/>
          <w:bCs/>
          <w:sz w:val="22"/>
          <w:szCs w:val="22"/>
          <w:lang w:val="hy-AM"/>
        </w:rPr>
      </w:pPr>
    </w:p>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sz w:val="22"/>
          <w:szCs w:val="22"/>
          <w:lang w:val="hy-AM"/>
        </w:rPr>
        <w:t xml:space="preserve">Արժութային շուկա։ </w:t>
      </w:r>
      <w:r w:rsidRPr="006B3656">
        <w:rPr>
          <w:rFonts w:ascii="GHEA Grapalat" w:eastAsia="GHEA Grapalat" w:hAnsi="GHEA Grapalat" w:cs="GHEA Grapalat"/>
          <w:bCs/>
          <w:sz w:val="22"/>
          <w:szCs w:val="22"/>
          <w:lang w:val="hy-AM"/>
        </w:rPr>
        <w:t>ՀՀ արժութային շուկայի շրջանառության ծավալները 2024</w:t>
      </w:r>
      <w:r w:rsidR="005038F5" w:rsidRPr="00BE2DF1">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թ</w:t>
      </w:r>
      <w:r w:rsidR="005038F5" w:rsidRPr="00BE2DF1">
        <w:rPr>
          <w:rFonts w:ascii="GHEA Grapalat" w:eastAsia="GHEA Grapalat" w:hAnsi="GHEA Grapalat" w:cs="GHEA Grapalat"/>
          <w:bCs/>
          <w:sz w:val="22"/>
          <w:szCs w:val="22"/>
          <w:lang w:val="hy-AM"/>
        </w:rPr>
        <w:t>վական</w:t>
      </w:r>
      <w:r w:rsidRPr="006B3656">
        <w:rPr>
          <w:rFonts w:ascii="GHEA Grapalat" w:eastAsia="GHEA Grapalat" w:hAnsi="GHEA Grapalat" w:cs="GHEA Grapalat"/>
          <w:bCs/>
          <w:sz w:val="22"/>
          <w:szCs w:val="22"/>
          <w:lang w:val="hy-AM"/>
        </w:rPr>
        <w:t>ի առաջին կիսամյակում շարունակել են պահպանվել բարձր մակարդակում:</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 xml:space="preserve">2024 թվականի առաջին կիսամյակում արտարժույթի ներբանկային վաճառքը գերազանցել է առքի ծավալները՝ պայմանավորված ԱՄՆ դոլարի և </w:t>
      </w:r>
      <w:r w:rsidR="005038F5" w:rsidRPr="006B3656">
        <w:rPr>
          <w:rFonts w:ascii="GHEA Grapalat" w:eastAsia="GHEA Grapalat" w:hAnsi="GHEA Grapalat" w:cs="GHEA Grapalat"/>
          <w:bCs/>
          <w:sz w:val="22"/>
          <w:szCs w:val="22"/>
          <w:lang w:val="hy-AM"/>
        </w:rPr>
        <w:t>ե</w:t>
      </w:r>
      <w:r w:rsidRPr="006B3656">
        <w:rPr>
          <w:rFonts w:ascii="GHEA Grapalat" w:eastAsia="GHEA Grapalat" w:hAnsi="GHEA Grapalat" w:cs="GHEA Grapalat"/>
          <w:bCs/>
          <w:sz w:val="22"/>
          <w:szCs w:val="22"/>
          <w:lang w:val="hy-AM"/>
        </w:rPr>
        <w:t xml:space="preserve">վրոյի զուտ վաճառքի ծավալների շուրջ 2.4 անգամ աճով։ Նշենք, որ ՀՀ ԿԲ-ն արժութային շուկայում տարեսկզբից սկսած իրականացրել </w:t>
      </w:r>
      <w:r w:rsidR="005038F5" w:rsidRPr="00BE2DF1">
        <w:rPr>
          <w:rFonts w:ascii="GHEA Grapalat" w:eastAsia="GHEA Grapalat" w:hAnsi="GHEA Grapalat" w:cs="GHEA Grapalat"/>
          <w:bCs/>
          <w:sz w:val="22"/>
          <w:szCs w:val="22"/>
          <w:lang w:val="hy-AM"/>
        </w:rPr>
        <w:t xml:space="preserve">է </w:t>
      </w:r>
      <w:r w:rsidRPr="006B3656">
        <w:rPr>
          <w:rFonts w:ascii="GHEA Grapalat" w:eastAsia="GHEA Grapalat" w:hAnsi="GHEA Grapalat" w:cs="GHEA Grapalat"/>
          <w:bCs/>
          <w:sz w:val="22"/>
          <w:szCs w:val="22"/>
          <w:lang w:val="hy-AM"/>
        </w:rPr>
        <w:t>միջամտություններ</w:t>
      </w:r>
      <w:r w:rsidR="005038F5" w:rsidRPr="006B3656">
        <w:rPr>
          <w:rFonts w:ascii="GHEA Grapalat" w:eastAsia="GHEA Grapalat" w:hAnsi="GHEA Grapalat" w:cs="GHEA Grapalat"/>
          <w:bCs/>
          <w:sz w:val="22"/>
          <w:szCs w:val="22"/>
          <w:lang w:val="hy-AM"/>
        </w:rPr>
        <w:t xml:space="preserve"> 156.5</w:t>
      </w:r>
      <w:r w:rsidR="005038F5" w:rsidRPr="00BE2DF1">
        <w:rPr>
          <w:rFonts w:ascii="Calibri" w:eastAsia="GHEA Grapalat" w:hAnsi="Calibri" w:cs="Calibri"/>
          <w:bCs/>
          <w:sz w:val="22"/>
          <w:szCs w:val="22"/>
          <w:lang w:val="hy-AM"/>
        </w:rPr>
        <w:t> </w:t>
      </w:r>
      <w:r w:rsidRPr="006B3656">
        <w:rPr>
          <w:rFonts w:ascii="GHEA Grapalat" w:eastAsia="GHEA Grapalat" w:hAnsi="GHEA Grapalat" w:cs="GHEA Grapalat"/>
          <w:bCs/>
          <w:sz w:val="22"/>
          <w:szCs w:val="22"/>
          <w:lang w:val="hy-AM"/>
        </w:rPr>
        <w:t>մլն դոլար առքի ձևով։</w:t>
      </w:r>
    </w:p>
    <w:p w:rsidR="005038F5" w:rsidRPr="006B3656" w:rsidRDefault="005038F5" w:rsidP="004E44C7">
      <w:pPr>
        <w:spacing w:line="360" w:lineRule="auto"/>
        <w:ind w:firstLine="567"/>
        <w:jc w:val="both"/>
        <w:rPr>
          <w:rFonts w:ascii="GHEA Grapalat" w:eastAsia="GHEA Grapalat" w:hAnsi="GHEA Grapalat" w:cs="GHEA Grapalat"/>
          <w:bCs/>
          <w:sz w:val="22"/>
          <w:szCs w:val="22"/>
          <w:lang w:val="hy-AM"/>
        </w:rPr>
      </w:pPr>
    </w:p>
    <w:tbl>
      <w:tblPr>
        <w:tblW w:w="5018" w:type="pct"/>
        <w:tblLook w:val="04A0" w:firstRow="1" w:lastRow="0" w:firstColumn="1" w:lastColumn="0" w:noHBand="0" w:noVBand="1"/>
      </w:tblPr>
      <w:tblGrid>
        <w:gridCol w:w="5048"/>
        <w:gridCol w:w="5195"/>
      </w:tblGrid>
      <w:tr w:rsidR="00B24504" w:rsidRPr="0046146D" w:rsidTr="00A05DB7">
        <w:trPr>
          <w:trHeight w:val="901"/>
        </w:trPr>
        <w:tc>
          <w:tcPr>
            <w:tcW w:w="2464" w:type="pct"/>
            <w:shd w:val="clear" w:color="auto" w:fill="auto"/>
          </w:tcPr>
          <w:p w:rsidR="00B24504" w:rsidRPr="006B3656" w:rsidRDefault="00B24504" w:rsidP="00A05DB7">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lang w:val="hy-AM"/>
              </w:rPr>
            </w:pPr>
            <w:r w:rsidRPr="006B3656">
              <w:rPr>
                <w:rFonts w:ascii="GHEA Grapalat" w:eastAsia="Calibri" w:hAnsi="GHEA Grapalat"/>
                <w:b/>
                <w:i/>
                <w:sz w:val="18"/>
                <w:szCs w:val="18"/>
                <w:lang w:val="hy-AM"/>
              </w:rPr>
              <w:t xml:space="preserve">Գծապատկեր 18. </w:t>
            </w:r>
            <w:r w:rsidRPr="006B3656">
              <w:rPr>
                <w:rFonts w:ascii="GHEA Grapalat" w:eastAsia="Calibri" w:hAnsi="GHEA Grapalat" w:cs="Sylfaen"/>
                <w:sz w:val="18"/>
                <w:szCs w:val="18"/>
                <w:lang w:val="hy-AM"/>
              </w:rPr>
              <w:t>ՀՀ արժութային (ներբանկային) շուկայի շրջանառության տվյալներն ըստ դրամային համարժեքների, զուտ մլրդ դրամ</w:t>
            </w:r>
          </w:p>
        </w:tc>
        <w:tc>
          <w:tcPr>
            <w:tcW w:w="2536" w:type="pct"/>
            <w:shd w:val="clear" w:color="auto" w:fill="auto"/>
          </w:tcPr>
          <w:p w:rsidR="00B24504" w:rsidRPr="006B3656" w:rsidRDefault="00B24504" w:rsidP="00A05DB7">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lang w:val="hy-AM"/>
              </w:rPr>
            </w:pPr>
            <w:r w:rsidRPr="006B3656">
              <w:rPr>
                <w:rFonts w:ascii="GHEA Grapalat" w:eastAsia="Calibri" w:hAnsi="GHEA Grapalat"/>
                <w:b/>
                <w:i/>
                <w:sz w:val="18"/>
                <w:szCs w:val="18"/>
                <w:lang w:val="hy-AM"/>
              </w:rPr>
              <w:t xml:space="preserve">Գծապատկեր 19. </w:t>
            </w:r>
            <w:r w:rsidRPr="006B3656">
              <w:rPr>
                <w:rFonts w:ascii="GHEA Grapalat" w:eastAsia="Calibri" w:hAnsi="GHEA Grapalat" w:cs="Sylfaen"/>
                <w:sz w:val="18"/>
                <w:szCs w:val="18"/>
                <w:lang w:val="hy-AM"/>
              </w:rPr>
              <w:t>Փոխարժեք և ԿԲ արձագանք</w:t>
            </w:r>
          </w:p>
        </w:tc>
      </w:tr>
      <w:tr w:rsidR="00B24504" w:rsidRPr="0046146D" w:rsidTr="00A05DB7">
        <w:trPr>
          <w:trHeight w:val="3912"/>
        </w:trPr>
        <w:tc>
          <w:tcPr>
            <w:tcW w:w="2464" w:type="pct"/>
            <w:shd w:val="clear" w:color="auto" w:fill="auto"/>
          </w:tcPr>
          <w:p w:rsidR="00B24504" w:rsidRPr="006B3656" w:rsidRDefault="00B24504" w:rsidP="00A05DB7">
            <w:pPr>
              <w:spacing w:line="360" w:lineRule="auto"/>
              <w:jc w:val="both"/>
              <w:rPr>
                <w:rFonts w:ascii="GHEA Grapalat" w:eastAsia="GHEA Grapalat" w:hAnsi="GHEA Grapalat" w:cs="GHEA Grapalat"/>
                <w:sz w:val="22"/>
                <w:szCs w:val="22"/>
                <w:lang w:val="hy-AM"/>
              </w:rPr>
            </w:pPr>
            <w:r w:rsidRPr="006B3656">
              <w:rPr>
                <w:rFonts w:eastAsia="GHEA Grapalat" w:cs="GHEA Grapalat"/>
                <w:b/>
                <w:i/>
                <w:iCs/>
                <w:noProof/>
              </w:rPr>
              <w:drawing>
                <wp:anchor distT="0" distB="0" distL="114300" distR="114300" simplePos="0" relativeHeight="251655168" behindDoc="0" locked="0" layoutInCell="1" allowOverlap="1" wp14:anchorId="0B8587C8" wp14:editId="1CB6C466">
                  <wp:simplePos x="0" y="0"/>
                  <wp:positionH relativeFrom="column">
                    <wp:posOffset>0</wp:posOffset>
                  </wp:positionH>
                  <wp:positionV relativeFrom="paragraph">
                    <wp:posOffset>6985</wp:posOffset>
                  </wp:positionV>
                  <wp:extent cx="3228975" cy="2413635"/>
                  <wp:effectExtent l="0" t="0" r="9525" b="5715"/>
                  <wp:wrapNone/>
                  <wp:docPr id="2000982134" name="Chart 2000982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2536" w:type="pct"/>
            <w:shd w:val="clear" w:color="auto" w:fill="auto"/>
          </w:tcPr>
          <w:p w:rsidR="00B24504" w:rsidRPr="006B3656" w:rsidRDefault="00B24504" w:rsidP="00A05DB7">
            <w:pPr>
              <w:spacing w:line="360" w:lineRule="auto"/>
              <w:jc w:val="both"/>
              <w:rPr>
                <w:rFonts w:ascii="GHEA Grapalat" w:eastAsia="GHEA Grapalat" w:hAnsi="GHEA Grapalat" w:cs="GHEA Grapalat"/>
                <w:sz w:val="22"/>
                <w:szCs w:val="22"/>
                <w:lang w:val="hy-AM"/>
              </w:rPr>
            </w:pPr>
            <w:r w:rsidRPr="006B3656">
              <w:rPr>
                <w:noProof/>
                <w:color w:val="31849B" w:themeColor="accent5" w:themeShade="BF"/>
              </w:rPr>
              <w:drawing>
                <wp:anchor distT="0" distB="0" distL="114300" distR="114300" simplePos="0" relativeHeight="251659264" behindDoc="0" locked="0" layoutInCell="1" allowOverlap="1" wp14:anchorId="2A992E22" wp14:editId="518BA737">
                  <wp:simplePos x="0" y="0"/>
                  <wp:positionH relativeFrom="column">
                    <wp:posOffset>-3175</wp:posOffset>
                  </wp:positionH>
                  <wp:positionV relativeFrom="paragraph">
                    <wp:posOffset>6985</wp:posOffset>
                  </wp:positionV>
                  <wp:extent cx="3249930" cy="2390775"/>
                  <wp:effectExtent l="0" t="0" r="7620" b="9525"/>
                  <wp:wrapNone/>
                  <wp:docPr id="73"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page">
                    <wp14:pctHeight>0</wp14:pctHeight>
                  </wp14:sizeRelV>
                </wp:anchor>
              </w:drawing>
            </w:r>
          </w:p>
        </w:tc>
      </w:tr>
      <w:tr w:rsidR="00B24504" w:rsidRPr="0046146D" w:rsidTr="00A05DB7">
        <w:trPr>
          <w:trHeight w:val="306"/>
        </w:trPr>
        <w:tc>
          <w:tcPr>
            <w:tcW w:w="2464" w:type="pct"/>
            <w:shd w:val="clear" w:color="auto" w:fill="auto"/>
          </w:tcPr>
          <w:p w:rsidR="00B24504" w:rsidRPr="006B3656" w:rsidRDefault="00B24504" w:rsidP="00A05DB7">
            <w:pPr>
              <w:spacing w:line="360" w:lineRule="auto"/>
              <w:jc w:val="both"/>
              <w:rPr>
                <w:rFonts w:ascii="GHEA Grapalat" w:eastAsia="GHEA Grapalat" w:hAnsi="GHEA Grapalat" w:cs="GHEA Grapalat"/>
                <w:b/>
                <w:i/>
                <w:iCs/>
                <w:sz w:val="22"/>
                <w:szCs w:val="22"/>
                <w:lang w:val="hy-AM"/>
              </w:rPr>
            </w:pPr>
            <w:r w:rsidRPr="006B3656">
              <w:rPr>
                <w:rFonts w:ascii="GHEA Grapalat" w:hAnsi="GHEA Grapalat" w:cs="Sylfaen"/>
                <w:i/>
                <w:sz w:val="18"/>
                <w:szCs w:val="18"/>
                <w:lang w:val="hy-AM"/>
              </w:rPr>
              <w:t>Աղբյուրը՝ ՀՀ ԿԲ, ՀՀ ՖՆ հաշվարկներ</w:t>
            </w:r>
          </w:p>
        </w:tc>
        <w:tc>
          <w:tcPr>
            <w:tcW w:w="2536" w:type="pct"/>
            <w:shd w:val="clear" w:color="auto" w:fill="auto"/>
          </w:tcPr>
          <w:p w:rsidR="00B24504" w:rsidRPr="006B3656" w:rsidRDefault="00B24504" w:rsidP="00A05DB7">
            <w:pPr>
              <w:spacing w:line="360" w:lineRule="auto"/>
              <w:jc w:val="both"/>
              <w:rPr>
                <w:rFonts w:ascii="GHEA Grapalat" w:eastAsia="GHEA Grapalat" w:hAnsi="GHEA Grapalat" w:cs="GHEA Grapalat"/>
                <w:b/>
                <w:i/>
                <w:iCs/>
                <w:sz w:val="22"/>
                <w:szCs w:val="22"/>
                <w:lang w:val="hy-AM"/>
              </w:rPr>
            </w:pPr>
            <w:r w:rsidRPr="006B3656">
              <w:rPr>
                <w:rFonts w:ascii="GHEA Grapalat" w:hAnsi="GHEA Grapalat" w:cs="Sylfaen"/>
                <w:i/>
                <w:sz w:val="18"/>
                <w:szCs w:val="18"/>
                <w:lang w:val="hy-AM"/>
              </w:rPr>
              <w:t>Աղբյուրը՝ ՀՀ ԿԲ, ՀՀ ՖՆ հաշվարկներ</w:t>
            </w:r>
          </w:p>
        </w:tc>
      </w:tr>
    </w:tbl>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iCs/>
          <w:sz w:val="22"/>
          <w:szCs w:val="22"/>
          <w:lang w:val="hy-AM"/>
        </w:rPr>
        <w:t>Երկկողմանի փոխարժեքներ։</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Հաշվետու ժամանակահատվածում ՀՀ դրամը ԱՄՆ դոլարի և եվրոյի նկատմամբ արժեզրկվել է, իսկ ռուբլու նկատմամբ շարունակել է արժևորվել` պայմանավորված արտարժույթի ներհոսքի դանդաղմամբ: ԱՄՆ դոլարի և եվրոյի նկատմամբ 2024 թվականի առաջին կիսամյակում նախորդ տարվա նույն ժամանակահատվածի նկատմամբ ՀՀ դրամը երկու արժույթների նկատմամբ արժեզրկվել է 1.6-ական %-ով:</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Հաշվետու կիսամյակի ընթացքում ՀՀ դրամի՝ դոլարի նկատմամբ ձևավորված միջին փոխարժեքը կազմել է 396.1 դրամ մեկ դոլարի դիմաց, իսկ եվրոյի նկատմամբ ձևավորված միջին փոխարժեքը կազմել է 428.2 դրամ մեկ եվրոյի դիմաց։</w:t>
      </w:r>
    </w:p>
    <w:p w:rsidR="00DA7A01" w:rsidRPr="006B3656" w:rsidRDefault="00DA7A01" w:rsidP="004E44C7">
      <w:pPr>
        <w:spacing w:line="360" w:lineRule="auto"/>
        <w:ind w:firstLine="567"/>
        <w:jc w:val="both"/>
        <w:rPr>
          <w:rFonts w:ascii="GHEA Grapalat" w:eastAsia="GHEA Grapalat" w:hAnsi="GHEA Grapalat" w:cs="GHEA Grapalat"/>
          <w:bCs/>
          <w:sz w:val="22"/>
          <w:szCs w:val="22"/>
          <w:lang w:val="hy-AM"/>
        </w:rPr>
      </w:pPr>
    </w:p>
    <w:tbl>
      <w:tblPr>
        <w:tblW w:w="5018" w:type="pct"/>
        <w:tblLook w:val="04A0" w:firstRow="1" w:lastRow="0" w:firstColumn="1" w:lastColumn="0" w:noHBand="0" w:noVBand="1"/>
      </w:tblPr>
      <w:tblGrid>
        <w:gridCol w:w="5048"/>
        <w:gridCol w:w="5195"/>
      </w:tblGrid>
      <w:tr w:rsidR="00B24504" w:rsidRPr="0046146D" w:rsidTr="00A05DB7">
        <w:trPr>
          <w:trHeight w:val="901"/>
        </w:trPr>
        <w:tc>
          <w:tcPr>
            <w:tcW w:w="2464" w:type="pct"/>
            <w:shd w:val="clear" w:color="auto" w:fill="auto"/>
          </w:tcPr>
          <w:p w:rsidR="00B24504" w:rsidRPr="006B3656" w:rsidRDefault="00B24504" w:rsidP="00A05DB7">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lang w:val="hy-AM"/>
              </w:rPr>
            </w:pPr>
            <w:r w:rsidRPr="006B3656">
              <w:rPr>
                <w:rFonts w:ascii="GHEA Grapalat" w:hAnsi="GHEA Grapalat" w:cs="GHEA Grapalat"/>
                <w:b/>
                <w:i/>
                <w:sz w:val="20"/>
                <w:lang w:val="hy-AM"/>
              </w:rPr>
              <w:t xml:space="preserve">Գծապատկեր 20. </w:t>
            </w:r>
            <w:r w:rsidRPr="006B3656">
              <w:rPr>
                <w:rFonts w:ascii="GHEA Grapalat" w:hAnsi="GHEA Grapalat" w:cs="GHEA Grapalat"/>
                <w:bCs/>
                <w:i/>
                <w:sz w:val="20"/>
                <w:lang w:val="hy-AM"/>
              </w:rPr>
              <w:t>ՀՀ դրամի անվանական փոխարժեքի ամսական դինամիկան հիմնական արժույթների նկատմամբ (բարձրացումը՝ դրամի արժեզրկում)</w:t>
            </w:r>
          </w:p>
        </w:tc>
        <w:tc>
          <w:tcPr>
            <w:tcW w:w="2536" w:type="pct"/>
            <w:shd w:val="clear" w:color="auto" w:fill="auto"/>
          </w:tcPr>
          <w:p w:rsidR="00B24504" w:rsidRPr="006B3656" w:rsidRDefault="00B24504" w:rsidP="00A05DB7">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lang w:val="hy-AM"/>
              </w:rPr>
            </w:pPr>
            <w:r w:rsidRPr="006B3656">
              <w:rPr>
                <w:rFonts w:ascii="GHEA Grapalat" w:hAnsi="GHEA Grapalat" w:cs="GHEA Grapalat"/>
                <w:b/>
                <w:i/>
                <w:sz w:val="20"/>
                <w:lang w:val="hy-AM"/>
              </w:rPr>
              <w:t xml:space="preserve">Գծապատկեր 21. </w:t>
            </w:r>
            <w:r w:rsidRPr="006B3656">
              <w:rPr>
                <w:rFonts w:ascii="GHEA Grapalat" w:hAnsi="GHEA Grapalat" w:cs="GHEA Grapalat"/>
                <w:bCs/>
                <w:i/>
                <w:sz w:val="20"/>
                <w:lang w:val="hy-AM"/>
              </w:rPr>
              <w:t>ՀՀ իրական և անվանական արդյունավետ փոխարժեքների դինամիկան (աճ՝ արժևորում)</w:t>
            </w:r>
          </w:p>
        </w:tc>
      </w:tr>
      <w:tr w:rsidR="00B24504" w:rsidRPr="0046146D" w:rsidTr="00A05DB7">
        <w:trPr>
          <w:trHeight w:val="3912"/>
        </w:trPr>
        <w:tc>
          <w:tcPr>
            <w:tcW w:w="2464" w:type="pct"/>
            <w:shd w:val="clear" w:color="auto" w:fill="auto"/>
          </w:tcPr>
          <w:p w:rsidR="00B24504" w:rsidRPr="006B3656" w:rsidRDefault="00B24504" w:rsidP="00A05DB7">
            <w:pPr>
              <w:spacing w:line="360" w:lineRule="auto"/>
              <w:jc w:val="both"/>
              <w:rPr>
                <w:rFonts w:ascii="GHEA Grapalat" w:eastAsia="GHEA Grapalat" w:hAnsi="GHEA Grapalat" w:cs="GHEA Grapalat"/>
                <w:sz w:val="22"/>
                <w:szCs w:val="22"/>
                <w:lang w:val="hy-AM"/>
              </w:rPr>
            </w:pPr>
            <w:r w:rsidRPr="006B3656">
              <w:rPr>
                <w:rFonts w:eastAsia="GHEA Grapalat"/>
                <w:b/>
                <w:noProof/>
              </w:rPr>
              <w:drawing>
                <wp:anchor distT="0" distB="0" distL="114300" distR="114300" simplePos="0" relativeHeight="251663360" behindDoc="0" locked="0" layoutInCell="1" allowOverlap="1" wp14:anchorId="759AD327" wp14:editId="4FA367C4">
                  <wp:simplePos x="0" y="0"/>
                  <wp:positionH relativeFrom="column">
                    <wp:posOffset>0</wp:posOffset>
                  </wp:positionH>
                  <wp:positionV relativeFrom="paragraph">
                    <wp:posOffset>10160</wp:posOffset>
                  </wp:positionV>
                  <wp:extent cx="3240000" cy="2413635"/>
                  <wp:effectExtent l="0" t="0" r="17780" b="5715"/>
                  <wp:wrapNone/>
                  <wp:docPr id="88008854" name="Chart 88008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c>
          <w:tcPr>
            <w:tcW w:w="2536" w:type="pct"/>
            <w:shd w:val="clear" w:color="auto" w:fill="auto"/>
          </w:tcPr>
          <w:p w:rsidR="00B24504" w:rsidRPr="006B3656" w:rsidRDefault="00B24504" w:rsidP="00A05DB7">
            <w:pPr>
              <w:spacing w:line="360" w:lineRule="auto"/>
              <w:jc w:val="both"/>
              <w:rPr>
                <w:rFonts w:ascii="GHEA Grapalat" w:eastAsia="GHEA Grapalat" w:hAnsi="GHEA Grapalat" w:cs="GHEA Grapalat"/>
                <w:sz w:val="22"/>
                <w:szCs w:val="22"/>
                <w:lang w:val="hy-AM"/>
              </w:rPr>
            </w:pPr>
            <w:r w:rsidRPr="006B3656">
              <w:rPr>
                <w:rFonts w:eastAsia="GHEA Grapalat"/>
                <w:b/>
                <w:noProof/>
              </w:rPr>
              <w:drawing>
                <wp:anchor distT="0" distB="0" distL="114300" distR="114300" simplePos="0" relativeHeight="251667456" behindDoc="0" locked="0" layoutInCell="1" allowOverlap="1" wp14:anchorId="4AD0B9EC" wp14:editId="447965E8">
                  <wp:simplePos x="0" y="0"/>
                  <wp:positionH relativeFrom="column">
                    <wp:posOffset>-3175</wp:posOffset>
                  </wp:positionH>
                  <wp:positionV relativeFrom="paragraph">
                    <wp:posOffset>10160</wp:posOffset>
                  </wp:positionV>
                  <wp:extent cx="3240000" cy="2413635"/>
                  <wp:effectExtent l="0" t="0" r="17780" b="5715"/>
                  <wp:wrapNone/>
                  <wp:docPr id="1561898483" name="Chart 1561898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B24504" w:rsidRPr="0046146D" w:rsidTr="00A05DB7">
        <w:trPr>
          <w:trHeight w:val="306"/>
        </w:trPr>
        <w:tc>
          <w:tcPr>
            <w:tcW w:w="2464" w:type="pct"/>
            <w:shd w:val="clear" w:color="auto" w:fill="auto"/>
          </w:tcPr>
          <w:p w:rsidR="00B24504" w:rsidRPr="006B3656" w:rsidRDefault="00B24504" w:rsidP="00A05DB7">
            <w:pPr>
              <w:spacing w:line="360" w:lineRule="auto"/>
              <w:jc w:val="both"/>
              <w:rPr>
                <w:rFonts w:ascii="GHEA Grapalat" w:eastAsia="GHEA Grapalat" w:hAnsi="GHEA Grapalat" w:cs="GHEA Grapalat"/>
                <w:b/>
                <w:i/>
                <w:iCs/>
                <w:sz w:val="22"/>
                <w:szCs w:val="22"/>
                <w:lang w:val="hy-AM"/>
              </w:rPr>
            </w:pPr>
            <w:r w:rsidRPr="006B3656">
              <w:rPr>
                <w:rFonts w:ascii="GHEA Grapalat" w:hAnsi="GHEA Grapalat" w:cs="Sylfaen"/>
                <w:i/>
                <w:sz w:val="18"/>
                <w:szCs w:val="18"/>
                <w:lang w:val="hy-AM"/>
              </w:rPr>
              <w:t>Աղբյուրը՝ ՀՀ ԿԲ</w:t>
            </w:r>
          </w:p>
        </w:tc>
        <w:tc>
          <w:tcPr>
            <w:tcW w:w="2536" w:type="pct"/>
            <w:shd w:val="clear" w:color="auto" w:fill="auto"/>
          </w:tcPr>
          <w:p w:rsidR="00B24504" w:rsidRPr="006B3656" w:rsidRDefault="00B24504" w:rsidP="00A05DB7">
            <w:pPr>
              <w:spacing w:line="360" w:lineRule="auto"/>
              <w:jc w:val="both"/>
              <w:rPr>
                <w:rFonts w:ascii="GHEA Grapalat" w:eastAsia="GHEA Grapalat" w:hAnsi="GHEA Grapalat" w:cs="GHEA Grapalat"/>
                <w:b/>
                <w:i/>
                <w:iCs/>
                <w:sz w:val="22"/>
                <w:szCs w:val="22"/>
                <w:lang w:val="hy-AM"/>
              </w:rPr>
            </w:pPr>
            <w:r w:rsidRPr="006B3656">
              <w:rPr>
                <w:rFonts w:ascii="GHEA Grapalat" w:hAnsi="GHEA Grapalat" w:cs="Sylfaen"/>
                <w:i/>
                <w:sz w:val="18"/>
                <w:szCs w:val="18"/>
                <w:lang w:val="hy-AM"/>
              </w:rPr>
              <w:t>Աղբյուրը՝ ՀՀ ԿԲ, ՀՀ ՖՆ հաշվարկներ</w:t>
            </w:r>
          </w:p>
        </w:tc>
      </w:tr>
    </w:tbl>
    <w:p w:rsidR="00DA7A01" w:rsidRPr="006B3656" w:rsidRDefault="00DA7A01" w:rsidP="004E44C7">
      <w:pPr>
        <w:spacing w:line="360" w:lineRule="auto"/>
        <w:ind w:firstLine="567"/>
        <w:jc w:val="both"/>
        <w:rPr>
          <w:rFonts w:ascii="GHEA Grapalat" w:eastAsia="GHEA Grapalat" w:hAnsi="GHEA Grapalat" w:cs="GHEA Grapalat"/>
          <w:bCs/>
          <w:sz w:val="22"/>
          <w:szCs w:val="22"/>
          <w:lang w:val="hy-AM"/>
        </w:rPr>
      </w:pPr>
    </w:p>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Cs/>
          <w:sz w:val="22"/>
          <w:szCs w:val="22"/>
          <w:lang w:val="hy-AM"/>
        </w:rPr>
        <w:t>ՀՀ դրամի միջին փոխարժեքը ՌԴ ռուբլու նկատմամբ 2024 թվականի առաջին կիսամյակում նախորդ տարվա նույն ժամանակահատվածի համեմատությամբ արժևորվել է 16</w:t>
      </w:r>
      <w:r w:rsidRPr="006B3656">
        <w:rPr>
          <w:rFonts w:ascii="Cambria Math" w:eastAsia="GHEA Grapalat" w:hAnsi="Cambria Math" w:cs="Cambria Math"/>
          <w:bCs/>
          <w:sz w:val="22"/>
          <w:szCs w:val="22"/>
          <w:lang w:val="hy-AM"/>
        </w:rPr>
        <w:t>․</w:t>
      </w:r>
      <w:r w:rsidRPr="006B3656">
        <w:rPr>
          <w:rFonts w:ascii="GHEA Grapalat" w:eastAsia="GHEA Grapalat" w:hAnsi="GHEA Grapalat" w:cs="GHEA Grapalat"/>
          <w:bCs/>
          <w:sz w:val="22"/>
          <w:szCs w:val="22"/>
          <w:lang w:val="hy-AM"/>
        </w:rPr>
        <w:t>3%-ով՝ միջազգային շուկայում ռուսական ռուբլու դիրքի թուլացմամբ պայմանավորված։ Հաշվետու ժամանակահատվածում ռուբլու նկատմամբ ձևավորված միջին փոխարժեքը կազմել է 4.4 դրամ մեկ ռուբլու դիմաց։</w:t>
      </w:r>
    </w:p>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sz w:val="22"/>
          <w:szCs w:val="22"/>
          <w:lang w:val="hy-AM"/>
        </w:rPr>
        <w:t>Արդյունավետ փոխարժեքներ:</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GHEA Grapalat"/>
          <w:bCs/>
          <w:sz w:val="22"/>
          <w:szCs w:val="22"/>
          <w:lang w:val="hy-AM"/>
        </w:rPr>
        <w:t>ՀՀ արտաքին առևտրի տեսանկյունից առավել կարևոր արժույթներից բաղկացած զամբյուղի նկատմամբ ՀՀ ազգային արժույթն անվանական արտահայտությամբ 2024 թվականի հունվարից մայիս ամիսներին արժևորվել է 15%-ով, իսկ իրական արտահայտությամբ՝ 6.9%-ով:</w:t>
      </w:r>
    </w:p>
    <w:p w:rsidR="00BF2D00" w:rsidRDefault="00BF2D00" w:rsidP="00BF22C0">
      <w:pPr>
        <w:spacing w:line="360" w:lineRule="auto"/>
        <w:ind w:firstLine="567"/>
        <w:jc w:val="both"/>
        <w:rPr>
          <w:rFonts w:ascii="GHEA Grapalat" w:hAnsi="GHEA Grapalat" w:cs="GHEA Grapalat"/>
          <w:sz w:val="22"/>
          <w:szCs w:val="22"/>
          <w:lang w:val="hy-AM"/>
        </w:rPr>
      </w:pPr>
    </w:p>
    <w:p w:rsidR="00660A2E" w:rsidRPr="006B3656" w:rsidRDefault="00660A2E" w:rsidP="00BF22C0">
      <w:pPr>
        <w:spacing w:line="360" w:lineRule="auto"/>
        <w:ind w:firstLine="567"/>
        <w:jc w:val="both"/>
        <w:rPr>
          <w:rFonts w:ascii="GHEA Grapalat" w:hAnsi="GHEA Grapalat" w:cs="GHEA Grapalat"/>
          <w:sz w:val="22"/>
          <w:szCs w:val="22"/>
          <w:lang w:val="hy-AM"/>
        </w:rPr>
      </w:pPr>
    </w:p>
    <w:p w:rsidR="00563135" w:rsidRPr="006B3656" w:rsidRDefault="00CE28FE" w:rsidP="001205A4">
      <w:pPr>
        <w:spacing w:line="360" w:lineRule="auto"/>
        <w:ind w:firstLine="567"/>
        <w:jc w:val="both"/>
        <w:rPr>
          <w:rFonts w:ascii="GHEA Grapalat" w:hAnsi="GHEA Grapalat"/>
          <w:b/>
          <w:sz w:val="22"/>
          <w:szCs w:val="22"/>
          <w:lang w:val="hy-AM"/>
        </w:rPr>
      </w:pPr>
      <w:r w:rsidRPr="006B3656">
        <w:rPr>
          <w:rFonts w:ascii="GHEA Grapalat" w:eastAsia="GHEA Grapalat" w:hAnsi="GHEA Grapalat" w:cs="GHEA Grapalat"/>
          <w:b/>
          <w:i/>
          <w:sz w:val="22"/>
          <w:szCs w:val="22"/>
          <w:lang w:val="hy-AM"/>
        </w:rPr>
        <w:t xml:space="preserve"> </w:t>
      </w:r>
      <w:r w:rsidR="00563135" w:rsidRPr="006B3656">
        <w:rPr>
          <w:rFonts w:ascii="GHEA Grapalat" w:hAnsi="GHEA Grapalat"/>
          <w:b/>
          <w:sz w:val="22"/>
          <w:szCs w:val="22"/>
          <w:lang w:val="hy-AM"/>
        </w:rPr>
        <w:t>Ֆինանսական շուկա</w:t>
      </w:r>
      <w:bookmarkEnd w:id="30"/>
      <w:bookmarkEnd w:id="31"/>
      <w:r w:rsidR="00563135" w:rsidRPr="006B3656">
        <w:rPr>
          <w:rFonts w:ascii="GHEA Grapalat" w:hAnsi="GHEA Grapalat"/>
          <w:b/>
          <w:sz w:val="22"/>
          <w:szCs w:val="22"/>
          <w:lang w:val="hy-AM"/>
        </w:rPr>
        <w:t>ներ</w:t>
      </w:r>
      <w:bookmarkEnd w:id="32"/>
    </w:p>
    <w:p w:rsidR="00E123C8" w:rsidRPr="006B3656" w:rsidRDefault="00E123C8"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hAnsi="GHEA Grapalat" w:cs="GHEA Grapalat"/>
          <w:b/>
          <w:i/>
          <w:noProof/>
          <w:sz w:val="22"/>
          <w:szCs w:val="22"/>
          <w:lang w:val="hy-AM"/>
        </w:rPr>
        <w:t>Վարկեր և ավանդներ:</w:t>
      </w:r>
      <w:r w:rsidRPr="006B3656">
        <w:rPr>
          <w:rFonts w:ascii="GHEA Grapalat" w:hAnsi="GHEA Grapalat" w:cs="GHEA Grapalat"/>
          <w:noProof/>
          <w:sz w:val="22"/>
          <w:szCs w:val="22"/>
          <w:lang w:val="hy-AM"/>
        </w:rPr>
        <w:t xml:space="preserve"> </w:t>
      </w:r>
      <w:r w:rsidRPr="006B3656">
        <w:rPr>
          <w:rFonts w:ascii="GHEA Grapalat" w:eastAsia="GHEA Grapalat" w:hAnsi="GHEA Grapalat" w:cs="GHEA Grapalat"/>
          <w:bCs/>
          <w:sz w:val="22"/>
          <w:szCs w:val="22"/>
          <w:lang w:val="hy-AM"/>
        </w:rPr>
        <w:t xml:space="preserve">Բանկային համակարգի ֆինանսական միջնորդությունը 2024 թվականի առաջին կիսամյակում բնութագրվում է նախորդ տարվա համեմատությամբ վարկավորման բարձր աճի միտումներով։ Ընդ որում, ի տարբերություն 2023 թվականի նույն ժամանակահատվածի, երբ վարկավորմանն առաջանցիկ ավանդների ներգրավման պայմաններում բանկային համակարգում լրացուցիչ իրացվելիություն էր կուտակվում, </w:t>
      </w:r>
      <w:bookmarkStart w:id="33" w:name="_Hlk165935951"/>
      <w:r w:rsidRPr="006B3656">
        <w:rPr>
          <w:rFonts w:ascii="GHEA Grapalat" w:eastAsia="GHEA Grapalat" w:hAnsi="GHEA Grapalat" w:cs="GHEA Grapalat"/>
          <w:bCs/>
          <w:sz w:val="22"/>
          <w:szCs w:val="22"/>
          <w:lang w:val="hy-AM"/>
        </w:rPr>
        <w:t>ավանդներին առաջանցիկ դարձած վարկավորման աճի պայմաններում տեղի է ունենում իրացվելիության դիրքի ճշգրտում, սակայն վերջինս շարունակում է պահպանվել պատմական բարձր մակարդակում: Առաջանցիկ վարկավորման արդյունքում ավանդների և վարկերի ծավալների դրական տարբերությունը կիսամյակի ընթացքում նվազել է՝ հասնելով 330 մլրդ դրամի (2023թ</w:t>
      </w:r>
      <w:r w:rsidRPr="006B3656">
        <w:rPr>
          <w:rFonts w:ascii="Cambria Math" w:eastAsia="GHEA Grapalat" w:hAnsi="Cambria Math" w:cs="Cambria Math"/>
          <w:bCs/>
          <w:sz w:val="22"/>
          <w:szCs w:val="22"/>
          <w:lang w:val="hy-AM"/>
        </w:rPr>
        <w:t>․</w:t>
      </w:r>
      <w:r w:rsidRPr="006B3656">
        <w:rPr>
          <w:rFonts w:ascii="GHEA Grapalat" w:eastAsia="GHEA Grapalat" w:hAnsi="GHEA Grapalat" w:cs="GHEA Grapalat"/>
          <w:bCs/>
          <w:sz w:val="22"/>
          <w:szCs w:val="22"/>
          <w:lang w:val="hy-AM"/>
        </w:rPr>
        <w:t xml:space="preserve"> դեկտեմբերին կազմել էր</w:t>
      </w:r>
      <w:r w:rsidR="00362806" w:rsidRPr="006B3656">
        <w:rPr>
          <w:rFonts w:ascii="GHEA Grapalat" w:eastAsia="GHEA Grapalat" w:hAnsi="GHEA Grapalat" w:cs="GHEA Grapalat"/>
          <w:bCs/>
          <w:sz w:val="22"/>
          <w:szCs w:val="22"/>
          <w:lang w:val="hy-AM"/>
        </w:rPr>
        <w:t xml:space="preserve"> 527</w:t>
      </w:r>
      <w:r w:rsidR="00362806" w:rsidRPr="00BE2DF1">
        <w:rPr>
          <w:rFonts w:ascii="Calibri" w:eastAsia="GHEA Grapalat" w:hAnsi="Calibri" w:cs="Calibri"/>
          <w:bCs/>
          <w:sz w:val="22"/>
          <w:szCs w:val="22"/>
          <w:lang w:val="hy-AM"/>
        </w:rPr>
        <w:t> </w:t>
      </w:r>
      <w:r w:rsidRPr="006B3656">
        <w:rPr>
          <w:rFonts w:ascii="GHEA Grapalat" w:eastAsia="GHEA Grapalat" w:hAnsi="GHEA Grapalat" w:cs="GHEA Grapalat"/>
          <w:bCs/>
          <w:sz w:val="22"/>
          <w:szCs w:val="22"/>
          <w:lang w:val="hy-AM"/>
        </w:rPr>
        <w:t>մլրդ դրամ):</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Միաժամանակ, վարկերի աճի արագացմանը զուգահեռ, այն դարձել է առավել ընդգրկուն՝ նախկին կենտրոնացված կառուցվածքի փոխարեն ընդգրկելով նաև տնտեսության ոլորտները:</w:t>
      </w:r>
    </w:p>
    <w:bookmarkEnd w:id="33"/>
    <w:p w:rsidR="00E123C8" w:rsidRPr="006B3656" w:rsidRDefault="00E123C8"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Cs/>
          <w:sz w:val="22"/>
          <w:szCs w:val="22"/>
          <w:lang w:val="hy-AM"/>
        </w:rPr>
        <w:t>2024 թվականի առաջին կիսամյակի ընթացքում վարկերի ծավալների աճի տեմպը զգալի</w:t>
      </w:r>
      <w:r w:rsidR="00362806" w:rsidRPr="00F371F3">
        <w:rPr>
          <w:rFonts w:ascii="GHEA Grapalat" w:eastAsia="GHEA Grapalat" w:hAnsi="GHEA Grapalat" w:cs="GHEA Grapalat"/>
          <w:bCs/>
          <w:sz w:val="22"/>
          <w:szCs w:val="22"/>
          <w:lang w:val="hy-AM"/>
        </w:rPr>
        <w:t>որեն</w:t>
      </w:r>
      <w:r w:rsidRPr="006B3656">
        <w:rPr>
          <w:rFonts w:ascii="GHEA Grapalat" w:eastAsia="GHEA Grapalat" w:hAnsi="GHEA Grapalat" w:cs="GHEA Grapalat"/>
          <w:bCs/>
          <w:sz w:val="22"/>
          <w:szCs w:val="22"/>
          <w:lang w:val="hy-AM"/>
        </w:rPr>
        <w:t xml:space="preserve"> բարձր է նախորդ տարվա նույն ժամանակահատվածի ցուցանիշից՝ կրելով տնտեսական պարբերաշրջանի ներկա փուլին բնորոշ պահանջարկի (հատկապես՝ արագ աճող ոլորտների կողմից) և վերջին տարիներին բանկային համակարգում իրացվելիության կուտակման ազդեցությունը։ 2024 թվականի հունիսին առևտրային բանկերի կողմից ռեզիդենտներին տրամադրված վարկերի ծավալների աճը նախորդ տարվա նույն ամսվա նկատմամբ կազմել է 20.3%</w:t>
      </w:r>
      <w:r w:rsidRPr="006B3656">
        <w:rPr>
          <w:rFonts w:ascii="GHEA Grapalat" w:eastAsia="GHEA Grapalat" w:hAnsi="GHEA Grapalat" w:cs="GHEA Grapalat"/>
          <w:bCs/>
          <w:sz w:val="22"/>
          <w:szCs w:val="22"/>
          <w:vertAlign w:val="superscript"/>
          <w:lang w:val="hy-AM"/>
        </w:rPr>
        <w:footnoteReference w:id="20"/>
      </w:r>
      <w:r w:rsidRPr="006B3656">
        <w:rPr>
          <w:rFonts w:ascii="GHEA Grapalat" w:eastAsia="GHEA Grapalat" w:hAnsi="GHEA Grapalat" w:cs="GHEA Grapalat"/>
          <w:bCs/>
          <w:sz w:val="22"/>
          <w:szCs w:val="22"/>
          <w:lang w:val="hy-AM"/>
        </w:rPr>
        <w:t xml:space="preserve">՝ 2023 թվականի հունիսին արձանագրված 15.1%-ի համեմատ: Նշված ցուցանիշին 16.1 տոկոսային կետով նպաստել է դրամային վարկերի աճը, իսկ արտարժութային վարկերը նպաստել են 4.3 տոկոսային կետով: </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Վարկերի աճը հիմնականում պայմանավորվել է սպառողական (աճը՝ 29.5%, նպաստումը՝ 6.9 տոկոսային կետ), </w:t>
      </w:r>
      <w:r w:rsidR="00E00657" w:rsidRPr="006B3656">
        <w:rPr>
          <w:rFonts w:ascii="GHEA Grapalat" w:eastAsia="Calibri" w:hAnsi="GHEA Grapalat" w:cs="Sylfaen"/>
          <w:noProof/>
          <w:sz w:val="22"/>
          <w:szCs w:val="22"/>
          <w:lang w:val="hy-AM"/>
        </w:rPr>
        <w:t>հիպոտեկ</w:t>
      </w:r>
      <w:r w:rsidRPr="006B3656">
        <w:rPr>
          <w:rFonts w:ascii="GHEA Grapalat" w:eastAsia="Calibri" w:hAnsi="GHEA Grapalat" w:cs="Sylfaen"/>
          <w:noProof/>
          <w:sz w:val="22"/>
          <w:szCs w:val="22"/>
          <w:lang w:val="hy-AM"/>
        </w:rPr>
        <w:t>ային (աճը՝ 22.5%, նպաստումը՝ 5.3 տոկոսային կետ),</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 xml:space="preserve">շինարարության (աճը՝ 37.8%, նպաստումը՝ 3.7 տոկոսային </w:t>
      </w:r>
      <w:r w:rsidRPr="006B3656">
        <w:rPr>
          <w:rFonts w:ascii="GHEA Grapalat" w:eastAsia="GHEA Grapalat" w:hAnsi="GHEA Grapalat" w:cs="GHEA Grapalat"/>
          <w:sz w:val="22"/>
          <w:szCs w:val="22"/>
          <w:lang w:val="hy-AM"/>
        </w:rPr>
        <w:t>կետ</w:t>
      </w:r>
      <w:r w:rsidRPr="006B3656">
        <w:rPr>
          <w:rFonts w:ascii="GHEA Grapalat" w:eastAsia="Calibri" w:hAnsi="GHEA Grapalat" w:cs="Sylfaen"/>
          <w:noProof/>
          <w:sz w:val="22"/>
          <w:szCs w:val="22"/>
          <w:lang w:val="hy-AM"/>
        </w:rPr>
        <w:t>), առևտրի ոլորտի (աճը՝ 16.8, նպաստումը՝ 2.1 տոկոսային կետ)</w:t>
      </w:r>
      <w:r w:rsidR="00362806" w:rsidRPr="00F371F3">
        <w:rPr>
          <w:rFonts w:ascii="GHEA Grapalat" w:eastAsia="Calibri" w:hAnsi="GHEA Grapalat" w:cs="Sylfaen"/>
          <w:noProof/>
          <w:sz w:val="22"/>
          <w:szCs w:val="22"/>
          <w:lang w:val="hy-AM"/>
        </w:rPr>
        <w:t xml:space="preserve"> </w:t>
      </w:r>
      <w:r w:rsidR="00362806" w:rsidRPr="006B3656">
        <w:rPr>
          <w:rFonts w:ascii="GHEA Grapalat" w:eastAsia="Calibri" w:hAnsi="GHEA Grapalat" w:cs="Sylfaen"/>
          <w:noProof/>
          <w:sz w:val="22"/>
          <w:szCs w:val="22"/>
          <w:lang w:val="hy-AM"/>
        </w:rPr>
        <w:t>վարկեր</w:t>
      </w:r>
      <w:r w:rsidR="00362806" w:rsidRPr="00F371F3">
        <w:rPr>
          <w:rFonts w:ascii="GHEA Grapalat" w:eastAsia="Calibri" w:hAnsi="GHEA Grapalat" w:cs="Sylfaen"/>
          <w:noProof/>
          <w:sz w:val="22"/>
          <w:szCs w:val="22"/>
          <w:lang w:val="hy-AM"/>
        </w:rPr>
        <w:t>ի աճ</w:t>
      </w:r>
      <w:r w:rsidR="00362806" w:rsidRPr="006B3656">
        <w:rPr>
          <w:rFonts w:ascii="GHEA Grapalat" w:eastAsia="Calibri" w:hAnsi="GHEA Grapalat" w:cs="Sylfaen"/>
          <w:noProof/>
          <w:sz w:val="22"/>
          <w:szCs w:val="22"/>
          <w:lang w:val="hy-AM"/>
        </w:rPr>
        <w:t>ով</w:t>
      </w:r>
      <w:r w:rsidRPr="006B3656">
        <w:rPr>
          <w:rFonts w:ascii="GHEA Grapalat" w:eastAsia="Calibri" w:hAnsi="GHEA Grapalat" w:cs="Sylfaen"/>
          <w:noProof/>
          <w:sz w:val="22"/>
          <w:szCs w:val="22"/>
          <w:lang w:val="hy-AM"/>
        </w:rPr>
        <w:t>, ինչպես նաև առավել փոքր նպաստումներով սպասարկման, գյուղատնտեսության, արդյունաբերության, տրանսպորտի և կապի ոլորտներին ուղղված վարկեր</w:t>
      </w:r>
      <w:r w:rsidR="008D5787" w:rsidRPr="00F371F3">
        <w:rPr>
          <w:rFonts w:ascii="GHEA Grapalat" w:eastAsia="Calibri" w:hAnsi="GHEA Grapalat" w:cs="Sylfaen"/>
          <w:noProof/>
          <w:sz w:val="22"/>
          <w:szCs w:val="22"/>
          <w:lang w:val="hy-AM"/>
        </w:rPr>
        <w:t>ի աճ</w:t>
      </w:r>
      <w:r w:rsidRPr="006B3656">
        <w:rPr>
          <w:rFonts w:ascii="GHEA Grapalat" w:eastAsia="Calibri" w:hAnsi="GHEA Grapalat" w:cs="Sylfaen"/>
          <w:noProof/>
          <w:sz w:val="22"/>
          <w:szCs w:val="22"/>
          <w:lang w:val="hy-AM"/>
        </w:rPr>
        <w:t>ով:</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p>
    <w:p w:rsidR="00E123C8" w:rsidRPr="006B3656" w:rsidRDefault="00E123C8" w:rsidP="0065183D">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Ռեզիդենտների վարկերի և ավանդների ծավալների աճը (նախորդ տարվա նկատմամբ, %)</w:t>
      </w:r>
    </w:p>
    <w:p w:rsidR="00E123C8" w:rsidRPr="006B3656" w:rsidRDefault="00837E26" w:rsidP="00E123C8">
      <w:pPr>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 </w:t>
      </w:r>
      <w:r w:rsidR="00E123C8" w:rsidRPr="006B3656">
        <w:rPr>
          <w:rFonts w:ascii="GHEA Grapalat" w:hAnsi="GHEA Grapalat"/>
          <w:noProof/>
          <w:sz w:val="28"/>
        </w:rPr>
        <w:drawing>
          <wp:inline distT="0" distB="0" distL="0" distR="0" wp14:anchorId="00474097" wp14:editId="48858306">
            <wp:extent cx="3019425" cy="2877820"/>
            <wp:effectExtent l="0" t="0" r="9525" b="1778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E123C8" w:rsidRPr="006B3656">
        <w:rPr>
          <w:rFonts w:ascii="GHEA Grapalat" w:hAnsi="GHEA Grapalat"/>
          <w:noProof/>
          <w:sz w:val="28"/>
        </w:rPr>
        <w:drawing>
          <wp:inline distT="0" distB="0" distL="0" distR="0" wp14:anchorId="4500506D" wp14:editId="381A4642">
            <wp:extent cx="3024000" cy="2880000"/>
            <wp:effectExtent l="0" t="0" r="5080" b="1587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23C8" w:rsidRPr="006B3656" w:rsidRDefault="00E123C8" w:rsidP="00E123C8">
      <w:pPr>
        <w:spacing w:after="120" w:line="360" w:lineRule="auto"/>
        <w:jc w:val="both"/>
        <w:rPr>
          <w:rFonts w:ascii="GHEA Grapalat" w:hAnsi="GHEA Grapalat" w:cs="GHEA Grapalat"/>
          <w:i/>
          <w:noProof/>
          <w:sz w:val="18"/>
          <w:szCs w:val="18"/>
          <w:lang w:val="hy-AM"/>
        </w:rPr>
      </w:pPr>
      <w:r w:rsidRPr="006B3656">
        <w:rPr>
          <w:rFonts w:ascii="GHEA Grapalat" w:hAnsi="GHEA Grapalat" w:cs="Sylfaen"/>
          <w:i/>
          <w:noProof/>
          <w:sz w:val="18"/>
          <w:szCs w:val="18"/>
          <w:lang w:val="hy-AM"/>
        </w:rPr>
        <w:t xml:space="preserve">Աղբյուրը՝ ՀՀ ԿԲ և ՀՀ ՖՆ հաշվարկներ: </w:t>
      </w:r>
    </w:p>
    <w:p w:rsidR="00E123C8" w:rsidRPr="006B3656" w:rsidRDefault="00E123C8" w:rsidP="00E123C8">
      <w:pPr>
        <w:spacing w:line="360" w:lineRule="auto"/>
        <w:ind w:firstLine="567"/>
        <w:jc w:val="both"/>
        <w:rPr>
          <w:rFonts w:ascii="GHEA Grapalat" w:eastAsia="Calibri" w:hAnsi="GHEA Grapalat" w:cs="Sylfaen"/>
          <w:b/>
          <w:bCs/>
          <w:noProof/>
          <w:sz w:val="22"/>
          <w:szCs w:val="22"/>
          <w:lang w:val="hy-AM"/>
        </w:rPr>
      </w:pP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2024 թվականին ընդհանուր ավանդների՝ այդ թվում ռեզիդենտներից ներգրավված ավանդների ծավալների աճի տեմպը դանդաղել է: Առևտրային բանկերի կողմից ռեզիդենտներից ներգրավված ավանդներն աճել են 14%</w:t>
      </w:r>
      <w:r w:rsidRPr="006B3656">
        <w:rPr>
          <w:rFonts w:ascii="GHEA Grapalat" w:eastAsia="Calibri" w:hAnsi="GHEA Grapalat" w:cs="Sylfaen"/>
          <w:noProof/>
          <w:sz w:val="22"/>
          <w:szCs w:val="22"/>
          <w:lang w:val="hy-AM"/>
        </w:rPr>
        <w:noBreakHyphen/>
        <w:t>ով: Ավանդների աճին 8.6 տոկոսային կետով նպաստել է տնային տնտեսությունների ավանդների աճը, իսկ ձեռնարկությունների ավանդները նպաստել են 4.8 տոկոսային կետով։</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Արժութային կառուցվածքի տեսակետից 9.8 տոկոսային կետով դրական նպաստում է ունեցել դրամային ավանդների աճը, իսկ արտարժութային ավանդների նպաստումը կազմել է 4.2 տոկոսային կետ: Ռեզիդենտների ավանդների աճին ցպահանջ ավանդները նպաստել են 7.5, իսկ ժամկետային ավանդները՝ 6.6 տոկոսային կետով։</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color w:val="000000"/>
          <w:sz w:val="22"/>
          <w:szCs w:val="22"/>
          <w:lang w:val="hy-AM"/>
        </w:rPr>
        <w:t xml:space="preserve">Ոչ ռեզիդենտների ավանդները 2023 թվականի հունիսի համեմատ աճել են 5.4%-ով, ընդ որում՝ ոչ ռեզիդենտների ավանդների կազմում </w:t>
      </w:r>
      <w:r w:rsidRPr="006B3656">
        <w:rPr>
          <w:rFonts w:ascii="GHEA Grapalat" w:eastAsia="Calibri" w:hAnsi="GHEA Grapalat" w:cs="Sylfaen"/>
          <w:noProof/>
          <w:sz w:val="22"/>
          <w:szCs w:val="22"/>
          <w:lang w:val="hy-AM"/>
        </w:rPr>
        <w:t>դրամային ավանդների աճը կազմել է 11.8%, նպաստումը՝ 2.0 տոկոսային կետ, իսկ</w:t>
      </w:r>
      <w:r w:rsidRPr="006B3656">
        <w:rPr>
          <w:rFonts w:ascii="GHEA Grapalat" w:eastAsia="Calibri" w:hAnsi="GHEA Grapalat" w:cs="Sylfaen"/>
          <w:noProof/>
          <w:color w:val="000000"/>
          <w:sz w:val="22"/>
          <w:szCs w:val="22"/>
          <w:lang w:val="hy-AM"/>
        </w:rPr>
        <w:t xml:space="preserve"> </w:t>
      </w:r>
      <w:r w:rsidRPr="006B3656">
        <w:rPr>
          <w:rFonts w:ascii="GHEA Grapalat" w:eastAsia="GHEA Grapalat" w:hAnsi="GHEA Grapalat" w:cs="GHEA Grapalat"/>
          <w:sz w:val="22"/>
          <w:szCs w:val="22"/>
          <w:lang w:val="hy-AM"/>
        </w:rPr>
        <w:t>արտարժութային</w:t>
      </w:r>
      <w:r w:rsidRPr="006B3656">
        <w:rPr>
          <w:rFonts w:ascii="GHEA Grapalat" w:eastAsia="Calibri" w:hAnsi="GHEA Grapalat" w:cs="Sylfaen"/>
          <w:noProof/>
          <w:color w:val="000000"/>
          <w:sz w:val="22"/>
          <w:szCs w:val="22"/>
          <w:lang w:val="hy-AM"/>
        </w:rPr>
        <w:t xml:space="preserve"> ավա</w:t>
      </w:r>
      <w:r w:rsidR="0022112F" w:rsidRPr="00F371F3">
        <w:rPr>
          <w:rFonts w:ascii="GHEA Grapalat" w:eastAsia="Calibri" w:hAnsi="GHEA Grapalat" w:cs="Sylfaen"/>
          <w:noProof/>
          <w:color w:val="000000"/>
          <w:sz w:val="22"/>
          <w:szCs w:val="22"/>
          <w:lang w:val="hy-AM"/>
        </w:rPr>
        <w:t>ն</w:t>
      </w:r>
      <w:r w:rsidRPr="006B3656">
        <w:rPr>
          <w:rFonts w:ascii="GHEA Grapalat" w:eastAsia="Calibri" w:hAnsi="GHEA Grapalat" w:cs="Sylfaen"/>
          <w:noProof/>
          <w:color w:val="000000"/>
          <w:sz w:val="22"/>
          <w:szCs w:val="22"/>
          <w:lang w:val="hy-AM"/>
        </w:rPr>
        <w:t xml:space="preserve">դների </w:t>
      </w:r>
      <w:r w:rsidRPr="006B3656">
        <w:rPr>
          <w:rFonts w:ascii="GHEA Grapalat" w:eastAsia="Calibri" w:hAnsi="GHEA Grapalat" w:cs="Sylfaen"/>
          <w:noProof/>
          <w:sz w:val="22"/>
          <w:szCs w:val="22"/>
          <w:lang w:val="hy-AM"/>
        </w:rPr>
        <w:t xml:space="preserve">աճը կազմել է 4.2% (նպաստումը՝ 3.5 տոկոսային կետ): Արդյունքում ոչ ռեզիդենտների ավանդների ընթացիկ ցուցանիշները 2022 փետրվարի ցուցանիշի համեմատ (մինչև ՌԴ-ից մարդկանց ու կապիտալի ներհոսքը դեպի ՀՀ) շարունակում </w:t>
      </w:r>
      <w:r w:rsidR="000D042A" w:rsidRPr="006B3656">
        <w:rPr>
          <w:rFonts w:ascii="GHEA Grapalat" w:eastAsia="Calibri" w:hAnsi="GHEA Grapalat" w:cs="Sylfaen"/>
          <w:noProof/>
          <w:sz w:val="22"/>
          <w:szCs w:val="22"/>
          <w:lang w:val="hy-AM"/>
        </w:rPr>
        <w:t>են</w:t>
      </w:r>
      <w:r w:rsidRPr="006B3656">
        <w:rPr>
          <w:rFonts w:ascii="GHEA Grapalat" w:eastAsia="Calibri" w:hAnsi="GHEA Grapalat" w:cs="Sylfaen"/>
          <w:noProof/>
          <w:sz w:val="22"/>
          <w:szCs w:val="22"/>
          <w:lang w:val="hy-AM"/>
        </w:rPr>
        <w:t xml:space="preserve"> զգալիորեն բարձր մնալ՝ 2024 թվականի հունիսի դրությամբ շուրջ 58.2%-ով կամ 507 մլրդ դրամով։</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2024 թվականի ընթացքում ավանդների դոլարայնացման մակարդակը` ի համեմատ նախորդ տարվա նույն ժամանակահատվածի նվազել է 1.9 տոկոսային կետով` հունիսին կազմելով 49.8%, իսկ վարկերի դոլարայնացման մակարդակը նվազել է 1.8 տոկոսային կետով` կազմելով 33.6%: Միայն ռեզիդենտների ցուցանիշները դիտարկելու </w:t>
      </w:r>
      <w:r w:rsidRPr="006B3656">
        <w:rPr>
          <w:rFonts w:ascii="GHEA Grapalat" w:eastAsia="GHEA Grapalat" w:hAnsi="GHEA Grapalat" w:cs="GHEA Grapalat"/>
          <w:sz w:val="22"/>
          <w:szCs w:val="22"/>
          <w:lang w:val="hy-AM"/>
        </w:rPr>
        <w:t>դեպքում</w:t>
      </w:r>
      <w:r w:rsidRPr="006B3656">
        <w:rPr>
          <w:rFonts w:ascii="GHEA Grapalat" w:eastAsia="Calibri" w:hAnsi="GHEA Grapalat" w:cs="Sylfaen"/>
          <w:noProof/>
          <w:sz w:val="22"/>
          <w:szCs w:val="22"/>
          <w:lang w:val="hy-AM"/>
        </w:rPr>
        <w:t xml:space="preserve">, ավանդների դոլարայնացումը նախորդ տարվա համեմատ նվազել է 1.3 տոկոսային կետով՝ կազմելով 39.7%, իսկ վարկերի դոլարայնացումը նվազել է 2.2 տոկոսային կետով՝ կազմելով 31.9%։ </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p>
    <w:p w:rsidR="00E123C8" w:rsidRPr="006B3656" w:rsidRDefault="00E123C8" w:rsidP="0065183D">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ՀՀ բանկերի վարկային և ավանդային պորտֆելները, 2020-2024թթ</w:t>
      </w:r>
      <w:r w:rsidRPr="006B3656">
        <w:rPr>
          <w:rFonts w:ascii="Cambria Math" w:hAnsi="Cambria Math" w:cs="Cambria Math"/>
          <w:lang w:val="hy-AM"/>
        </w:rPr>
        <w:t>․</w:t>
      </w:r>
      <w:r w:rsidRPr="006B3656">
        <w:rPr>
          <w:lang w:val="hy-AM"/>
        </w:rPr>
        <w:t xml:space="preserve"> </w:t>
      </w:r>
    </w:p>
    <w:p w:rsidR="00E123C8" w:rsidRPr="006B3656" w:rsidRDefault="00E123C8" w:rsidP="00E123C8">
      <w:pPr>
        <w:spacing w:line="360" w:lineRule="auto"/>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rPr>
        <w:drawing>
          <wp:inline distT="0" distB="0" distL="0" distR="0" wp14:anchorId="63061197" wp14:editId="7ADDAFDC">
            <wp:extent cx="3114675" cy="2879725"/>
            <wp:effectExtent l="0" t="0" r="9525" b="158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rPr>
        <w:drawing>
          <wp:inline distT="0" distB="0" distL="0" distR="0" wp14:anchorId="25B07B3E" wp14:editId="7E74B7C9">
            <wp:extent cx="3158836" cy="2879725"/>
            <wp:effectExtent l="0" t="0" r="3810" b="1587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123C8" w:rsidRPr="006B3656" w:rsidRDefault="00E123C8" w:rsidP="00E123C8">
      <w:pPr>
        <w:spacing w:after="120" w:line="360" w:lineRule="auto"/>
        <w:jc w:val="both"/>
        <w:rPr>
          <w:rFonts w:ascii="GHEA Grapalat" w:eastAsia="Calibri" w:hAnsi="GHEA Grapalat" w:cs="Sylfaen"/>
          <w:i/>
          <w:iCs/>
          <w:noProof/>
          <w:sz w:val="22"/>
          <w:szCs w:val="22"/>
          <w:lang w:val="hy-AM"/>
        </w:rPr>
      </w:pPr>
      <w:r w:rsidRPr="006B3656">
        <w:rPr>
          <w:rFonts w:ascii="GHEA Grapalat" w:hAnsi="GHEA Grapalat"/>
          <w:i/>
          <w:iCs/>
          <w:noProof/>
          <w:sz w:val="18"/>
          <w:szCs w:val="18"/>
          <w:lang w:val="hy-AM"/>
        </w:rPr>
        <w:t>Աղբյուրը՝ ՀՀ ԿԲ, ՀՀ ՖՆ հաշվարկներ</w:t>
      </w:r>
    </w:p>
    <w:p w:rsidR="00E123C8" w:rsidRPr="006B3656" w:rsidRDefault="00E123C8" w:rsidP="008232D7">
      <w:pPr>
        <w:ind w:firstLine="567"/>
        <w:jc w:val="both"/>
        <w:rPr>
          <w:rFonts w:ascii="GHEA Grapalat" w:eastAsia="Calibri" w:hAnsi="GHEA Grapalat" w:cs="Sylfaen"/>
          <w:noProof/>
          <w:sz w:val="22"/>
          <w:szCs w:val="22"/>
          <w:lang w:val="hy-AM"/>
        </w:rPr>
      </w:pP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hAnsi="GHEA Grapalat" w:cs="GHEA Grapalat"/>
          <w:b/>
          <w:i/>
          <w:noProof/>
          <w:sz w:val="22"/>
          <w:szCs w:val="22"/>
          <w:lang w:val="hy-AM"/>
        </w:rPr>
        <w:t>Վարկերի և ավանդների տոկոսադրույքներ:</w:t>
      </w:r>
      <w:r w:rsidRPr="006B3656">
        <w:rPr>
          <w:rFonts w:ascii="GHEA Grapalat" w:hAnsi="GHEA Grapalat" w:cs="GHEA Grapalat"/>
          <w:noProof/>
          <w:sz w:val="22"/>
          <w:szCs w:val="22"/>
          <w:lang w:val="hy-AM"/>
        </w:rPr>
        <w:t xml:space="preserve"> </w:t>
      </w:r>
      <w:r w:rsidRPr="006B3656">
        <w:rPr>
          <w:rFonts w:ascii="GHEA Grapalat" w:eastAsia="Calibri" w:hAnsi="GHEA Grapalat" w:cs="Sylfaen"/>
          <w:noProof/>
          <w:sz w:val="22"/>
          <w:szCs w:val="22"/>
          <w:lang w:val="hy-AM"/>
        </w:rPr>
        <w:t xml:space="preserve">Վարկերի և ավանդների տոկոսադրույքները որոշ տատանումներ են ունեցել՝ ընդհանուր առմամբ գտնվելով վերջին տարիների իրենց միջին արժեքների շուրջ: 2024 թվականի առաջին կիսամյակի ընթացքում ՀՀ դրամով վարկավորման (մինչև մեկ տարի ժամկետով) միջին տարեկան </w:t>
      </w:r>
      <w:r w:rsidR="00C46299" w:rsidRPr="006B3656">
        <w:rPr>
          <w:rFonts w:ascii="GHEA Grapalat" w:eastAsia="Calibri" w:hAnsi="GHEA Grapalat" w:cs="Sylfaen"/>
          <w:noProof/>
          <w:sz w:val="22"/>
          <w:szCs w:val="22"/>
          <w:lang w:val="hy-AM"/>
        </w:rPr>
        <w:t>տոկոսադրույքն</w:t>
      </w:r>
      <w:r w:rsidRPr="006B3656">
        <w:rPr>
          <w:rFonts w:ascii="GHEA Grapalat" w:eastAsia="Calibri" w:hAnsi="GHEA Grapalat" w:cs="Sylfaen"/>
          <w:noProof/>
          <w:sz w:val="22"/>
          <w:szCs w:val="22"/>
          <w:lang w:val="hy-AM"/>
        </w:rPr>
        <w:t xml:space="preserve"> աճել է 0.8 տոկոսային կետով և կազմել 12.9% (2023 թվականի հունիսին՝ 12.1%),</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իսկ ՀՀ դրամային ավանդների (մինչև մեկ տարի ժամկետով) միջին տոկոսադրույքը նվազել է 0.1 տոկոսային կետով և կազմել 8.3% (2023 թվականի հունիսին՝ 8</w:t>
      </w:r>
      <w:r w:rsidRPr="006B3656">
        <w:rPr>
          <w:rFonts w:ascii="Cambria Math" w:eastAsia="Calibri" w:hAnsi="Cambria Math" w:cs="Cambria Math"/>
          <w:noProof/>
          <w:sz w:val="22"/>
          <w:szCs w:val="22"/>
          <w:lang w:val="hy-AM"/>
        </w:rPr>
        <w:t>․</w:t>
      </w:r>
      <w:r w:rsidRPr="006B3656">
        <w:rPr>
          <w:rFonts w:ascii="GHEA Grapalat" w:eastAsia="Calibri" w:hAnsi="GHEA Grapalat" w:cs="Sylfaen"/>
          <w:noProof/>
          <w:sz w:val="22"/>
          <w:szCs w:val="22"/>
          <w:lang w:val="hy-AM"/>
        </w:rPr>
        <w:t>4%) Արտարժույթով ավանդների (մինչև մեկ տարի ժամկետով) տոկոսադրույքը նվազել է 0.1 տոկոսային կետով՝ կազմելով 2.5%, իսկ վարկերի (մինչև մեկ տարի ժամկետով) տոկոսադրույքը կազմել է 8%՝ նվազելով 0.9 տոկոսային կետով:</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Ֆինանսական շուկայում արտարժույթով և դրամով միջին կշռված (մինչև 1 տարի ժամկետով) տոկոսադրույքների միջև միջին սպրեդը 2024 թվականի հունվար-հունիսին նախորդ տարվա նույն ժամանակահատվածի նկատմամբ աճել է 0.2 տոկոսային կետով և կազմել 5</w:t>
      </w:r>
      <w:r w:rsidRPr="006B3656">
        <w:rPr>
          <w:rFonts w:ascii="Cambria Math" w:eastAsia="Calibri" w:hAnsi="Cambria Math" w:cs="Cambria Math"/>
          <w:noProof/>
          <w:sz w:val="22"/>
          <w:szCs w:val="22"/>
          <w:lang w:val="hy-AM"/>
        </w:rPr>
        <w:t>․</w:t>
      </w:r>
      <w:r w:rsidRPr="006B3656">
        <w:rPr>
          <w:rFonts w:ascii="GHEA Grapalat" w:eastAsia="Calibri" w:hAnsi="GHEA Grapalat" w:cs="Sylfaen"/>
          <w:noProof/>
          <w:sz w:val="22"/>
          <w:szCs w:val="22"/>
          <w:lang w:val="hy-AM"/>
        </w:rPr>
        <w:t>9%: Դրամով վարկերի և ավանդների միջև տոկոսադրույքների սպրեդը կազմել է 4.7%՝ աճելով 0.9 տոկսային կետով, իսկ արտարժույթով վարկերի և ավանդների սպրեդ</w:t>
      </w:r>
      <w:r w:rsidR="0089661E" w:rsidRPr="00F371F3">
        <w:rPr>
          <w:rFonts w:ascii="GHEA Grapalat" w:eastAsia="Calibri" w:hAnsi="GHEA Grapalat" w:cs="Sylfaen"/>
          <w:noProof/>
          <w:sz w:val="22"/>
          <w:szCs w:val="22"/>
          <w:lang w:val="hy-AM"/>
        </w:rPr>
        <w:t>ն</w:t>
      </w:r>
      <w:r w:rsidRPr="006B3656">
        <w:rPr>
          <w:rFonts w:ascii="GHEA Grapalat" w:eastAsia="Calibri" w:hAnsi="GHEA Grapalat" w:cs="Sylfaen"/>
          <w:noProof/>
          <w:sz w:val="22"/>
          <w:szCs w:val="22"/>
          <w:lang w:val="hy-AM"/>
        </w:rPr>
        <w:t xml:space="preserve"> աճել է 0.5 տոկոսային կետով՝ կազմելով 5.3%:</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hAnsi="GHEA Grapalat" w:cs="GHEA Grapalat"/>
          <w:b/>
          <w:i/>
          <w:noProof/>
          <w:sz w:val="22"/>
          <w:szCs w:val="22"/>
          <w:lang w:val="hy-AM"/>
        </w:rPr>
        <w:t>ՀՀ պետական պարտատոմսերի շուկա:</w:t>
      </w:r>
      <w:r w:rsidRPr="006B3656">
        <w:rPr>
          <w:rFonts w:ascii="GHEA Grapalat" w:hAnsi="GHEA Grapalat" w:cs="GHEA Grapalat"/>
          <w:noProof/>
          <w:sz w:val="22"/>
          <w:szCs w:val="22"/>
          <w:lang w:val="hy-AM"/>
        </w:rPr>
        <w:t xml:space="preserve"> </w:t>
      </w:r>
      <w:r w:rsidRPr="006B3656">
        <w:rPr>
          <w:rFonts w:ascii="GHEA Grapalat" w:eastAsia="Calibri" w:hAnsi="GHEA Grapalat" w:cs="Sylfaen"/>
          <w:noProof/>
          <w:sz w:val="22"/>
          <w:szCs w:val="22"/>
          <w:lang w:val="hy-AM"/>
        </w:rPr>
        <w:t>ՀՀ պետական պարտատոմսերի շուկայում ՊՊ տեղաբաշխման միջին կշռված եկամտաբերությունները նվազել են, ինչին նպաստել է ՀՀ ԿԲ կողմից դրամավարկային քաղաքականության մեղմացումը, ինչպես նաև պարտատոմսերի նկատմամբ բարձր պահանջարկը, որ</w:t>
      </w:r>
      <w:r w:rsidR="0089661E" w:rsidRPr="00F371F3">
        <w:rPr>
          <w:rFonts w:ascii="GHEA Grapalat" w:eastAsia="Calibri" w:hAnsi="GHEA Grapalat" w:cs="Sylfaen"/>
          <w:noProof/>
          <w:sz w:val="22"/>
          <w:szCs w:val="22"/>
          <w:lang w:val="hy-AM"/>
        </w:rPr>
        <w:t>ն</w:t>
      </w:r>
      <w:r w:rsidRPr="006B3656">
        <w:rPr>
          <w:rFonts w:ascii="GHEA Grapalat" w:eastAsia="Calibri" w:hAnsi="GHEA Grapalat" w:cs="Sylfaen"/>
          <w:noProof/>
          <w:sz w:val="22"/>
          <w:szCs w:val="22"/>
          <w:lang w:val="hy-AM"/>
        </w:rPr>
        <w:t xml:space="preserve"> օժանդակություն է գտել բանկային համակարգում կուտակված լրացուցիչ իրացվելիությամբ և օտարերկրյա ներդրողների կողմից դիտված որոշակի ակտիվությամբ: Եթե 2023 թվականի հունվար-հունիսին տեղաբաշխված պետական պարտատոմսերի միջին կշռված եկամտաբերությունը կազմել էր 11.6%, ապա 2024 թվականի նույն ժամանակահատվածում այն կազմել է 10% կամ շուրջ 1.6 տոկոսային կետով ցածր:</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2024 թվականի հունվար-հունիսին տեղաբաշխված պետական պարտատոմսերի ծավալը կազմել է 341.2 մլրդ դրամ՝ 2023 թվականի նույն ժամանակահատվածի </w:t>
      </w:r>
      <w:r w:rsidRPr="006B3656">
        <w:rPr>
          <w:rFonts w:ascii="GHEA Grapalat" w:eastAsia="GHEA Grapalat" w:hAnsi="GHEA Grapalat" w:cs="GHEA Grapalat"/>
          <w:noProof/>
          <w:sz w:val="22"/>
          <w:szCs w:val="22"/>
          <w:lang w:val="hy-AM"/>
        </w:rPr>
        <w:t xml:space="preserve">319.3 </w:t>
      </w:r>
      <w:r w:rsidRPr="006B3656">
        <w:rPr>
          <w:rFonts w:ascii="GHEA Grapalat" w:eastAsia="Calibri" w:hAnsi="GHEA Grapalat" w:cs="Sylfaen"/>
          <w:noProof/>
          <w:sz w:val="22"/>
          <w:szCs w:val="22"/>
          <w:lang w:val="hy-AM"/>
        </w:rPr>
        <w:t xml:space="preserve">մլրդ դրամի դիմաց, իսկ տեղաբաշխման միջին </w:t>
      </w:r>
      <w:r w:rsidRPr="006B3656">
        <w:rPr>
          <w:rFonts w:ascii="GHEA Grapalat" w:eastAsia="GHEA Grapalat" w:hAnsi="GHEA Grapalat" w:cs="GHEA Grapalat"/>
          <w:sz w:val="22"/>
          <w:szCs w:val="22"/>
          <w:lang w:val="hy-AM"/>
        </w:rPr>
        <w:t>կշռված</w:t>
      </w:r>
      <w:r w:rsidRPr="006B3656">
        <w:rPr>
          <w:rFonts w:ascii="GHEA Grapalat" w:eastAsia="Calibri" w:hAnsi="GHEA Grapalat" w:cs="Sylfaen"/>
          <w:noProof/>
          <w:sz w:val="22"/>
          <w:szCs w:val="22"/>
          <w:lang w:val="hy-AM"/>
        </w:rPr>
        <w:t xml:space="preserve"> ժամկետայնությունը կազմել է 1602 օր՝ 2023 թվականի նույն ժամանակահատվածի </w:t>
      </w:r>
      <w:r w:rsidRPr="006B3656">
        <w:rPr>
          <w:rFonts w:ascii="GHEA Grapalat" w:eastAsia="GHEA Grapalat" w:hAnsi="GHEA Grapalat" w:cs="GHEA Grapalat"/>
          <w:noProof/>
          <w:sz w:val="22"/>
          <w:szCs w:val="22"/>
          <w:lang w:val="hy-AM"/>
        </w:rPr>
        <w:t xml:space="preserve">2021 </w:t>
      </w:r>
      <w:r w:rsidRPr="006B3656">
        <w:rPr>
          <w:rFonts w:ascii="GHEA Grapalat" w:eastAsia="Calibri" w:hAnsi="GHEA Grapalat" w:cs="Sylfaen"/>
          <w:noProof/>
          <w:sz w:val="22"/>
          <w:szCs w:val="22"/>
          <w:lang w:val="hy-AM"/>
        </w:rPr>
        <w:t>օր ցուցանիշի համեմատ:</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2024 թվականի հունվար-հունիսին պետական (շուկայական) պարտատոմսերի նկատմամբ պահանջարկը գերազանցել է տեղաբաշխման ցուցանիշը 1.9 անգամ (2023 թվականի նույն ժամանակահատվածում՝ 2.1 անգամ), իսկ տեղաբաշխման ենթակա ծավալ/տեղաբաշխված ծավալ միջին հարաբերակցությունը կազմել է 1.2 (2023 թվականի նույն ժամանակահատվածում` 1.1):</w:t>
      </w:r>
    </w:p>
    <w:p w:rsidR="00E123C8" w:rsidRPr="006B3656" w:rsidRDefault="00E123C8" w:rsidP="008232D7">
      <w:pPr>
        <w:ind w:firstLine="567"/>
        <w:jc w:val="both"/>
        <w:rPr>
          <w:rFonts w:ascii="GHEA Grapalat" w:eastAsia="Calibri" w:hAnsi="GHEA Grapalat" w:cs="Sylfaen"/>
          <w:noProof/>
          <w:sz w:val="22"/>
          <w:szCs w:val="22"/>
          <w:lang w:val="hy-AM"/>
        </w:rPr>
      </w:pPr>
    </w:p>
    <w:p w:rsidR="00E123C8" w:rsidRPr="006B3656" w:rsidRDefault="00E123C8" w:rsidP="000E5FE0">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ՀՀ</w:t>
      </w:r>
      <w:r w:rsidR="00837E26" w:rsidRPr="006B3656">
        <w:rPr>
          <w:lang w:val="hy-AM"/>
        </w:rPr>
        <w:t xml:space="preserve"> </w:t>
      </w:r>
      <w:r w:rsidRPr="006B3656">
        <w:rPr>
          <w:lang w:val="hy-AM"/>
        </w:rPr>
        <w:t>պետական պարտատոմսերի առաջնային շուկայի զարգացումները 2020-2024թթ</w:t>
      </w:r>
      <w:r w:rsidRPr="006B3656">
        <w:rPr>
          <w:rFonts w:ascii="Cambria Math" w:hAnsi="Cambria Math" w:cs="Cambria Math"/>
          <w:lang w:val="hy-AM"/>
        </w:rPr>
        <w:t>․</w:t>
      </w:r>
      <w:r w:rsidRPr="006B3656">
        <w:rPr>
          <w:lang w:val="hy-AM"/>
        </w:rPr>
        <w:t xml:space="preserve"> </w:t>
      </w:r>
    </w:p>
    <w:p w:rsidR="00E123C8" w:rsidRPr="006B3656" w:rsidRDefault="00E123C8" w:rsidP="00E123C8">
      <w:pPr>
        <w:spacing w:line="360" w:lineRule="auto"/>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rPr>
        <w:drawing>
          <wp:inline distT="0" distB="0" distL="0" distR="0" wp14:anchorId="5EBB980C" wp14:editId="5DC4F247">
            <wp:extent cx="3162300" cy="2879725"/>
            <wp:effectExtent l="0" t="0" r="0" b="158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rPr>
        <w:drawing>
          <wp:inline distT="0" distB="0" distL="0" distR="0" wp14:anchorId="678F798A" wp14:editId="0636849E">
            <wp:extent cx="3240000" cy="2880000"/>
            <wp:effectExtent l="0" t="0" r="17780"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123C8" w:rsidRPr="006B3656" w:rsidRDefault="00E123C8" w:rsidP="00E123C8">
      <w:pPr>
        <w:spacing w:after="120" w:line="360" w:lineRule="auto"/>
        <w:jc w:val="both"/>
        <w:rPr>
          <w:rFonts w:ascii="GHEA Grapalat" w:eastAsia="Calibri" w:hAnsi="GHEA Grapalat" w:cs="Sylfaen"/>
          <w:i/>
          <w:noProof/>
          <w:sz w:val="22"/>
          <w:szCs w:val="22"/>
          <w:lang w:val="hy-AM"/>
        </w:rPr>
      </w:pPr>
      <w:r w:rsidRPr="006B3656">
        <w:rPr>
          <w:rFonts w:ascii="GHEA Grapalat" w:hAnsi="GHEA Grapalat"/>
          <w:i/>
          <w:noProof/>
          <w:sz w:val="18"/>
          <w:szCs w:val="18"/>
          <w:lang w:val="hy-AM"/>
        </w:rPr>
        <w:t>Աղբյուրը՝ ՀՀ ՖՆ</w:t>
      </w:r>
    </w:p>
    <w:p w:rsidR="00E123C8" w:rsidRPr="006B3656" w:rsidRDefault="00E123C8" w:rsidP="000E5FE0">
      <w:pPr>
        <w:ind w:firstLine="567"/>
        <w:jc w:val="both"/>
        <w:rPr>
          <w:rFonts w:ascii="GHEA Grapalat" w:eastAsia="Calibri" w:hAnsi="GHEA Grapalat" w:cs="Sylfaen"/>
          <w:noProof/>
          <w:sz w:val="22"/>
          <w:szCs w:val="22"/>
          <w:lang w:val="hy-AM"/>
        </w:rPr>
      </w:pP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hAnsi="GHEA Grapalat" w:cs="GHEA Grapalat"/>
          <w:b/>
          <w:i/>
          <w:noProof/>
          <w:sz w:val="22"/>
          <w:szCs w:val="22"/>
          <w:lang w:val="hy-AM"/>
        </w:rPr>
        <w:t>ՀՀ եվր</w:t>
      </w:r>
      <w:r w:rsidR="00102612" w:rsidRPr="00F371F3">
        <w:rPr>
          <w:rFonts w:ascii="GHEA Grapalat" w:hAnsi="GHEA Grapalat" w:cs="GHEA Grapalat"/>
          <w:b/>
          <w:i/>
          <w:noProof/>
          <w:sz w:val="22"/>
          <w:szCs w:val="22"/>
          <w:lang w:val="hy-AM"/>
        </w:rPr>
        <w:t>ա</w:t>
      </w:r>
      <w:r w:rsidRPr="006B3656">
        <w:rPr>
          <w:rFonts w:ascii="GHEA Grapalat" w:hAnsi="GHEA Grapalat" w:cs="GHEA Grapalat"/>
          <w:b/>
          <w:i/>
          <w:noProof/>
          <w:sz w:val="22"/>
          <w:szCs w:val="22"/>
          <w:lang w:val="hy-AM"/>
        </w:rPr>
        <w:t>պարտատոմսերի երկրորդային շուկա:</w:t>
      </w:r>
      <w:r w:rsidRPr="006B3656">
        <w:rPr>
          <w:rFonts w:ascii="GHEA Grapalat" w:hAnsi="GHEA Grapalat" w:cs="GHEA Grapalat"/>
          <w:noProof/>
          <w:sz w:val="22"/>
          <w:szCs w:val="22"/>
          <w:lang w:val="hy-AM"/>
        </w:rPr>
        <w:t xml:space="preserve"> </w:t>
      </w:r>
      <w:r w:rsidRPr="006B3656">
        <w:rPr>
          <w:rFonts w:ascii="GHEA Grapalat" w:eastAsia="Calibri" w:hAnsi="GHEA Grapalat" w:cs="Sylfaen"/>
          <w:noProof/>
          <w:sz w:val="22"/>
          <w:szCs w:val="22"/>
          <w:lang w:val="hy-AM"/>
        </w:rPr>
        <w:t>ՀՀ եվր</w:t>
      </w:r>
      <w:r w:rsidR="00102612" w:rsidRPr="00F371F3">
        <w:rPr>
          <w:rFonts w:ascii="GHEA Grapalat" w:eastAsia="Calibri" w:hAnsi="GHEA Grapalat" w:cs="Sylfaen"/>
          <w:noProof/>
          <w:sz w:val="22"/>
          <w:szCs w:val="22"/>
          <w:lang w:val="hy-AM"/>
        </w:rPr>
        <w:t>ա</w:t>
      </w:r>
      <w:r w:rsidRPr="006B3656">
        <w:rPr>
          <w:rFonts w:ascii="GHEA Grapalat" w:eastAsia="Calibri" w:hAnsi="GHEA Grapalat" w:cs="Sylfaen"/>
          <w:noProof/>
          <w:sz w:val="22"/>
          <w:szCs w:val="22"/>
          <w:lang w:val="hy-AM"/>
        </w:rPr>
        <w:t xml:space="preserve">պարտատոմսերի երկրորդային շուկայում եկամտաբերությունները 2024 թվականի </w:t>
      </w:r>
      <w:r w:rsidR="005A0252" w:rsidRPr="006B3656">
        <w:rPr>
          <w:rFonts w:ascii="GHEA Grapalat" w:eastAsia="Calibri" w:hAnsi="GHEA Grapalat" w:cs="Sylfaen"/>
          <w:noProof/>
          <w:sz w:val="22"/>
          <w:szCs w:val="22"/>
          <w:lang w:val="hy-AM"/>
        </w:rPr>
        <w:t>առաջին</w:t>
      </w:r>
      <w:r w:rsidRPr="006B3656">
        <w:rPr>
          <w:rFonts w:ascii="GHEA Grapalat" w:eastAsia="Calibri" w:hAnsi="GHEA Grapalat" w:cs="Sylfaen"/>
          <w:noProof/>
          <w:sz w:val="22"/>
          <w:szCs w:val="22"/>
          <w:lang w:val="hy-AM"/>
        </w:rPr>
        <w:t xml:space="preserve"> կիսամյակում 2023 թվականի նույն ժամանակահատվածի համեմատ նվազել են, ինչը պայմանավորված է եղել երկրի ռիսկի հավելավճարի զգալի նվազմամբ։ Միջազգային կապիտալի շուկայում 2015 թվականին 7.5% եկամտաբերությամբ թողարկված պետական արտարժութային պարտատոմսերի եկամտաբերությունը 2024 թվականի հունվար-հունիսին միջինում կազմել է 6%՝ 2023 թվականի նույն ժամանակահատվածում արձանագրված 6.3%-ի դիմաց, 2019 թվականին 4.2% եկամտաբերությամբ թողարկված պարտատոմսերի եկամտաբերությունը միջինում կազմել է 7%` 2023 թվականի նույն ժամանակահատվածում գրանցված 7.3%-ի դիմաց, իսկ 2021 թվականի փետրվարին 3.9% եկամտաբերությամբ թողարկված պարտատոմսերի եկամտաբերությունը միջինում կազմել է 7.2%` նախորդ տարվա նույն ժամանակահատվածի 7.3%-ի համեմատությամբ։</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Պետք է նշել, որ 2024</w:t>
      </w:r>
      <w:r w:rsidR="00E0049F" w:rsidRPr="00F371F3">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թ</w:t>
      </w:r>
      <w:r w:rsidR="00E0049F" w:rsidRPr="00F371F3">
        <w:rPr>
          <w:rFonts w:ascii="GHEA Grapalat" w:eastAsia="Calibri" w:hAnsi="GHEA Grapalat" w:cs="Sylfaen"/>
          <w:noProof/>
          <w:sz w:val="22"/>
          <w:szCs w:val="22"/>
          <w:lang w:val="hy-AM"/>
        </w:rPr>
        <w:t>վականի</w:t>
      </w:r>
      <w:r w:rsidRPr="006B3656">
        <w:rPr>
          <w:rFonts w:ascii="GHEA Grapalat" w:eastAsia="Calibri" w:hAnsi="GHEA Grapalat" w:cs="Sylfaen"/>
          <w:noProof/>
          <w:sz w:val="22"/>
          <w:szCs w:val="22"/>
          <w:lang w:val="hy-AM"/>
        </w:rPr>
        <w:t xml:space="preserve"> առաջին կիսամյակում տոկոսադրույքները զարգացած երկրներում պահպանվել են բարձր մակարդակում՝ կենտրոնական բանկերի կողմից կոշտ դրամավարկային քաղաքականության դիրքի պահպանմամբ պայմանավորված։ Այսպես, ԱՄՆ 10 տարի ժամկետայնությամբ պետական պարտատոմսերի եկամտաբերությունը միջինում կազմել է 4.3%` 2023</w:t>
      </w:r>
      <w:r w:rsidR="00E0049F" w:rsidRPr="00BE2DF1">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թ</w:t>
      </w:r>
      <w:r w:rsidR="00E0049F" w:rsidRPr="00BE2DF1">
        <w:rPr>
          <w:rFonts w:ascii="GHEA Grapalat" w:eastAsia="Calibri" w:hAnsi="GHEA Grapalat" w:cs="Sylfaen"/>
          <w:noProof/>
          <w:sz w:val="22"/>
          <w:szCs w:val="22"/>
          <w:lang w:val="hy-AM"/>
        </w:rPr>
        <w:t>վական</w:t>
      </w:r>
      <w:r w:rsidRPr="006B3656">
        <w:rPr>
          <w:rFonts w:ascii="GHEA Grapalat" w:eastAsia="Calibri" w:hAnsi="GHEA Grapalat" w:cs="Sylfaen"/>
          <w:noProof/>
          <w:sz w:val="22"/>
          <w:szCs w:val="22"/>
          <w:lang w:val="hy-AM"/>
        </w:rPr>
        <w:t xml:space="preserve">ի </w:t>
      </w:r>
      <w:r w:rsidR="005A0252" w:rsidRPr="006B3656">
        <w:rPr>
          <w:rFonts w:ascii="GHEA Grapalat" w:eastAsia="Calibri" w:hAnsi="GHEA Grapalat" w:cs="Sylfaen"/>
          <w:noProof/>
          <w:sz w:val="22"/>
          <w:szCs w:val="22"/>
          <w:lang w:val="hy-AM"/>
        </w:rPr>
        <w:t>առաջին</w:t>
      </w:r>
      <w:r w:rsidRPr="006B3656">
        <w:rPr>
          <w:rFonts w:ascii="GHEA Grapalat" w:eastAsia="Calibri" w:hAnsi="GHEA Grapalat" w:cs="Sylfaen"/>
          <w:noProof/>
          <w:sz w:val="22"/>
          <w:szCs w:val="22"/>
          <w:lang w:val="hy-AM"/>
        </w:rPr>
        <w:t xml:space="preserve"> կիսամյակի 3.6%-ի համեմատությամբ։ Չնայած դրան, զարգացող երկրների ռիսկի հավելավճարներ</w:t>
      </w:r>
      <w:r w:rsidR="00E0049F" w:rsidRPr="00BE2DF1">
        <w:rPr>
          <w:rFonts w:ascii="GHEA Grapalat" w:eastAsia="Calibri" w:hAnsi="GHEA Grapalat" w:cs="Sylfaen"/>
          <w:noProof/>
          <w:sz w:val="22"/>
          <w:szCs w:val="22"/>
          <w:lang w:val="hy-AM"/>
        </w:rPr>
        <w:t>ն</w:t>
      </w:r>
      <w:r w:rsidRPr="006B3656">
        <w:rPr>
          <w:rFonts w:ascii="GHEA Grapalat" w:eastAsia="Calibri" w:hAnsi="GHEA Grapalat" w:cs="Sylfaen"/>
          <w:noProof/>
          <w:sz w:val="22"/>
          <w:szCs w:val="22"/>
          <w:lang w:val="hy-AM"/>
        </w:rPr>
        <w:t xml:space="preserve"> էականորեն նվազել են, և 2021-2022թթ</w:t>
      </w:r>
      <w:r w:rsidRPr="006B3656">
        <w:rPr>
          <w:rFonts w:ascii="Cambria Math" w:eastAsia="Calibri" w:hAnsi="Cambria Math" w:cs="Cambria Math"/>
          <w:noProof/>
          <w:sz w:val="22"/>
          <w:szCs w:val="22"/>
          <w:lang w:val="hy-AM"/>
        </w:rPr>
        <w:t>․</w:t>
      </w:r>
      <w:r w:rsidRPr="006B3656">
        <w:rPr>
          <w:rFonts w:ascii="GHEA Grapalat" w:eastAsia="Calibri" w:hAnsi="GHEA Grapalat" w:cs="Sylfaen"/>
          <w:noProof/>
          <w:sz w:val="22"/>
          <w:szCs w:val="22"/>
          <w:lang w:val="hy-AM"/>
        </w:rPr>
        <w:t xml:space="preserve"> զգալի աճից հետո 2023</w:t>
      </w:r>
      <w:r w:rsidR="00E0049F" w:rsidRPr="00BE2DF1">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թ</w:t>
      </w:r>
      <w:r w:rsidR="00E0049F" w:rsidRPr="00BE2DF1">
        <w:rPr>
          <w:rFonts w:ascii="GHEA Grapalat" w:eastAsia="Calibri" w:hAnsi="GHEA Grapalat" w:cs="Sylfaen"/>
          <w:noProof/>
          <w:sz w:val="22"/>
          <w:szCs w:val="22"/>
          <w:lang w:val="hy-AM"/>
        </w:rPr>
        <w:t>վական</w:t>
      </w:r>
      <w:r w:rsidRPr="006B3656">
        <w:rPr>
          <w:rFonts w:ascii="GHEA Grapalat" w:eastAsia="Calibri" w:hAnsi="GHEA Grapalat" w:cs="Sylfaen"/>
          <w:noProof/>
          <w:sz w:val="22"/>
          <w:szCs w:val="22"/>
          <w:lang w:val="hy-AM"/>
        </w:rPr>
        <w:t>ի ընթացքում մոտեցել են նախկին մակարդակներին, ինչը պայմանավորված է ինչպես զարգացած երկրներում տոկոսադրույքի հետագա նվազման սպասումներով, այնպես էլ առանձին զարգացող երկրներում աճի դրական միտումներով։</w:t>
      </w:r>
    </w:p>
    <w:p w:rsidR="00E123C8" w:rsidRPr="006B3656" w:rsidRDefault="00E123C8" w:rsidP="000E5FE0">
      <w:pPr>
        <w:ind w:firstLine="567"/>
        <w:jc w:val="both"/>
        <w:rPr>
          <w:rFonts w:ascii="GHEA Grapalat" w:eastAsia="Calibri" w:hAnsi="GHEA Grapalat" w:cs="Sylfaen"/>
          <w:noProof/>
          <w:sz w:val="22"/>
          <w:szCs w:val="22"/>
          <w:lang w:val="hy-AM"/>
        </w:rPr>
      </w:pPr>
    </w:p>
    <w:p w:rsidR="00E123C8" w:rsidRPr="006B3656" w:rsidRDefault="00E123C8" w:rsidP="000E5FE0">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ՀՀ եվրոբոնդերի եկամտաբերությունները և ռիսկի հավելավճարը 2020-2024թթ</w:t>
      </w:r>
      <w:r w:rsidRPr="006B3656">
        <w:rPr>
          <w:rFonts w:ascii="Cambria Math" w:hAnsi="Cambria Math" w:cs="Cambria Math"/>
          <w:lang w:val="hy-AM"/>
        </w:rPr>
        <w:t>․</w:t>
      </w:r>
    </w:p>
    <w:p w:rsidR="00E123C8" w:rsidRPr="006B3656" w:rsidRDefault="00E123C8" w:rsidP="00E123C8">
      <w:pPr>
        <w:spacing w:line="276" w:lineRule="auto"/>
        <w:jc w:val="both"/>
        <w:rPr>
          <w:rFonts w:ascii="GHEA Grapalat" w:hAnsi="GHEA Grapalat" w:cs="GHEA Grapalat"/>
          <w:noProof/>
          <w:sz w:val="22"/>
          <w:szCs w:val="22"/>
        </w:rPr>
      </w:pPr>
      <w:r w:rsidRPr="006B3656">
        <w:rPr>
          <w:rFonts w:ascii="GHEA Grapalat" w:hAnsi="GHEA Grapalat" w:cs="GHEA Grapalat"/>
          <w:noProof/>
          <w:sz w:val="22"/>
          <w:szCs w:val="22"/>
        </w:rPr>
        <w:drawing>
          <wp:inline distT="0" distB="0" distL="0" distR="0" wp14:anchorId="748A60EF" wp14:editId="7BB5B239">
            <wp:extent cx="3170555" cy="2417196"/>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6B3656">
        <w:rPr>
          <w:rFonts w:ascii="GHEA Grapalat" w:hAnsi="GHEA Grapalat" w:cs="GHEA Grapalat"/>
          <w:noProof/>
          <w:sz w:val="22"/>
          <w:szCs w:val="22"/>
        </w:rPr>
        <w:drawing>
          <wp:inline distT="0" distB="0" distL="0" distR="0" wp14:anchorId="04832939" wp14:editId="36D13491">
            <wp:extent cx="3239770" cy="2408859"/>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23C8" w:rsidRPr="006B3656" w:rsidRDefault="00E123C8" w:rsidP="00E123C8">
      <w:pPr>
        <w:spacing w:after="120"/>
        <w:jc w:val="both"/>
        <w:rPr>
          <w:rFonts w:ascii="GHEA Grapalat" w:hAnsi="GHEA Grapalat" w:cs="GHEA Grapalat"/>
          <w:i/>
          <w:iCs/>
          <w:noProof/>
          <w:sz w:val="22"/>
          <w:szCs w:val="22"/>
          <w:lang w:val="hy-AM"/>
        </w:rPr>
      </w:pPr>
      <w:r w:rsidRPr="006B3656">
        <w:rPr>
          <w:rFonts w:ascii="GHEA Grapalat" w:hAnsi="GHEA Grapalat"/>
          <w:i/>
          <w:iCs/>
          <w:noProof/>
          <w:sz w:val="18"/>
          <w:szCs w:val="18"/>
          <w:lang w:val="hy-AM"/>
        </w:rPr>
        <w:t>Աղբյուրը՝ ՀՀ ՖՆ։ Ռիսկի հավելավճարը ՀՀ ՖՆ գնահատումներն են՝ հաշվարկված որպես ՀՀ եվրոբոնդերի և ԱՄՆ պետական պարտատոմսերի եկամտաբերությունների տարբերություն</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ՀՀ երկրի ռիսկի հավելավճարը նախորդ տարվա համեմատ էականորեն նվազել է, ինչը պայմանավորված է Հայաստանի տնտեսական միջավայրի բարելավմամբ և տնտեսական շոկի հաղթահարմանն ուղղված խելամիտ մակրոտնտեսական քաղաքականություններով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զարգացող երկրների ռիսկի հավելավճարի` 2022 թվականի աճից հետո դեպի ներքև որոշակի ճշգրտմամբ։ 2025 թվականին մարվող եվր</w:t>
      </w:r>
      <w:r w:rsidR="006C0DA5" w:rsidRPr="00BE2DF1">
        <w:rPr>
          <w:rFonts w:ascii="GHEA Grapalat" w:eastAsia="Calibri" w:hAnsi="GHEA Grapalat" w:cs="Sylfaen"/>
          <w:noProof/>
          <w:sz w:val="22"/>
          <w:szCs w:val="22"/>
          <w:lang w:val="hy-AM"/>
        </w:rPr>
        <w:t>ա</w:t>
      </w:r>
      <w:r w:rsidRPr="006B3656">
        <w:rPr>
          <w:rFonts w:ascii="GHEA Grapalat" w:eastAsia="Calibri" w:hAnsi="GHEA Grapalat" w:cs="Sylfaen"/>
          <w:noProof/>
          <w:sz w:val="22"/>
          <w:szCs w:val="22"/>
          <w:lang w:val="hy-AM"/>
        </w:rPr>
        <w:t xml:space="preserve">պարտատոմսերի ռիսկի հավելավճարը 2024 թվականի </w:t>
      </w:r>
      <w:r w:rsidR="005A0252" w:rsidRPr="006B3656">
        <w:rPr>
          <w:rFonts w:ascii="GHEA Grapalat" w:eastAsia="Calibri" w:hAnsi="GHEA Grapalat" w:cs="Sylfaen"/>
          <w:noProof/>
          <w:sz w:val="22"/>
          <w:szCs w:val="22"/>
          <w:lang w:val="hy-AM"/>
        </w:rPr>
        <w:t>առաջին</w:t>
      </w:r>
      <w:r w:rsidRPr="006B3656">
        <w:rPr>
          <w:rFonts w:ascii="GHEA Grapalat" w:eastAsia="Calibri" w:hAnsi="GHEA Grapalat" w:cs="Sylfaen"/>
          <w:noProof/>
          <w:sz w:val="22"/>
          <w:szCs w:val="22"/>
          <w:lang w:val="hy-AM"/>
        </w:rPr>
        <w:t xml:space="preserve"> կիսամյակում կազմել է 131.6 բազիսային կետ՝ նախորդ տարվա նույն ժամանակահատվածի 199.5 տոկոսային կետ ցուցանիշի դիմաց, 2029 թվականին մարվող պարտատոմսերինը՝ 272 բազիսային կետ՝ նախորդ տարվա 357 բազիսային կետ ցուցանիշի դիմաց, իսկ 2031 թվականին մարվող պարտատոմսերինը՝ 287.2 բազիսային կետ՝ նախորդ տարվա 367.9 բազիսային կետ ցուցանիշի դիմաց:</w:t>
      </w:r>
    </w:p>
    <w:p w:rsidR="00BF2D00" w:rsidRPr="006B3656" w:rsidRDefault="00BF2D00" w:rsidP="001205A4">
      <w:pPr>
        <w:spacing w:line="360" w:lineRule="auto"/>
        <w:ind w:firstLine="567"/>
        <w:jc w:val="both"/>
        <w:rPr>
          <w:rFonts w:ascii="GHEA Grapalat" w:eastAsia="Calibri" w:hAnsi="GHEA Grapalat" w:cs="Sylfaen"/>
          <w:noProof/>
          <w:sz w:val="22"/>
          <w:szCs w:val="22"/>
          <w:lang w:val="hy-AM"/>
        </w:rPr>
      </w:pPr>
    </w:p>
    <w:p w:rsidR="00563135" w:rsidRPr="006B3656"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4" w:name="_Toc71283308"/>
      <w:bookmarkStart w:id="35" w:name="_Toc71311888"/>
      <w:bookmarkStart w:id="36" w:name="_Toc175925247"/>
      <w:r w:rsidRPr="006B3656">
        <w:rPr>
          <w:rFonts w:ascii="GHEA Grapalat" w:hAnsi="GHEA Grapalat"/>
          <w:i w:val="0"/>
          <w:noProof/>
          <w:sz w:val="22"/>
          <w:szCs w:val="22"/>
          <w:lang w:val="de-AT"/>
        </w:rPr>
        <w:t>ՀԱՐԿԱԲՅՈՒՋԵՏԱՅԻՆ ՔԱՂԱՔԱԿԱՆՈՒԹՅԱՆ ՀԻՄՆԱԿԱՆ ԶԱՐԳԱՑՈՒՄՆԵՐԸ</w:t>
      </w:r>
      <w:bookmarkEnd w:id="34"/>
      <w:bookmarkEnd w:id="35"/>
      <w:bookmarkEnd w:id="36"/>
      <w:r w:rsidRPr="006B3656">
        <w:rPr>
          <w:rFonts w:ascii="GHEA Grapalat" w:hAnsi="GHEA Grapalat"/>
          <w:i w:val="0"/>
          <w:noProof/>
          <w:sz w:val="22"/>
          <w:szCs w:val="22"/>
          <w:lang w:val="de-AT"/>
        </w:rPr>
        <w:t xml:space="preserve"> </w:t>
      </w:r>
    </w:p>
    <w:p w:rsidR="00A05DB7" w:rsidRPr="006B3656" w:rsidRDefault="000370C6" w:rsidP="00A05DB7">
      <w:pPr>
        <w:spacing w:line="360" w:lineRule="auto"/>
        <w:ind w:firstLine="567"/>
        <w:jc w:val="both"/>
        <w:rPr>
          <w:rFonts w:ascii="GHEA Grapalat" w:eastAsia="Calibri" w:hAnsi="GHEA Grapalat" w:cs="Sylfaen"/>
          <w:noProof/>
          <w:sz w:val="22"/>
          <w:szCs w:val="22"/>
          <w:lang w:val="hy-AM"/>
        </w:rPr>
      </w:pPr>
      <w:bookmarkStart w:id="37" w:name="_Toc100315622"/>
      <w:r w:rsidRPr="006B3656">
        <w:rPr>
          <w:rFonts w:ascii="GHEA Grapalat" w:eastAsia="Calibri" w:hAnsi="GHEA Grapalat" w:cs="Sylfaen"/>
          <w:noProof/>
          <w:sz w:val="22"/>
          <w:szCs w:val="22"/>
          <w:lang w:val="hy-AM"/>
        </w:rPr>
        <w:t xml:space="preserve"> </w:t>
      </w:r>
      <w:r w:rsidR="00A05DB7" w:rsidRPr="006B3656">
        <w:rPr>
          <w:rFonts w:ascii="GHEA Grapalat" w:eastAsia="Calibri" w:hAnsi="GHEA Grapalat" w:cs="Sylfaen"/>
          <w:noProof/>
          <w:sz w:val="22"/>
          <w:szCs w:val="22"/>
          <w:lang w:val="hy-AM"/>
        </w:rPr>
        <w:t xml:space="preserve">2024 թվականի առաջին կիսամյակում, նախորդ տարվա նույն ժամանակահատվածի բյուջեի հավելուրդի փոխարեն հաշվեկշռված բյուջեի ձևավորման պայմաններում հարկաբյուջետային քաղաքականության ազդեցությունն ամբողջական պահանջարկի վրա գնահատվում է </w:t>
      </w:r>
      <w:r w:rsidR="002E7061">
        <w:rPr>
          <w:rFonts w:ascii="GHEA Grapalat" w:eastAsia="Calibri" w:hAnsi="GHEA Grapalat" w:cs="Sylfaen"/>
          <w:noProof/>
          <w:sz w:val="22"/>
          <w:szCs w:val="22"/>
          <w:lang w:val="hy-AM"/>
        </w:rPr>
        <w:t xml:space="preserve">չափավոր </w:t>
      </w:r>
      <w:r w:rsidR="00A05DB7" w:rsidRPr="006B3656">
        <w:rPr>
          <w:rFonts w:ascii="GHEA Grapalat" w:eastAsia="Calibri" w:hAnsi="GHEA Grapalat" w:cs="Sylfaen"/>
          <w:noProof/>
          <w:sz w:val="22"/>
          <w:szCs w:val="22"/>
          <w:lang w:val="hy-AM"/>
        </w:rPr>
        <w:t>ընդլայնող։</w:t>
      </w:r>
    </w:p>
    <w:p w:rsidR="00A05DB7" w:rsidRPr="006B3656" w:rsidRDefault="00A05DB7" w:rsidP="00A05DB7">
      <w:pPr>
        <w:spacing w:line="360" w:lineRule="auto"/>
        <w:ind w:firstLine="567"/>
        <w:jc w:val="both"/>
        <w:rPr>
          <w:rFonts w:ascii="GHEA Grapalat" w:eastAsia="Calibri" w:hAnsi="GHEA Grapalat" w:cs="Sylfaen"/>
          <w:noProof/>
          <w:sz w:val="22"/>
          <w:szCs w:val="22"/>
          <w:lang w:val="hy-AM"/>
        </w:rPr>
      </w:pPr>
      <w:r w:rsidRPr="006B3656">
        <w:rPr>
          <w:rFonts w:ascii="GHEA Grapalat" w:hAnsi="GHEA Grapalat" w:cs="GHEA Grapalat"/>
          <w:b/>
          <w:i/>
          <w:sz w:val="22"/>
          <w:szCs w:val="22"/>
          <w:lang w:val="hy-AM"/>
        </w:rPr>
        <w:t>Պետական բյուջեի եկամուտները:</w:t>
      </w:r>
      <w:r w:rsidRPr="006B3656">
        <w:rPr>
          <w:rFonts w:ascii="GHEA Grapalat" w:hAnsi="GHEA Grapalat" w:cs="GHEA Grapalat"/>
          <w:sz w:val="22"/>
          <w:szCs w:val="22"/>
          <w:lang w:val="hy-AM"/>
        </w:rPr>
        <w:t xml:space="preserve"> </w:t>
      </w:r>
      <w:r w:rsidRPr="006B3656">
        <w:rPr>
          <w:rFonts w:ascii="GHEA Grapalat" w:eastAsia="Calibri" w:hAnsi="GHEA Grapalat" w:cs="Sylfaen"/>
          <w:noProof/>
          <w:sz w:val="22"/>
          <w:szCs w:val="22"/>
          <w:lang w:val="hy-AM"/>
        </w:rPr>
        <w:t xml:space="preserve">2024 թվականի առաջին կիսամյակում արձանագրվել է ՀՀ պետական բյուջեի եկամուտների աճի տեմպի դանդաղում՝ պայմանավորված հիմնականում տնտեսական աճի մեջ ոչ հարկունակ ճյուղերի էական դերակատարմամբ և դրա արդյունքում՝ ընդհանուր տնտեսական ակտիվությունից հետ ընկած հարկման բազաների </w:t>
      </w:r>
      <w:r w:rsidR="00911733" w:rsidRPr="006B3656">
        <w:rPr>
          <w:rFonts w:ascii="GHEA Grapalat" w:eastAsia="Calibri" w:hAnsi="GHEA Grapalat" w:cs="Sylfaen"/>
          <w:noProof/>
          <w:sz w:val="22"/>
          <w:szCs w:val="22"/>
          <w:lang w:val="hy-AM"/>
        </w:rPr>
        <w:t>աճ</w:t>
      </w:r>
      <w:r w:rsidR="00911733" w:rsidRPr="00F371F3">
        <w:rPr>
          <w:rFonts w:ascii="GHEA Grapalat" w:eastAsia="Calibri" w:hAnsi="GHEA Grapalat" w:cs="Sylfaen"/>
          <w:noProof/>
          <w:sz w:val="22"/>
          <w:szCs w:val="22"/>
          <w:lang w:val="hy-AM"/>
        </w:rPr>
        <w:t>ո</w:t>
      </w:r>
      <w:r w:rsidRPr="006B3656">
        <w:rPr>
          <w:rFonts w:ascii="GHEA Grapalat" w:eastAsia="Calibri" w:hAnsi="GHEA Grapalat" w:cs="Sylfaen"/>
          <w:noProof/>
          <w:sz w:val="22"/>
          <w:szCs w:val="22"/>
          <w:lang w:val="hy-AM"/>
        </w:rPr>
        <w:t>վ։ 2024 թվականի հունվար-հունիս ամիսներին պետական բյուջեի ընդհանուր եկամուտները կազմել են 1,243.7 մլրդ դրամ՝ նախորդ տարվա նույն ժամանակահատվածի համադրելի ցուցանիշի համեմատ աճելով 5.0%</w:t>
      </w:r>
      <w:r w:rsidR="00911733" w:rsidRPr="006B3656">
        <w:rPr>
          <w:rFonts w:ascii="GHEA Grapalat" w:eastAsia="Calibri" w:hAnsi="GHEA Grapalat" w:cs="Sylfaen"/>
          <w:noProof/>
          <w:sz w:val="22"/>
          <w:szCs w:val="22"/>
          <w:lang w:val="hy-AM"/>
        </w:rPr>
        <w:noBreakHyphen/>
      </w:r>
      <w:r w:rsidRPr="006B3656">
        <w:rPr>
          <w:rFonts w:ascii="GHEA Grapalat" w:eastAsia="Calibri" w:hAnsi="GHEA Grapalat" w:cs="Sylfaen"/>
          <w:noProof/>
          <w:sz w:val="22"/>
          <w:szCs w:val="22"/>
          <w:lang w:val="hy-AM"/>
        </w:rPr>
        <w:t>ով (առանց դիտարկելու</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հիպոտեկի տոկոսագումարների դիմաց եկամտային հարկի վերադարձը՝ աճը կազմում է 4.4%), իսկ հարկերը և տուրքերը կազմել են 1,187.6 մլրդ դրամ՝ նախորդ տարվա նույն ժամանակահատվածի համադրելի ցուցանիշի համեմատ աճելով 5.3%-ով (առանց դիտարկելու</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հիպոտեկի տոկոսագումարների դիմաց եկամտային հարկի վերադարձը՝ աճը կազմում է 4.7%)</w:t>
      </w:r>
      <w:r w:rsidRPr="006B3656">
        <w:rPr>
          <w:rFonts w:ascii="GHEA Grapalat" w:eastAsia="Calibri" w:hAnsi="GHEA Grapalat" w:cs="Sylfaen"/>
          <w:noProof/>
          <w:sz w:val="22"/>
          <w:szCs w:val="22"/>
          <w:vertAlign w:val="superscript"/>
          <w:lang w:val="hy-AM"/>
        </w:rPr>
        <w:footnoteReference w:id="21"/>
      </w:r>
      <w:r w:rsidRPr="006B3656">
        <w:rPr>
          <w:rFonts w:ascii="GHEA Grapalat" w:eastAsia="Calibri" w:hAnsi="GHEA Grapalat" w:cs="Sylfaen"/>
          <w:noProof/>
          <w:sz w:val="22"/>
          <w:szCs w:val="22"/>
          <w:lang w:val="hy-AM"/>
        </w:rPr>
        <w:t xml:space="preserve">: </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Նկատելի է, որ նախորդ տարվա համեմատությամբ հարկային եկամուտների աճի տեմպը էականորեն դանդաղել է, </w:t>
      </w:r>
      <w:r w:rsidRPr="006B3656">
        <w:rPr>
          <w:rFonts w:ascii="GHEA Grapalat" w:eastAsia="GHEA Grapalat" w:hAnsi="GHEA Grapalat" w:cs="GHEA Grapalat"/>
          <w:sz w:val="22"/>
          <w:szCs w:val="22"/>
          <w:lang w:val="hy-AM"/>
        </w:rPr>
        <w:t>ինչը</w:t>
      </w:r>
      <w:r w:rsidRPr="006B3656">
        <w:rPr>
          <w:rFonts w:ascii="GHEA Grapalat" w:hAnsi="GHEA Grapalat" w:cs="GHEA Grapalat"/>
          <w:sz w:val="22"/>
          <w:szCs w:val="22"/>
          <w:lang w:val="hy-AM"/>
        </w:rPr>
        <w:t xml:space="preserve"> պայմանավորված է հարկման բազաների՝ մասնավորապես հարկունակ սպառման, ներքին սպառմանն ուղղված ներմուծման և կազմակերպությունների շահույթների աճի տեմպերի որոշակի դանդաղմամբ։ Ընդ որում, դանդաղմանը նպաստել </w:t>
      </w:r>
      <w:r w:rsidR="00911733" w:rsidRPr="00BE2DF1">
        <w:rPr>
          <w:rFonts w:ascii="GHEA Grapalat" w:hAnsi="GHEA Grapalat" w:cs="GHEA Grapalat"/>
          <w:sz w:val="22"/>
          <w:szCs w:val="22"/>
          <w:lang w:val="hy-AM"/>
        </w:rPr>
        <w:t>են</w:t>
      </w:r>
      <w:r w:rsidRPr="006B3656">
        <w:rPr>
          <w:rFonts w:ascii="GHEA Grapalat" w:hAnsi="GHEA Grapalat" w:cs="GHEA Grapalat"/>
          <w:sz w:val="22"/>
          <w:szCs w:val="22"/>
          <w:lang w:val="hy-AM"/>
        </w:rPr>
        <w:t xml:space="preserve"> նաև ընթացիկ կիսամյակում արձանագրված գնանկումային միտումները:</w:t>
      </w:r>
    </w:p>
    <w:p w:rsidR="00A05DB7" w:rsidRPr="006B3656" w:rsidRDefault="00A05DB7" w:rsidP="00A05DB7">
      <w:pPr>
        <w:spacing w:line="360" w:lineRule="auto"/>
        <w:ind w:firstLine="567"/>
        <w:jc w:val="both"/>
        <w:rPr>
          <w:rFonts w:ascii="GHEA Grapalat" w:hAnsi="GHEA Grapalat" w:cs="GHEA Grapalat"/>
          <w:sz w:val="22"/>
          <w:szCs w:val="22"/>
          <w:lang w:val="hy-AM"/>
        </w:rPr>
      </w:pPr>
    </w:p>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Պետական բյուջեի հարկային եկամուտները 2020-2024թթ. վեց ամիսներին</w:t>
      </w:r>
    </w:p>
    <w:p w:rsidR="00A05DB7" w:rsidRPr="006B3656" w:rsidRDefault="00A05DB7" w:rsidP="00A05DB7">
      <w:pPr>
        <w:autoSpaceDE w:val="0"/>
        <w:autoSpaceDN w:val="0"/>
        <w:adjustRightInd w:val="0"/>
        <w:spacing w:after="120" w:line="276" w:lineRule="auto"/>
        <w:jc w:val="center"/>
        <w:rPr>
          <w:rFonts w:ascii="GHEA Grapalat" w:eastAsia="GHEA Grapalat" w:hAnsi="GHEA Grapalat" w:cs="GHEA Grapalat"/>
          <w:sz w:val="22"/>
          <w:szCs w:val="22"/>
          <w:lang w:val="hy-AM"/>
        </w:rPr>
      </w:pPr>
      <w:r w:rsidRPr="006B3656">
        <w:rPr>
          <w:rFonts w:ascii="GHEA Grapalat" w:eastAsia="GHEA Grapalat" w:hAnsi="GHEA Grapalat" w:cs="GHEA Grapalat"/>
          <w:noProof/>
        </w:rPr>
        <w:drawing>
          <wp:inline distT="0" distB="0" distL="0" distR="0" wp14:anchorId="12DA75BF" wp14:editId="61E3D669">
            <wp:extent cx="5759450" cy="2686050"/>
            <wp:effectExtent l="0" t="0" r="1270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05DB7" w:rsidRPr="006B3656" w:rsidRDefault="00A05DB7" w:rsidP="00A05DB7">
      <w:pPr>
        <w:spacing w:line="360" w:lineRule="auto"/>
        <w:ind w:firstLine="567"/>
        <w:jc w:val="both"/>
        <w:rPr>
          <w:rFonts w:ascii="GHEA Grapalat" w:hAnsi="GHEA Grapalat" w:cs="GHEA Grapalat"/>
          <w:b/>
          <w:i/>
          <w:sz w:val="22"/>
          <w:szCs w:val="22"/>
          <w:lang w:val="hy-AM"/>
        </w:rPr>
      </w:pP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b/>
          <w:i/>
          <w:sz w:val="22"/>
          <w:szCs w:val="22"/>
          <w:lang w:val="hy-AM"/>
        </w:rPr>
        <w:t>Պետական բյուջեի ծախսերը:</w:t>
      </w:r>
      <w:r w:rsidRPr="006B3656">
        <w:rPr>
          <w:rFonts w:ascii="GHEA Grapalat" w:hAnsi="GHEA Grapalat" w:cs="GHEA Grapalat"/>
          <w:sz w:val="22"/>
          <w:szCs w:val="22"/>
          <w:lang w:val="hy-AM"/>
        </w:rPr>
        <w:t xml:space="preserve"> Պետական բյուջեի ծախսերը 2024 թվականի վեց ամիսներին աճել են բարձր տեմպերով, սակայն ծրագրվածի համեմատ արձանագրվել է որոշակի թերակատարում: 2024 թվականի </w:t>
      </w:r>
      <w:r w:rsidRPr="006B3656">
        <w:rPr>
          <w:rFonts w:ascii="GHEA Grapalat" w:eastAsia="GHEA Grapalat" w:hAnsi="GHEA Grapalat" w:cs="GHEA Grapalat"/>
          <w:sz w:val="22"/>
          <w:szCs w:val="22"/>
          <w:lang w:val="hy-AM"/>
        </w:rPr>
        <w:t>վեց</w:t>
      </w:r>
      <w:r w:rsidRPr="006B3656">
        <w:rPr>
          <w:rFonts w:ascii="GHEA Grapalat" w:hAnsi="GHEA Grapalat" w:cs="GHEA Grapalat"/>
          <w:sz w:val="22"/>
          <w:szCs w:val="22"/>
          <w:lang w:val="hy-AM"/>
        </w:rPr>
        <w:t xml:space="preserve"> ամիսներին պետական բյուջեի ծախսերը կազմել են 1,232.7</w:t>
      </w:r>
      <w:r w:rsidR="000548ED" w:rsidRPr="00F371F3">
        <w:rPr>
          <w:rFonts w:ascii="Calibri" w:hAnsi="Calibri" w:cs="Calibri"/>
          <w:sz w:val="22"/>
          <w:szCs w:val="22"/>
          <w:lang w:val="hy-AM"/>
        </w:rPr>
        <w:t> </w:t>
      </w:r>
      <w:r w:rsidRPr="006B3656">
        <w:rPr>
          <w:rFonts w:ascii="GHEA Grapalat" w:hAnsi="GHEA Grapalat" w:cs="GHEA Grapalat"/>
          <w:sz w:val="22"/>
          <w:szCs w:val="22"/>
          <w:lang w:val="hy-AM"/>
        </w:rPr>
        <w:t>մլրդ դրամ՝ նախորդ տարվա նույն ժամանակահատվածի համադրելի ցուցանիշի համեմատ աճելով 17.4%-ով (առանց դիտարկելու</w:t>
      </w:r>
      <w:r w:rsidR="00837E2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հիպոտեկի տոկոսագումարների դիմաց եկամտային հարկի վերադարձը՝ աճը կազմում է 17.0%): Նույն ժամանակահատվածում ընթացիկ ծախսերը կազմել են 1,077.9</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նախորդ տարվա նույն ժամանակահատվածի համադրելի ցուցանիշի համեմատ աճելով 15.2%-ով (առանց դիտարկելու</w:t>
      </w:r>
      <w:r w:rsidR="00837E2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հիպոտեկի տոկոսագումարների դիմաց եկամտային հարկի վերադարձը՝ աճը կազմում է 14.7%)</w:t>
      </w:r>
      <w:r w:rsidRPr="006B3656">
        <w:rPr>
          <w:rFonts w:ascii="GHEA Grapalat" w:hAnsi="GHEA Grapalat" w:cs="GHEA Grapalat"/>
          <w:sz w:val="22"/>
          <w:szCs w:val="22"/>
          <w:vertAlign w:val="superscript"/>
          <w:lang w:val="hy-AM"/>
        </w:rPr>
        <w:t>21</w:t>
      </w:r>
      <w:r w:rsidRPr="006B3656">
        <w:rPr>
          <w:rFonts w:ascii="GHEA Grapalat" w:hAnsi="GHEA Grapalat" w:cs="GHEA Grapalat"/>
          <w:sz w:val="22"/>
          <w:szCs w:val="22"/>
          <w:lang w:val="hy-AM"/>
        </w:rPr>
        <w:t>:</w:t>
      </w:r>
    </w:p>
    <w:p w:rsidR="00A05DB7" w:rsidRPr="006B3656" w:rsidRDefault="00A05DB7" w:rsidP="00A05DB7">
      <w:pPr>
        <w:spacing w:line="360" w:lineRule="auto"/>
        <w:ind w:firstLine="567"/>
        <w:jc w:val="both"/>
        <w:rPr>
          <w:rFonts w:ascii="GHEA Grapalat" w:hAnsi="GHEA Grapalat" w:cs="GHEA Grapalat"/>
          <w:sz w:val="22"/>
          <w:szCs w:val="22"/>
          <w:lang w:val="hy-AM"/>
        </w:rPr>
      </w:pPr>
    </w:p>
    <w:tbl>
      <w:tblPr>
        <w:tblStyle w:val="TableGrid21"/>
        <w:tblW w:w="1054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346"/>
      </w:tblGrid>
      <w:tr w:rsidR="00A05DB7" w:rsidRPr="0046146D" w:rsidTr="00A05DB7">
        <w:tc>
          <w:tcPr>
            <w:tcW w:w="5196" w:type="dxa"/>
          </w:tcPr>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Պետական բյուջեի ընթացիկ ծախսերը 2020-2024թթ. հունվար-հունիս ամիսներին</w:t>
            </w:r>
          </w:p>
        </w:tc>
        <w:tc>
          <w:tcPr>
            <w:tcW w:w="5346" w:type="dxa"/>
          </w:tcPr>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Պետական բյուջեի ոչ ֆինանսական ակտիվների գծով ծախսերը 2020-2024թթ. հունվար-հունիս ամիսներին</w:t>
            </w:r>
          </w:p>
        </w:tc>
      </w:tr>
      <w:tr w:rsidR="00A05DB7" w:rsidRPr="006B3656" w:rsidTr="00A05DB7">
        <w:tc>
          <w:tcPr>
            <w:tcW w:w="5196" w:type="dxa"/>
          </w:tcPr>
          <w:p w:rsidR="00A05DB7" w:rsidRPr="006B3656" w:rsidRDefault="00A05DB7" w:rsidP="00A05DB7">
            <w:pPr>
              <w:spacing w:before="60"/>
              <w:jc w:val="both"/>
              <w:rPr>
                <w:rFonts w:ascii="GHEA Grapalat" w:hAnsi="GHEA Grapalat" w:cs="GHEA Grapalat"/>
                <w:sz w:val="22"/>
                <w:szCs w:val="22"/>
                <w:lang w:val="hy-AM"/>
              </w:rPr>
            </w:pPr>
            <w:r w:rsidRPr="006B3656">
              <w:rPr>
                <w:rFonts w:ascii="GHEA Grapalat" w:eastAsia="GHEA Grapalat" w:hAnsi="GHEA Grapalat" w:cs="GHEA Grapalat"/>
                <w:b/>
                <w:noProof/>
              </w:rPr>
              <w:drawing>
                <wp:inline distT="0" distB="0" distL="0" distR="0" wp14:anchorId="7CA5528E" wp14:editId="6D5D1EAC">
                  <wp:extent cx="3152775" cy="3581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346" w:type="dxa"/>
          </w:tcPr>
          <w:p w:rsidR="00A05DB7" w:rsidRPr="006B3656" w:rsidRDefault="00A05DB7" w:rsidP="00A05DB7">
            <w:pPr>
              <w:spacing w:before="60" w:line="360" w:lineRule="auto"/>
              <w:jc w:val="both"/>
              <w:rPr>
                <w:rFonts w:ascii="GHEA Grapalat" w:hAnsi="GHEA Grapalat" w:cs="GHEA Grapalat"/>
                <w:sz w:val="22"/>
                <w:szCs w:val="22"/>
                <w:lang w:val="hy-AM"/>
              </w:rPr>
            </w:pPr>
            <w:r w:rsidRPr="006B3656">
              <w:rPr>
                <w:rFonts w:ascii="GHEA Grapalat" w:eastAsia="GHEA Grapalat" w:hAnsi="GHEA Grapalat" w:cs="GHEA Grapalat"/>
                <w:b/>
                <w:noProof/>
              </w:rPr>
              <w:drawing>
                <wp:inline distT="0" distB="0" distL="0" distR="0" wp14:anchorId="286EADE3" wp14:editId="3911AB9E">
                  <wp:extent cx="3239770" cy="3581400"/>
                  <wp:effectExtent l="0" t="0" r="1778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A05DB7" w:rsidRPr="006B3656" w:rsidRDefault="00A05DB7" w:rsidP="00A05DB7">
      <w:pPr>
        <w:spacing w:line="360" w:lineRule="auto"/>
        <w:ind w:firstLine="567"/>
        <w:jc w:val="both"/>
        <w:rPr>
          <w:rFonts w:ascii="GHEA Grapalat" w:eastAsia="Calibri" w:hAnsi="GHEA Grapalat" w:cs="Sylfaen"/>
          <w:sz w:val="22"/>
          <w:szCs w:val="22"/>
          <w:lang w:val="hy-AM"/>
        </w:rPr>
      </w:pPr>
    </w:p>
    <w:p w:rsidR="00A05DB7" w:rsidRPr="006B3656" w:rsidRDefault="00A05DB7" w:rsidP="00A05DB7">
      <w:pPr>
        <w:spacing w:line="360" w:lineRule="auto"/>
        <w:ind w:firstLine="567"/>
        <w:jc w:val="both"/>
        <w:rPr>
          <w:rFonts w:ascii="GHEA Grapalat" w:eastAsia="Calibri" w:hAnsi="GHEA Grapalat" w:cs="Sylfaen"/>
          <w:sz w:val="22"/>
          <w:szCs w:val="22"/>
          <w:lang w:val="hy-AM"/>
        </w:rPr>
      </w:pPr>
      <w:r w:rsidRPr="006B3656">
        <w:rPr>
          <w:rFonts w:ascii="GHEA Grapalat" w:eastAsia="Calibri" w:hAnsi="GHEA Grapalat" w:cs="Sylfaen"/>
          <w:sz w:val="22"/>
          <w:szCs w:val="22"/>
          <w:lang w:val="hy-AM"/>
        </w:rPr>
        <w:t xml:space="preserve">Ոչ ֆինանսական ակտիվների հետ գործառնությունները կազմել են 154.9 մլրդ դրամ, որում ոչ ֆինանսական ակտիվների գծով ծախսերը (կապիտալ ծախսեր) կազմել են 163.7 մլրդ դրամ` նախորդ տարվա նույն ժամանակահատվածի նկատմամբ աճելով 40%-ով: Ընթացիկ ծախսերում ներառված՝ համայնքներին տրվող կապիտալ բնույթի սուբվենցիաների գծով ծախսերը կազմել են 7.7 մլրդ դրամ, որոնք նախորդ տարվա նույն ժամանակահատվածի նկատմամբ աճել են 1.3%-ով: Ե՛վ ներքին, և՛ արտաքին միջոցների հաշվին իրականացված ոչ ֆինանսական ակտիվների գծով ծախսերը թերակատարվել են, որոնց շրջանակներում օգտագործվել է հունվար-հունիս ամիսների ծրագրված միջոցների 74%-ը՝ նախորդ տարվա 52.6%-ի դիմաց: </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Արտաքին ֆինանսավորմամբ կապիտալ ծախսերի ճշտված ծրագրի կատարողականը նախորդ տարվա նույն ժամանակահատվածի նկատմամբ բարելավվել է 15.9 տոկոսային կետով՝ կազմելով 60.3%՝ նախորդ տարվա նույն ժամանակահատվածի 44.4%-ի դիմաց, իսկ ներքին միջոցների հաշվին իրականացված ոչ ֆինանսական ակտիվների գծով ծախսերի կատարողականը բարելավվել է 22.6 տոկոսային կետով՝ կազմելով </w:t>
      </w:r>
      <w:r w:rsidR="002A5DB8" w:rsidRPr="006B3656">
        <w:rPr>
          <w:rFonts w:ascii="GHEA Grapalat" w:hAnsi="GHEA Grapalat" w:cs="GHEA Grapalat"/>
          <w:sz w:val="22"/>
          <w:szCs w:val="22"/>
          <w:lang w:val="hy-AM"/>
        </w:rPr>
        <w:t>77</w:t>
      </w:r>
      <w:r w:rsidRPr="006B3656">
        <w:rPr>
          <w:rFonts w:ascii="GHEA Grapalat" w:hAnsi="GHEA Grapalat" w:cs="GHEA Grapalat"/>
          <w:sz w:val="22"/>
          <w:szCs w:val="22"/>
          <w:lang w:val="hy-AM"/>
        </w:rPr>
        <w:t xml:space="preserve">%: Կատարողականի համեմատաբար ցածր ցուցանիշները ցույց են տալիս, որ կապիտալ ծրագրերի պլանավորման և իրականացման արդյունավետության բարձրացման խնդիրը </w:t>
      </w:r>
      <w:r w:rsidRPr="006B3656">
        <w:rPr>
          <w:rFonts w:ascii="GHEA Grapalat" w:eastAsia="GHEA Grapalat" w:hAnsi="GHEA Grapalat" w:cs="GHEA Grapalat"/>
          <w:sz w:val="22"/>
          <w:szCs w:val="22"/>
          <w:lang w:val="hy-AM"/>
        </w:rPr>
        <w:t>շարունակում</w:t>
      </w:r>
      <w:r w:rsidRPr="006B3656">
        <w:rPr>
          <w:rFonts w:ascii="GHEA Grapalat" w:hAnsi="GHEA Grapalat" w:cs="GHEA Grapalat"/>
          <w:sz w:val="22"/>
          <w:szCs w:val="22"/>
          <w:lang w:val="hy-AM"/>
        </w:rPr>
        <w:t xml:space="preserve"> է մնալ արդիական։ Միաժամանակ, պետք է նշել, որ կապիտալ ծախսերի 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rsidR="00A05DB7" w:rsidRPr="006B3656" w:rsidRDefault="00A05DB7" w:rsidP="00A05DB7">
      <w:pPr>
        <w:spacing w:line="360" w:lineRule="auto"/>
        <w:ind w:firstLine="567"/>
        <w:jc w:val="both"/>
        <w:rPr>
          <w:rFonts w:ascii="GHEA Grapalat" w:eastAsia="Calibri" w:hAnsi="GHEA Grapalat" w:cs="Sylfaen"/>
          <w:sz w:val="22"/>
          <w:szCs w:val="22"/>
          <w:lang w:val="hy-AM"/>
        </w:rPr>
      </w:pPr>
      <w:r w:rsidRPr="006B3656">
        <w:rPr>
          <w:rFonts w:ascii="GHEA Grapalat" w:hAnsi="GHEA Grapalat" w:cs="GHEA Grapalat"/>
          <w:b/>
          <w:i/>
          <w:sz w:val="22"/>
          <w:szCs w:val="22"/>
          <w:lang w:val="hy-AM"/>
        </w:rPr>
        <w:t>Պետական աջակցության ծրագրերը:</w:t>
      </w:r>
      <w:r w:rsidRPr="006B3656">
        <w:rPr>
          <w:rFonts w:ascii="GHEA Grapalat" w:hAnsi="GHEA Grapalat" w:cs="GHEA Grapalat"/>
          <w:sz w:val="22"/>
          <w:szCs w:val="22"/>
          <w:lang w:val="hy-AM"/>
        </w:rPr>
        <w:t xml:space="preserve"> </w:t>
      </w:r>
      <w:r w:rsidRPr="006B3656">
        <w:rPr>
          <w:rFonts w:ascii="GHEA Grapalat" w:eastAsia="Calibri" w:hAnsi="GHEA Grapalat" w:cs="Sylfaen"/>
          <w:sz w:val="22"/>
          <w:szCs w:val="22"/>
          <w:lang w:val="hy-AM"/>
        </w:rPr>
        <w:t xml:space="preserve">Տնտեսական ներուժի բարձրացմանը, առանձին ոլորտներում առաջացող հիմնախնդիրներին ուղղված հարկաբյուջետային աջակցության ծրագրերը 2024 թվականին </w:t>
      </w:r>
      <w:r w:rsidRPr="006B3656">
        <w:rPr>
          <w:rFonts w:ascii="GHEA Grapalat" w:eastAsia="GHEA Grapalat" w:hAnsi="GHEA Grapalat" w:cs="GHEA Grapalat"/>
          <w:sz w:val="22"/>
          <w:szCs w:val="22"/>
          <w:lang w:val="hy-AM"/>
        </w:rPr>
        <w:t>շարունակական</w:t>
      </w:r>
      <w:r w:rsidRPr="006B3656">
        <w:rPr>
          <w:rFonts w:ascii="GHEA Grapalat" w:eastAsia="Calibri" w:hAnsi="GHEA Grapalat" w:cs="Sylfaen"/>
          <w:sz w:val="22"/>
          <w:szCs w:val="22"/>
          <w:lang w:val="hy-AM"/>
        </w:rPr>
        <w:t xml:space="preserve"> են եղել, իսկ ԼՂ-ից բռնի տեղահանված բնակչության կարիքները հասցեագրվել են պետական աջակցության գործիքներով: </w:t>
      </w:r>
    </w:p>
    <w:p w:rsidR="00892007" w:rsidRPr="006B3656" w:rsidRDefault="00892007" w:rsidP="00A05DB7">
      <w:pPr>
        <w:spacing w:line="360" w:lineRule="auto"/>
        <w:ind w:firstLine="567"/>
        <w:jc w:val="both"/>
        <w:rPr>
          <w:rFonts w:ascii="GHEA Grapalat" w:eastAsia="Calibri" w:hAnsi="GHEA Grapalat" w:cs="Sylfaen"/>
          <w:sz w:val="22"/>
          <w:szCs w:val="22"/>
          <w:lang w:val="hy-AM"/>
        </w:rPr>
      </w:pPr>
      <w:r w:rsidRPr="006B3656">
        <w:rPr>
          <w:rFonts w:ascii="GHEA Grapalat" w:eastAsia="Calibri" w:hAnsi="GHEA Grapalat" w:cs="Sylfaen"/>
          <w:sz w:val="22"/>
          <w:szCs w:val="22"/>
          <w:lang w:val="hy-AM"/>
        </w:rPr>
        <w:t xml:space="preserve">Գիտելիքահենք, նորարարական տնտեսության և փոքր ու միջին ձեռնարկատիրության աջակցության ծրագրի </w:t>
      </w:r>
      <w:r w:rsidRPr="00F371F3">
        <w:rPr>
          <w:rFonts w:ascii="GHEA Grapalat" w:eastAsia="Calibri" w:hAnsi="GHEA Grapalat" w:cs="Sylfaen"/>
          <w:sz w:val="22"/>
          <w:szCs w:val="22"/>
          <w:lang w:val="hy-AM"/>
        </w:rPr>
        <w:t>տ</w:t>
      </w:r>
      <w:r w:rsidRPr="006B3656">
        <w:rPr>
          <w:rFonts w:ascii="GHEA Grapalat" w:eastAsia="Calibri" w:hAnsi="GHEA Grapalat" w:cs="Sylfaen"/>
          <w:sz w:val="22"/>
          <w:szCs w:val="22"/>
          <w:lang w:val="hy-AM"/>
        </w:rPr>
        <w:t xml:space="preserve">նտեսության արդիականացման պետական աջակցության միջոցառման գծով 2024 թվականի առաջին կիսամյակում փաստացի ծախսերը կազմել են շուրջ 6.5 մլրդ դրամ, իսկ Բարձր տեխնոլոգիական արդյունաբերության էկոհամակարգի և շուկայի զարգացման ծրագրի «Պետական աջակցություն տեղեկատվական տեխնոլոգիաների ոլորտում գործունեություն իրականացնող առևտրային կազմակերպություններին և անհատ ձեռնարկատերերին» միջոցառման շրջանակներում փաստացի ծախսերը կազմել են 1.4 մլրդ դրամ: </w:t>
      </w:r>
    </w:p>
    <w:p w:rsidR="00A05DB7" w:rsidRPr="006B3656" w:rsidRDefault="00A05DB7" w:rsidP="00A05DB7">
      <w:pPr>
        <w:spacing w:line="360" w:lineRule="auto"/>
        <w:ind w:firstLine="567"/>
        <w:jc w:val="both"/>
        <w:rPr>
          <w:rFonts w:ascii="GHEA Grapalat" w:eastAsia="Calibri" w:hAnsi="GHEA Grapalat" w:cs="Sylfaen"/>
          <w:sz w:val="22"/>
          <w:szCs w:val="22"/>
          <w:lang w:val="hy-AM"/>
        </w:rPr>
      </w:pPr>
      <w:r w:rsidRPr="006B3656">
        <w:rPr>
          <w:rFonts w:ascii="GHEA Grapalat" w:eastAsia="Calibri" w:hAnsi="GHEA Grapalat" w:cs="Sylfaen"/>
          <w:sz w:val="22"/>
          <w:szCs w:val="22"/>
          <w:lang w:val="hy-AM"/>
        </w:rPr>
        <w:t xml:space="preserve">Հաշվետու ժամանակահատվածում պետական աջակցության միջոցառումներով գյուղատնտեսության ոլորտի ծախսերը կազմել են 16.7 մլրդ դրամ՝ նախորդ տարվա 18.5 մլրդ դրամի դիմաց, որում </w:t>
      </w:r>
      <w:r w:rsidRPr="006B3656">
        <w:rPr>
          <w:rFonts w:ascii="GHEA Grapalat" w:eastAsia="GHEA Grapalat" w:hAnsi="GHEA Grapalat" w:cs="GHEA Grapalat"/>
          <w:sz w:val="22"/>
          <w:szCs w:val="22"/>
          <w:lang w:val="hy-AM"/>
        </w:rPr>
        <w:t>գերակշռում</w:t>
      </w:r>
      <w:r w:rsidRPr="006B3656">
        <w:rPr>
          <w:rFonts w:ascii="GHEA Grapalat" w:eastAsia="Calibri" w:hAnsi="GHEA Grapalat" w:cs="Sylfaen"/>
          <w:sz w:val="22"/>
          <w:szCs w:val="22"/>
          <w:lang w:val="hy-AM"/>
        </w:rPr>
        <w:t xml:space="preserve"> են գյուղատնտեսության խթանման ծրագրերը (4.6 մլրդ դրամ) և գյուղատնտեսության արդիականացման ծրագրերը (10.1 մլրդ դրամ): Գյուղատնտեսության արդիականացման ծրագրում ՀՀ ինտենսիվ այգեգործության զարգացման նպատակով սուբսիդավորումը կազմել է 6.3 մլրդ դրամ, իսկ ՀՀ ագրոպարենային ոլորտի սարքավորումների լիզինգի աջակցության ծախսերը՝ 1.8</w:t>
      </w:r>
      <w:r w:rsidRPr="006B3656">
        <w:rPr>
          <w:rFonts w:ascii="Calibri" w:eastAsia="Calibri" w:hAnsi="Calibri" w:cs="Calibri"/>
          <w:sz w:val="22"/>
          <w:szCs w:val="22"/>
          <w:lang w:val="hy-AM"/>
        </w:rPr>
        <w:t> </w:t>
      </w:r>
      <w:r w:rsidRPr="006B3656">
        <w:rPr>
          <w:rFonts w:ascii="GHEA Grapalat" w:eastAsia="Calibri" w:hAnsi="GHEA Grapalat" w:cs="Sylfaen"/>
          <w:sz w:val="22"/>
          <w:szCs w:val="22"/>
          <w:lang w:val="hy-AM"/>
        </w:rPr>
        <w:t xml:space="preserve">մլրդ դրամ: Գյուղատնտեսության խթանման ծրագրում գյուղատնտեսական վարկերի տոկոսադրույքների սուբսիդավորումը կազմել է 2.5 մլրդ դրամ, իսկ գյուղատնտեսական հումքի մթերումների (գնումների) նպատակով տրամադրվող վարկերի տոկոսադրույքների սուբսիդավորումը՝ 1.7 մլրդ դրամ։ </w:t>
      </w:r>
    </w:p>
    <w:p w:rsidR="00A05DB7" w:rsidRPr="006B3656" w:rsidRDefault="00A05DB7" w:rsidP="00A05DB7">
      <w:pPr>
        <w:spacing w:line="360" w:lineRule="auto"/>
        <w:ind w:firstLine="567"/>
        <w:jc w:val="both"/>
        <w:rPr>
          <w:rFonts w:ascii="GHEA Grapalat" w:eastAsia="Calibri" w:hAnsi="GHEA Grapalat" w:cs="Sylfaen"/>
          <w:sz w:val="22"/>
          <w:szCs w:val="22"/>
          <w:lang w:val="hy-AM"/>
        </w:rPr>
      </w:pPr>
      <w:r w:rsidRPr="006B3656">
        <w:rPr>
          <w:rFonts w:ascii="GHEA Grapalat" w:eastAsia="Calibri" w:hAnsi="GHEA Grapalat" w:cs="Sylfaen"/>
          <w:sz w:val="22"/>
          <w:szCs w:val="22"/>
          <w:lang w:val="hy-AM"/>
        </w:rPr>
        <w:t>2024 թվականի առաջին կիսամյակում ՀՀ պետական բյուջեից Լեռնային Ղարաբաղից բռնի տեղահանված անձանց պետական աջակցության չափը թիրախային ծրագրերով կազմել է 29.6 մլրդ դրամ, որում կեցության և այլ</w:t>
      </w:r>
      <w:r w:rsidR="00837E26" w:rsidRPr="006B3656">
        <w:rPr>
          <w:rFonts w:ascii="GHEA Grapalat" w:eastAsia="Calibri" w:hAnsi="GHEA Grapalat" w:cs="Sylfaen"/>
          <w:sz w:val="22"/>
          <w:szCs w:val="22"/>
          <w:lang w:val="hy-AM"/>
        </w:rPr>
        <w:t xml:space="preserve"> </w:t>
      </w:r>
      <w:r w:rsidRPr="006B3656">
        <w:rPr>
          <w:rFonts w:ascii="GHEA Grapalat" w:eastAsia="Calibri" w:hAnsi="GHEA Grapalat" w:cs="Sylfaen"/>
          <w:sz w:val="22"/>
          <w:szCs w:val="22"/>
          <w:lang w:val="hy-AM"/>
        </w:rPr>
        <w:t>ծախսերը հոգալու համար սոցիալական աջակցությունը կազմել է</w:t>
      </w:r>
      <w:r w:rsidR="002A5DB8" w:rsidRPr="006B3656">
        <w:rPr>
          <w:rFonts w:ascii="GHEA Grapalat" w:eastAsia="Calibri" w:hAnsi="GHEA Grapalat" w:cs="Sylfaen"/>
          <w:sz w:val="22"/>
          <w:szCs w:val="22"/>
          <w:lang w:val="hy-AM"/>
        </w:rPr>
        <w:t xml:space="preserve"> 24.7</w:t>
      </w:r>
      <w:r w:rsidR="002A5DB8" w:rsidRPr="00F371F3">
        <w:rPr>
          <w:rFonts w:ascii="Calibri" w:eastAsia="Calibri" w:hAnsi="Calibri" w:cs="Calibri"/>
          <w:sz w:val="22"/>
          <w:szCs w:val="22"/>
          <w:lang w:val="hy-AM"/>
        </w:rPr>
        <w:t> </w:t>
      </w:r>
      <w:r w:rsidRPr="006B3656">
        <w:rPr>
          <w:rFonts w:ascii="GHEA Grapalat" w:eastAsia="Calibri" w:hAnsi="GHEA Grapalat" w:cs="Sylfaen"/>
          <w:sz w:val="22"/>
          <w:szCs w:val="22"/>
          <w:lang w:val="hy-AM"/>
        </w:rPr>
        <w:t xml:space="preserve">մլրդ դրամ, բնակարանային մատչելիության ապահովման պետական աջակցության գծով տրամադրվել է շուրջ 2.0 մլրդ դրամ, իսկ </w:t>
      </w:r>
      <w:r w:rsidRPr="006B3656">
        <w:rPr>
          <w:rFonts w:ascii="GHEA Grapalat" w:eastAsia="GHEA Grapalat" w:hAnsi="GHEA Grapalat" w:cs="GHEA Grapalat"/>
          <w:sz w:val="22"/>
          <w:szCs w:val="22"/>
          <w:lang w:val="hy-AM"/>
        </w:rPr>
        <w:t>առաջնային</w:t>
      </w:r>
      <w:r w:rsidRPr="006B3656">
        <w:rPr>
          <w:rFonts w:ascii="GHEA Grapalat" w:eastAsia="Calibri" w:hAnsi="GHEA Grapalat" w:cs="Sylfaen"/>
          <w:sz w:val="22"/>
          <w:szCs w:val="22"/>
          <w:lang w:val="hy-AM"/>
        </w:rPr>
        <w:t xml:space="preserve"> սպառողական ծախսերը հոգալու համար սոցիալական աջակցությունը կազմել է 1.95 մլրդ դրամ: Ընդ որում, Լեռնային Ղարաբաղից բռնի տեղահանված անձանց ինտեգրման գործընթացում աստիճանաբար թիրախային աջակցության ծրագրերը փոխարինվում են ՀՀ կառավարության սոցիալական աջակցության հիմնական գործիքներով։ </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b/>
          <w:i/>
          <w:sz w:val="22"/>
          <w:szCs w:val="22"/>
          <w:lang w:val="hy-AM"/>
        </w:rPr>
        <w:t>Պետական բյուջեի հաշվեկշիռը:</w:t>
      </w:r>
      <w:r w:rsidRPr="006B3656">
        <w:rPr>
          <w:rFonts w:ascii="GHEA Grapalat" w:hAnsi="GHEA Grapalat" w:cs="GHEA Grapalat"/>
          <w:sz w:val="22"/>
          <w:szCs w:val="22"/>
          <w:lang w:val="hy-AM"/>
        </w:rPr>
        <w:t xml:space="preserve"> Վերոնշյալ զարգացումների արդյունքում պետական բյուջեն եղել է հավելուրդային: 2024 թվականի հունվար-հունիս ամիսներին ձևավորվել է պետական բյուջեի 10.98 մլրդ դրամի հավելուրդ՝ զգալիորեն զիջելով նախորդ տարվա նույն ժամանակահատվածի 134.3 մլրդ դրամ հավելուրդի </w:t>
      </w:r>
      <w:r w:rsidR="002D17A9" w:rsidRPr="006B3656">
        <w:rPr>
          <w:rFonts w:ascii="GHEA Grapalat" w:hAnsi="GHEA Grapalat" w:cs="GHEA Grapalat"/>
          <w:sz w:val="22"/>
          <w:szCs w:val="22"/>
          <w:lang w:val="hy-AM"/>
        </w:rPr>
        <w:t>ցուցանիշը:</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b/>
          <w:i/>
          <w:sz w:val="22"/>
          <w:szCs w:val="22"/>
          <w:lang w:val="hy-AM"/>
        </w:rPr>
        <w:t>Հարկաբյուջետային ազդակը:</w:t>
      </w:r>
      <w:r w:rsidRPr="006B3656">
        <w:rPr>
          <w:rFonts w:ascii="GHEA Grapalat" w:hAnsi="GHEA Grapalat" w:cs="GHEA Grapalat"/>
          <w:sz w:val="22"/>
          <w:szCs w:val="22"/>
          <w:lang w:val="hy-AM"/>
        </w:rPr>
        <w:t xml:space="preserve"> 2024 թվականի առաջին կիսամյակում նախորդ տարվ</w:t>
      </w:r>
      <w:r w:rsidR="002D17A9" w:rsidRPr="006B3656">
        <w:rPr>
          <w:rFonts w:ascii="GHEA Grapalat" w:hAnsi="GHEA Grapalat" w:cs="GHEA Grapalat"/>
          <w:sz w:val="22"/>
          <w:szCs w:val="22"/>
          <w:lang w:val="hy-AM"/>
        </w:rPr>
        <w:t>ա նույն ժամանակահատվածի համեմատ</w:t>
      </w:r>
      <w:r w:rsidRPr="006B3656">
        <w:rPr>
          <w:rFonts w:ascii="GHEA Grapalat" w:hAnsi="GHEA Grapalat" w:cs="GHEA Grapalat"/>
          <w:sz w:val="22"/>
          <w:szCs w:val="22"/>
          <w:lang w:val="hy-AM"/>
        </w:rPr>
        <w:t xml:space="preserve"> բյուջեի հաշվեկշռի նվազման, մասնավորապես՝ ավելի փոք</w:t>
      </w:r>
      <w:r w:rsidR="007F0666" w:rsidRPr="00F371F3">
        <w:rPr>
          <w:rFonts w:ascii="GHEA Grapalat" w:hAnsi="GHEA Grapalat" w:cs="GHEA Grapalat"/>
          <w:sz w:val="22"/>
          <w:szCs w:val="22"/>
          <w:lang w:val="hy-AM"/>
        </w:rPr>
        <w:t>ր</w:t>
      </w:r>
      <w:r w:rsidRPr="006B3656">
        <w:rPr>
          <w:rFonts w:ascii="GHEA Grapalat" w:hAnsi="GHEA Grapalat" w:cs="GHEA Grapalat"/>
          <w:sz w:val="22"/>
          <w:szCs w:val="22"/>
          <w:lang w:val="hy-AM"/>
        </w:rPr>
        <w:t xml:space="preserve"> հավելուրդի ձևավորման պայմաններում հարկաբյուջետային քաղաքականության ազդեցությունն ամբողջական </w:t>
      </w:r>
      <w:r w:rsidRPr="006B3656">
        <w:rPr>
          <w:rFonts w:ascii="GHEA Grapalat" w:eastAsia="GHEA Grapalat" w:hAnsi="GHEA Grapalat" w:cs="GHEA Grapalat"/>
          <w:sz w:val="22"/>
          <w:szCs w:val="22"/>
          <w:lang w:val="hy-AM"/>
        </w:rPr>
        <w:t>պահանջարկի</w:t>
      </w:r>
      <w:r w:rsidRPr="006B3656">
        <w:rPr>
          <w:rFonts w:ascii="GHEA Grapalat" w:hAnsi="GHEA Grapalat" w:cs="GHEA Grapalat"/>
          <w:sz w:val="22"/>
          <w:szCs w:val="22"/>
          <w:lang w:val="hy-AM"/>
        </w:rPr>
        <w:t xml:space="preserve"> վրա գնահատվում է չափավոր ընդլայնող: Համախառն պահանջարկի վրա հարկաբյուջետային քաղաքականությունը 2024 թվականի առաջին կիսամյակում նախորդ տարվա նույն ժամանակահատվածի նկատմամբ ունեցել է 0.9 ազդեցություն` պայմանավորված եկամուտների 0.6 և ծախսերի 0</w:t>
      </w:r>
      <w:r w:rsidRPr="006B3656">
        <w:rPr>
          <w:rFonts w:ascii="Cambria Math" w:hAnsi="Cambria Math" w:cs="GHEA Grapalat"/>
          <w:sz w:val="22"/>
          <w:szCs w:val="22"/>
          <w:lang w:val="hy-AM"/>
        </w:rPr>
        <w:t>․</w:t>
      </w:r>
      <w:r w:rsidRPr="006B3656">
        <w:rPr>
          <w:rFonts w:ascii="GHEA Grapalat" w:hAnsi="GHEA Grapalat" w:cs="GHEA Grapalat"/>
          <w:sz w:val="22"/>
          <w:szCs w:val="22"/>
          <w:lang w:val="hy-AM"/>
        </w:rPr>
        <w:t xml:space="preserve">3 չափի ընդլայնող ազդեցություններով։ </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Տարվա համար ծրագրված՝ համախառն պահանջարկի վրա չեզոք ազդեցությամբ հարկաբյուջետային քաղաքականությունից դրսևորված շեղումը եկամուտների մասով պայմանավորված է տնտեսական ընդհանուր պարբերաշրջանից որոշակիորեն շեղված հարկման բազաների (հարկունակ սպառում, ներմուծում և կազմակերպությունների շահույթներ) զարգացումներով, և չի ենթադրում հարկաբյուջետային քաղաքականության ծրագրված ուղղությունից տարբերվող հարկային </w:t>
      </w:r>
      <w:r w:rsidRPr="006B3656">
        <w:rPr>
          <w:rFonts w:ascii="GHEA Grapalat" w:eastAsia="GHEA Grapalat" w:hAnsi="GHEA Grapalat" w:cs="GHEA Grapalat"/>
          <w:sz w:val="22"/>
          <w:szCs w:val="22"/>
          <w:lang w:val="hy-AM"/>
        </w:rPr>
        <w:t>որոշումների</w:t>
      </w:r>
      <w:r w:rsidRPr="006B3656">
        <w:rPr>
          <w:rFonts w:ascii="GHEA Grapalat" w:hAnsi="GHEA Grapalat" w:cs="GHEA Grapalat"/>
          <w:sz w:val="22"/>
          <w:szCs w:val="22"/>
          <w:lang w:val="hy-AM"/>
        </w:rPr>
        <w:t xml:space="preserve"> ներգործություն։ Միաժամանակ, ծախսային մասով ընդլայնող ազդակի ձևավորումը պայմանավորված է եղել անհետաձգելի սոցիալական խնդիրներին (այդ թվում՝ ԼՂ-ից բռնի տեղահանված անձանց սոցիալական աջակցությամբ) ուղղվող ծախսերի աճով։</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Այդ տեսանկյունից, հարկաբյուջետային քաղաքականությունը տնտեսական պարբարաշրջանին արձագանքելու տեսակետից համահունչ է մնացել թիրախավորված ուղղությանը, իսկ ձևավորված շեղումներ</w:t>
      </w:r>
      <w:r w:rsidR="002D17A9" w:rsidRPr="00F371F3">
        <w:rPr>
          <w:rFonts w:ascii="GHEA Grapalat" w:hAnsi="GHEA Grapalat" w:cs="GHEA Grapalat"/>
          <w:sz w:val="22"/>
          <w:szCs w:val="22"/>
          <w:lang w:val="hy-AM"/>
        </w:rPr>
        <w:t>ն</w:t>
      </w:r>
      <w:r w:rsidRPr="006B3656">
        <w:rPr>
          <w:rFonts w:ascii="GHEA Grapalat" w:hAnsi="GHEA Grapalat" w:cs="GHEA Grapalat"/>
          <w:sz w:val="22"/>
          <w:szCs w:val="22"/>
          <w:lang w:val="hy-AM"/>
        </w:rPr>
        <w:t xml:space="preserve"> առավելապես տնտեսական կառուցվածքի փոփոխությունների և անհետաձգելի կարիքների համար ձևավորված ժամանակավոր ծախսային ճնշումների արդյունք են եղել։ </w:t>
      </w:r>
    </w:p>
    <w:p w:rsidR="00A05DB7" w:rsidRPr="006B3656" w:rsidRDefault="00A05DB7" w:rsidP="00A05DB7">
      <w:pPr>
        <w:spacing w:line="360" w:lineRule="auto"/>
        <w:ind w:firstLine="567"/>
        <w:jc w:val="both"/>
        <w:rPr>
          <w:rFonts w:ascii="GHEA Grapalat" w:hAnsi="GHEA Grapalat" w:cs="GHEA Grapalat"/>
          <w:sz w:val="22"/>
          <w:szCs w:val="22"/>
          <w:lang w:val="hy-AM"/>
        </w:rPr>
      </w:pPr>
    </w:p>
    <w:tbl>
      <w:tblPr>
        <w:tblStyle w:val="TableGrid21"/>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A05DB7" w:rsidRPr="0046146D" w:rsidTr="00A05DB7">
        <w:tc>
          <w:tcPr>
            <w:tcW w:w="5046" w:type="dxa"/>
          </w:tcPr>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Հարկաբյուջետային ազդակը 2020-2024 թվականներին</w:t>
            </w:r>
            <w:r w:rsidRPr="006B3656">
              <w:rPr>
                <w:vertAlign w:val="superscript"/>
                <w:lang w:val="hy-AM"/>
              </w:rPr>
              <w:footnoteReference w:id="22"/>
            </w:r>
          </w:p>
        </w:tc>
        <w:tc>
          <w:tcPr>
            <w:tcW w:w="5046" w:type="dxa"/>
          </w:tcPr>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Պետական բյուջեի պակասուրդը 2020-2024թթ. առաջին կիսամյակներում</w:t>
            </w:r>
          </w:p>
        </w:tc>
      </w:tr>
      <w:tr w:rsidR="00A05DB7" w:rsidRPr="006B3656" w:rsidTr="00A05DB7">
        <w:tc>
          <w:tcPr>
            <w:tcW w:w="5046" w:type="dxa"/>
          </w:tcPr>
          <w:p w:rsidR="00A05DB7" w:rsidRPr="006B3656" w:rsidRDefault="00A05DB7" w:rsidP="00A05DB7">
            <w:pPr>
              <w:spacing w:before="60" w:line="360" w:lineRule="auto"/>
              <w:jc w:val="both"/>
              <w:rPr>
                <w:rFonts w:ascii="GHEA Grapalat" w:hAnsi="GHEA Grapalat" w:cs="GHEA Grapalat"/>
                <w:sz w:val="22"/>
                <w:szCs w:val="22"/>
                <w:lang w:val="hy-AM"/>
              </w:rPr>
            </w:pPr>
            <w:r w:rsidRPr="006B3656">
              <w:rPr>
                <w:rFonts w:ascii="GHEA Grapalat" w:eastAsia="GHEA Grapalat" w:hAnsi="GHEA Grapalat" w:cs="GHEA Grapalat"/>
                <w:b/>
                <w:noProof/>
              </w:rPr>
              <w:drawing>
                <wp:inline distT="0" distB="0" distL="0" distR="0" wp14:anchorId="75F1912E" wp14:editId="4F5B882C">
                  <wp:extent cx="3060000" cy="2867025"/>
                  <wp:effectExtent l="0" t="0" r="762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046" w:type="dxa"/>
          </w:tcPr>
          <w:p w:rsidR="00A05DB7" w:rsidRPr="006B3656" w:rsidRDefault="00A05DB7" w:rsidP="00A05DB7">
            <w:pPr>
              <w:spacing w:before="60" w:line="360" w:lineRule="auto"/>
              <w:jc w:val="both"/>
              <w:rPr>
                <w:rFonts w:ascii="GHEA Grapalat" w:hAnsi="GHEA Grapalat" w:cs="GHEA Grapalat"/>
                <w:sz w:val="22"/>
                <w:szCs w:val="22"/>
                <w:lang w:val="hy-AM"/>
              </w:rPr>
            </w:pPr>
            <w:r w:rsidRPr="006B3656">
              <w:rPr>
                <w:rFonts w:ascii="GHEA Grapalat" w:eastAsia="GHEA Grapalat" w:hAnsi="GHEA Grapalat" w:cs="GHEA Grapalat"/>
                <w:b/>
                <w:noProof/>
              </w:rPr>
              <w:drawing>
                <wp:inline distT="0" distB="0" distL="0" distR="0" wp14:anchorId="0583E092" wp14:editId="2F4AF9B0">
                  <wp:extent cx="3060000" cy="2895600"/>
                  <wp:effectExtent l="0" t="0" r="762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F6200A">
              <w:rPr>
                <w:rFonts w:ascii="GHEA Grapalat" w:hAnsi="GHEA Grapalat" w:cs="GHEA Grapalat"/>
                <w:sz w:val="22"/>
                <w:szCs w:val="22"/>
                <w:lang w:val="hy-AM"/>
              </w:rPr>
              <w:t xml:space="preserve"> </w:t>
            </w:r>
          </w:p>
        </w:tc>
      </w:tr>
    </w:tbl>
    <w:p w:rsidR="00F5633F" w:rsidRPr="006B3656" w:rsidRDefault="00F5633F" w:rsidP="001C23DC">
      <w:pPr>
        <w:spacing w:line="360" w:lineRule="auto"/>
        <w:ind w:firstLine="567"/>
        <w:jc w:val="both"/>
        <w:rPr>
          <w:rFonts w:ascii="GHEA Grapalat" w:hAnsi="GHEA Grapalat" w:cs="GHEA Grapalat"/>
          <w:sz w:val="22"/>
          <w:szCs w:val="22"/>
          <w:lang w:val="hy-AM"/>
        </w:rPr>
      </w:pPr>
    </w:p>
    <w:p w:rsidR="001C23DC" w:rsidRPr="006B3656" w:rsidRDefault="001C23DC" w:rsidP="001C23DC">
      <w:pPr>
        <w:spacing w:line="360" w:lineRule="auto"/>
        <w:ind w:firstLine="567"/>
        <w:jc w:val="both"/>
        <w:rPr>
          <w:rFonts w:ascii="GHEA Grapalat" w:hAnsi="GHEA Grapalat" w:cs="GHEA Grapalat"/>
          <w:sz w:val="22"/>
          <w:szCs w:val="22"/>
          <w:lang w:val="hy-AM"/>
        </w:rPr>
      </w:pPr>
    </w:p>
    <w:bookmarkEnd w:id="37"/>
    <w:p w:rsidR="008C6E1F" w:rsidRDefault="008C6E1F">
      <w:pPr>
        <w:rPr>
          <w:rFonts w:ascii="GHEA Grapalat" w:eastAsia="GHEA Grapalat" w:hAnsi="GHEA Grapalat" w:cs="GHEA Grapalat"/>
          <w:b/>
          <w:sz w:val="22"/>
          <w:szCs w:val="22"/>
          <w:lang w:val="hy-AM"/>
        </w:rPr>
      </w:pPr>
      <w:r>
        <w:rPr>
          <w:rFonts w:ascii="GHEA Grapalat" w:eastAsia="GHEA Grapalat" w:hAnsi="GHEA Grapalat" w:cs="GHEA Grapalat"/>
          <w:b/>
          <w:sz w:val="22"/>
          <w:szCs w:val="22"/>
          <w:lang w:val="hy-AM"/>
        </w:rPr>
        <w:br w:type="page"/>
      </w:r>
    </w:p>
    <w:p w:rsidR="00C35801" w:rsidRPr="006B3656" w:rsidRDefault="00C35801" w:rsidP="002C5B0A">
      <w:pPr>
        <w:jc w:val="center"/>
        <w:rPr>
          <w:rFonts w:ascii="GHEA Grapalat" w:eastAsia="GHEA Grapalat" w:hAnsi="GHEA Grapalat" w:cs="GHEA Grapalat"/>
          <w:sz w:val="22"/>
          <w:szCs w:val="22"/>
          <w:lang w:val="hy-AM"/>
        </w:rPr>
      </w:pPr>
      <w:r w:rsidRPr="006B3656">
        <w:rPr>
          <w:rFonts w:ascii="GHEA Grapalat" w:eastAsia="GHEA Grapalat" w:hAnsi="GHEA Grapalat" w:cs="GHEA Grapalat"/>
          <w:b/>
          <w:sz w:val="22"/>
          <w:szCs w:val="22"/>
          <w:lang w:val="hy-AM"/>
        </w:rPr>
        <w:t>Աղյուսակ 1:</w:t>
      </w:r>
      <w:r w:rsidRPr="006B3656">
        <w:rPr>
          <w:rFonts w:ascii="GHEA Grapalat" w:eastAsia="GHEA Grapalat" w:hAnsi="GHEA Grapalat" w:cs="GHEA Grapalat"/>
          <w:sz w:val="22"/>
          <w:szCs w:val="22"/>
          <w:lang w:val="hy-AM"/>
        </w:rPr>
        <w:t xml:space="preserve"> Տնտեսության ճյուղերի և ենթաճյուղերի, արտահանման և ներմուծման ապրանքախմբերի հիմնական ցուցանիշները</w:t>
      </w:r>
    </w:p>
    <w:p w:rsidR="00C35801" w:rsidRPr="006B3656" w:rsidRDefault="00C35801" w:rsidP="00C35801">
      <w:pPr>
        <w:jc w:val="center"/>
        <w:rPr>
          <w:rFonts w:ascii="GHEA Grapalat" w:hAnsi="GHEA Grapalat" w:cs="Arial"/>
          <w:b/>
          <w:sz w:val="22"/>
          <w:szCs w:val="20"/>
          <w:lang w:val="hy-AM"/>
        </w:rPr>
      </w:pPr>
    </w:p>
    <w:p w:rsidR="00A05DB7" w:rsidRPr="006B3656" w:rsidRDefault="00A05DB7" w:rsidP="00A05DB7">
      <w:pPr>
        <w:jc w:val="center"/>
        <w:rPr>
          <w:rFonts w:ascii="GHEA Grapalat" w:hAnsi="GHEA Grapalat"/>
          <w:sz w:val="22"/>
          <w:szCs w:val="20"/>
          <w:lang w:val="hy-AM"/>
        </w:rPr>
      </w:pPr>
      <w:r w:rsidRPr="006B3656">
        <w:rPr>
          <w:rFonts w:ascii="GHEA Grapalat" w:hAnsi="GHEA Grapalat" w:cs="Arial"/>
          <w:b/>
          <w:sz w:val="22"/>
          <w:szCs w:val="20"/>
          <w:lang w:val="hy-AM"/>
        </w:rPr>
        <w:t xml:space="preserve">Աղյուսակ </w:t>
      </w:r>
      <w:r w:rsidRPr="00F371F3">
        <w:rPr>
          <w:rFonts w:ascii="GHEA Grapalat" w:hAnsi="GHEA Grapalat" w:cs="Arial"/>
          <w:b/>
          <w:sz w:val="22"/>
          <w:szCs w:val="20"/>
          <w:lang w:val="hy-AM"/>
        </w:rPr>
        <w:t>1.</w:t>
      </w:r>
      <w:r w:rsidRPr="006B3656">
        <w:rPr>
          <w:rFonts w:ascii="GHEA Grapalat" w:hAnsi="GHEA Grapalat" w:cs="Arial"/>
          <w:b/>
          <w:sz w:val="22"/>
          <w:szCs w:val="20"/>
          <w:lang w:val="hy-AM"/>
        </w:rPr>
        <w:t xml:space="preserve">1: </w:t>
      </w:r>
      <w:r w:rsidRPr="006B3656">
        <w:rPr>
          <w:rFonts w:ascii="GHEA Grapalat" w:hAnsi="GHEA Grapalat" w:cs="Arial"/>
          <w:sz w:val="22"/>
          <w:szCs w:val="20"/>
          <w:lang w:val="hy-AM"/>
        </w:rPr>
        <w:t>Տնտեսության ճյուղերի և ենթաճյուղերի թողարկման</w:t>
      </w:r>
      <w:r w:rsidRPr="006B3656">
        <w:rPr>
          <w:rFonts w:ascii="GHEA Grapalat" w:hAnsi="GHEA Grapalat"/>
          <w:sz w:val="22"/>
          <w:szCs w:val="20"/>
          <w:lang w:val="hy-AM"/>
        </w:rPr>
        <w:t xml:space="preserve"> </w:t>
      </w:r>
      <w:r w:rsidRPr="006B3656">
        <w:rPr>
          <w:rFonts w:ascii="GHEA Grapalat" w:hAnsi="GHEA Grapalat" w:cs="Arial"/>
          <w:sz w:val="22"/>
          <w:szCs w:val="20"/>
          <w:lang w:val="hy-AM"/>
        </w:rPr>
        <w:t>ծավալների</w:t>
      </w:r>
      <w:r w:rsidRPr="006B3656">
        <w:rPr>
          <w:rFonts w:ascii="GHEA Grapalat" w:hAnsi="GHEA Grapalat"/>
          <w:sz w:val="22"/>
          <w:szCs w:val="20"/>
          <w:lang w:val="hy-AM"/>
        </w:rPr>
        <w:t xml:space="preserve"> </w:t>
      </w:r>
      <w:r w:rsidRPr="006B3656">
        <w:rPr>
          <w:rFonts w:ascii="GHEA Grapalat" w:hAnsi="GHEA Grapalat" w:cs="Arial"/>
          <w:sz w:val="22"/>
          <w:szCs w:val="20"/>
          <w:lang w:val="hy-AM"/>
        </w:rPr>
        <w:t>ցուցանիշները,</w:t>
      </w:r>
      <w:r w:rsidRPr="006B3656">
        <w:rPr>
          <w:rFonts w:ascii="GHEA Grapalat" w:hAnsi="GHEA Grapalat"/>
          <w:sz w:val="22"/>
          <w:szCs w:val="20"/>
          <w:lang w:val="hy-AM"/>
        </w:rPr>
        <w:t xml:space="preserve"> </w:t>
      </w:r>
    </w:p>
    <w:p w:rsidR="00EA44E1" w:rsidRPr="006B3656" w:rsidRDefault="00A05DB7" w:rsidP="00A05DB7">
      <w:pPr>
        <w:jc w:val="center"/>
        <w:rPr>
          <w:rFonts w:ascii="GHEA Grapalat" w:hAnsi="GHEA Grapalat"/>
          <w:sz w:val="22"/>
          <w:szCs w:val="20"/>
          <w:lang w:val="hy-AM"/>
        </w:rPr>
      </w:pPr>
      <w:r w:rsidRPr="006B3656">
        <w:rPr>
          <w:rFonts w:ascii="GHEA Grapalat" w:hAnsi="GHEA Grapalat"/>
          <w:sz w:val="22"/>
          <w:szCs w:val="20"/>
          <w:lang w:val="hy-AM"/>
        </w:rPr>
        <w:t>2024</w:t>
      </w:r>
      <w:r w:rsidRPr="006B3656">
        <w:rPr>
          <w:rFonts w:ascii="GHEA Grapalat" w:hAnsi="GHEA Grapalat" w:cs="Arial"/>
          <w:sz w:val="22"/>
          <w:szCs w:val="20"/>
          <w:lang w:val="hy-AM"/>
        </w:rPr>
        <w:t xml:space="preserve"> թվականի</w:t>
      </w:r>
      <w:r w:rsidRPr="006B3656">
        <w:rPr>
          <w:rFonts w:ascii="GHEA Grapalat" w:hAnsi="GHEA Grapalat"/>
          <w:sz w:val="22"/>
          <w:szCs w:val="20"/>
          <w:lang w:val="hy-AM"/>
        </w:rPr>
        <w:t xml:space="preserve"> հունվար-հունիս</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jc w:val="center"/>
              <w:rPr>
                <w:rFonts w:ascii="GHEA Grapalat" w:hAnsi="GHEA Grapalat"/>
                <w:i/>
                <w:iCs/>
                <w:color w:val="FF0000"/>
                <w:sz w:val="20"/>
                <w:szCs w:val="20"/>
                <w:lang w:val="hy-AM"/>
              </w:rPr>
            </w:pP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 դրամ)</w:t>
            </w:r>
          </w:p>
        </w:tc>
        <w:tc>
          <w:tcPr>
            <w:tcW w:w="134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25"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65"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r w:rsidRPr="006B3656">
              <w:rPr>
                <w:rFonts w:ascii="GHEA Grapalat" w:hAnsi="GHEA Grapalat"/>
                <w:sz w:val="20"/>
                <w:szCs w:val="20"/>
                <w:vertAlign w:val="superscript"/>
                <w:lang w:val="hy-AM"/>
              </w:rPr>
              <w:footnoteReference w:id="23"/>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Ամբողջ արդյունաբերություն, այդ թվում՝</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rPr>
              <w:t>1408.1</w:t>
            </w:r>
          </w:p>
        </w:tc>
        <w:tc>
          <w:tcPr>
            <w:tcW w:w="134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100.0</w:t>
            </w:r>
          </w:p>
        </w:tc>
        <w:tc>
          <w:tcPr>
            <w:tcW w:w="122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rPr>
              <w:t>118</w:t>
            </w:r>
            <w:r w:rsidRPr="006B3656">
              <w:rPr>
                <w:rFonts w:ascii="GHEA Grapalat" w:hAnsi="GHEA Grapalat"/>
                <w:b/>
                <w:sz w:val="20"/>
                <w:szCs w:val="20"/>
                <w:lang w:val="hy-AM"/>
              </w:rPr>
              <w:t>.2</w:t>
            </w:r>
          </w:p>
        </w:tc>
        <w:tc>
          <w:tcPr>
            <w:tcW w:w="186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B3656">
              <w:rPr>
                <w:rFonts w:ascii="GHEA Grapalat" w:hAnsi="GHEA Grapalat"/>
                <w:b/>
                <w:sz w:val="20"/>
                <w:szCs w:val="20"/>
              </w:rPr>
              <w:t>18.2</w:t>
            </w:r>
          </w:p>
        </w:tc>
      </w:tr>
      <w:tr w:rsidR="00A05DB7" w:rsidRPr="006B3656" w:rsidTr="00A05DB7">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A05DB7" w:rsidRPr="006B3656" w:rsidRDefault="00A05DB7" w:rsidP="00A05DB7">
            <w:pPr>
              <w:rPr>
                <w:rFonts w:ascii="GHEA Grapalat" w:hAnsi="GHEA Grapalat"/>
                <w:b w:val="0"/>
                <w:sz w:val="20"/>
                <w:szCs w:val="20"/>
                <w:lang w:val="hy-AM"/>
              </w:rPr>
            </w:pPr>
            <w:r w:rsidRPr="006B3656">
              <w:rPr>
                <w:rFonts w:ascii="Calibri" w:hAnsi="Calibri" w:cs="Calibri"/>
                <w:b w:val="0"/>
                <w:sz w:val="20"/>
                <w:szCs w:val="20"/>
                <w:lang w:val="hy-AM"/>
              </w:rPr>
              <w:t> </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4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25"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65"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05DB7" w:rsidRPr="006B3656" w:rsidRDefault="00A05DB7" w:rsidP="00A05DB7">
            <w:pPr>
              <w:ind w:left="270" w:hanging="180"/>
              <w:rPr>
                <w:rFonts w:ascii="GHEA Grapalat" w:hAnsi="GHEA Grapalat"/>
                <w:b w:val="0"/>
                <w:sz w:val="20"/>
                <w:szCs w:val="20"/>
                <w:lang w:val="hy-AM"/>
              </w:rPr>
            </w:pPr>
            <w:r w:rsidRPr="006B3656">
              <w:rPr>
                <w:rFonts w:ascii="GHEA Grapalat" w:hAnsi="GHEA Grapalat"/>
                <w:b w:val="0"/>
                <w:sz w:val="20"/>
                <w:szCs w:val="20"/>
                <w:lang w:val="hy-AM"/>
              </w:rPr>
              <w:t>հանքագործական արդյունաբերություն և բացահանքերի շահագործում</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219.9</w:t>
            </w:r>
          </w:p>
        </w:tc>
        <w:tc>
          <w:tcPr>
            <w:tcW w:w="134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15.</w:t>
            </w:r>
            <w:r w:rsidRPr="006B3656">
              <w:rPr>
                <w:rFonts w:ascii="GHEA Grapalat" w:hAnsi="GHEA Grapalat"/>
                <w:sz w:val="20"/>
                <w:szCs w:val="20"/>
              </w:rPr>
              <w:t>6</w:t>
            </w:r>
          </w:p>
        </w:tc>
        <w:tc>
          <w:tcPr>
            <w:tcW w:w="122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90.8</w:t>
            </w:r>
          </w:p>
        </w:tc>
        <w:tc>
          <w:tcPr>
            <w:tcW w:w="186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-1.8</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shd w:val="clear" w:color="auto" w:fill="auto"/>
            <w:noWrap/>
            <w:hideMark/>
          </w:tcPr>
          <w:p w:rsidR="00A05DB7" w:rsidRPr="006B3656" w:rsidRDefault="00A05DB7" w:rsidP="00A05DB7">
            <w:pPr>
              <w:ind w:left="270" w:hanging="180"/>
              <w:rPr>
                <w:rFonts w:ascii="GHEA Grapalat" w:hAnsi="GHEA Grapalat"/>
                <w:b w:val="0"/>
                <w:sz w:val="20"/>
                <w:szCs w:val="20"/>
                <w:lang w:val="hy-AM"/>
              </w:rPr>
            </w:pPr>
            <w:r w:rsidRPr="006B3656">
              <w:rPr>
                <w:rFonts w:ascii="GHEA Grapalat" w:hAnsi="GHEA Grapalat"/>
                <w:b w:val="0"/>
                <w:sz w:val="20"/>
                <w:szCs w:val="20"/>
                <w:lang w:val="hy-AM"/>
              </w:rPr>
              <w:t>մշակող արդյունաբերություն</w:t>
            </w:r>
          </w:p>
        </w:tc>
        <w:tc>
          <w:tcPr>
            <w:tcW w:w="1440" w:type="dxa"/>
            <w:shd w:val="clear" w:color="auto" w:fill="auto"/>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1000.8</w:t>
            </w:r>
          </w:p>
        </w:tc>
        <w:tc>
          <w:tcPr>
            <w:tcW w:w="1343" w:type="dxa"/>
            <w:shd w:val="clear" w:color="auto" w:fill="auto"/>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71.1</w:t>
            </w:r>
          </w:p>
        </w:tc>
        <w:tc>
          <w:tcPr>
            <w:tcW w:w="1225" w:type="dxa"/>
            <w:shd w:val="clear" w:color="auto" w:fill="auto"/>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127.7</w:t>
            </w:r>
          </w:p>
        </w:tc>
        <w:tc>
          <w:tcPr>
            <w:tcW w:w="1865" w:type="dxa"/>
            <w:shd w:val="clear" w:color="auto" w:fill="auto"/>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18.2</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05DB7" w:rsidRPr="006B3656" w:rsidRDefault="00A05DB7" w:rsidP="00A05DB7">
            <w:pPr>
              <w:ind w:left="270" w:hanging="180"/>
              <w:rPr>
                <w:rFonts w:ascii="GHEA Grapalat" w:hAnsi="GHEA Grapalat"/>
                <w:b w:val="0"/>
                <w:sz w:val="20"/>
                <w:szCs w:val="20"/>
                <w:lang w:val="hy-AM"/>
              </w:rPr>
            </w:pPr>
            <w:r w:rsidRPr="006B3656">
              <w:rPr>
                <w:rFonts w:ascii="GHEA Grapalat" w:hAnsi="GHEA Grapalat"/>
                <w:b w:val="0"/>
                <w:sz w:val="20"/>
                <w:szCs w:val="20"/>
                <w:lang w:val="hy-AM"/>
              </w:rPr>
              <w:t xml:space="preserve"> էլեկտրաէներգիայի, գազի, գոլորշու և լավորակ օդի մատակարարում</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172.5</w:t>
            </w:r>
          </w:p>
        </w:tc>
        <w:tc>
          <w:tcPr>
            <w:tcW w:w="134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12.2</w:t>
            </w:r>
          </w:p>
        </w:tc>
        <w:tc>
          <w:tcPr>
            <w:tcW w:w="122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w:t>
            </w:r>
            <w:r w:rsidRPr="006B3656">
              <w:rPr>
                <w:rFonts w:ascii="GHEA Grapalat" w:hAnsi="GHEA Grapalat"/>
                <w:sz w:val="20"/>
                <w:szCs w:val="20"/>
              </w:rPr>
              <w:t>13.0</w:t>
            </w:r>
          </w:p>
        </w:tc>
        <w:tc>
          <w:tcPr>
            <w:tcW w:w="186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1.8</w:t>
            </w:r>
          </w:p>
        </w:tc>
      </w:tr>
      <w:tr w:rsidR="00A05DB7" w:rsidRPr="006B3656" w:rsidTr="00A05DB7">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05DB7" w:rsidRPr="006B3656" w:rsidRDefault="00A05DB7" w:rsidP="00A05DB7">
            <w:pPr>
              <w:ind w:left="270" w:hanging="180"/>
              <w:rPr>
                <w:rFonts w:ascii="GHEA Grapalat" w:hAnsi="GHEA Grapalat"/>
                <w:b w:val="0"/>
                <w:sz w:val="20"/>
                <w:szCs w:val="20"/>
                <w:lang w:val="hy-AM"/>
              </w:rPr>
            </w:pPr>
            <w:r w:rsidRPr="006B3656">
              <w:rPr>
                <w:rFonts w:ascii="GHEA Grapalat" w:hAnsi="GHEA Grapalat"/>
                <w:b w:val="0"/>
                <w:sz w:val="20"/>
                <w:szCs w:val="20"/>
                <w:lang w:val="hy-AM"/>
              </w:rPr>
              <w:t>ջրամատակարարում, կոյուղի, թափոնների կառավարում և վերամշակում</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14.9</w:t>
            </w:r>
          </w:p>
        </w:tc>
        <w:tc>
          <w:tcPr>
            <w:tcW w:w="134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1.1</w:t>
            </w:r>
          </w:p>
        </w:tc>
        <w:tc>
          <w:tcPr>
            <w:tcW w:w="1225"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w:t>
            </w:r>
            <w:r w:rsidRPr="006B3656">
              <w:rPr>
                <w:rFonts w:ascii="GHEA Grapalat" w:hAnsi="GHEA Grapalat"/>
                <w:sz w:val="20"/>
                <w:szCs w:val="20"/>
              </w:rPr>
              <w:t>5</w:t>
            </w:r>
            <w:r w:rsidRPr="006B3656">
              <w:rPr>
                <w:rFonts w:ascii="GHEA Grapalat" w:hAnsi="GHEA Grapalat"/>
                <w:sz w:val="20"/>
                <w:szCs w:val="20"/>
                <w:lang w:val="hy-AM"/>
              </w:rPr>
              <w:t>.3</w:t>
            </w:r>
          </w:p>
        </w:tc>
        <w:tc>
          <w:tcPr>
            <w:tcW w:w="1865"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0.1</w:t>
            </w:r>
          </w:p>
        </w:tc>
      </w:tr>
    </w:tbl>
    <w:p w:rsidR="00A05DB7" w:rsidRPr="006B3656" w:rsidRDefault="00A05DB7" w:rsidP="00A05DB7">
      <w:pPr>
        <w:rPr>
          <w:rFonts w:ascii="GHEA Grapalat" w:hAnsi="GHEA Grapalat" w:cs="Arial"/>
          <w:b/>
          <w:sz w:val="20"/>
          <w:szCs w:val="20"/>
          <w:lang w:val="hy-AM"/>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00" w:firstLine="800"/>
              <w:rPr>
                <w:rFonts w:ascii="GHEA Grapalat" w:hAnsi="GHEA Grapalat"/>
                <w:sz w:val="20"/>
                <w:szCs w:val="20"/>
                <w:lang w:val="hy-AM"/>
              </w:rPr>
            </w:pPr>
            <w:r w:rsidRPr="006B3656">
              <w:rPr>
                <w:rFonts w:ascii="Calibri" w:hAnsi="Calibri" w:cs="Calibri"/>
                <w:sz w:val="20"/>
                <w:szCs w:val="20"/>
                <w:lang w:val="hy-AM"/>
              </w:rPr>
              <w:t> </w:t>
            </w: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 դրամ)</w:t>
            </w:r>
          </w:p>
        </w:tc>
        <w:tc>
          <w:tcPr>
            <w:tcW w:w="135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6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2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Գյուղատնտեսություն, անտառային տնտեսություն և ձկնորսություն</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B3656">
              <w:rPr>
                <w:rFonts w:ascii="GHEA Grapalat" w:hAnsi="GHEA Grapalat"/>
                <w:b/>
                <w:sz w:val="20"/>
                <w:szCs w:val="20"/>
              </w:rPr>
              <w:t>311.3</w:t>
            </w:r>
          </w:p>
        </w:tc>
        <w:tc>
          <w:tcPr>
            <w:tcW w:w="135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100.0</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w:t>
            </w:r>
            <w:r w:rsidRPr="006B3656">
              <w:rPr>
                <w:rFonts w:ascii="GHEA Grapalat" w:hAnsi="GHEA Grapalat"/>
                <w:b/>
                <w:sz w:val="20"/>
                <w:szCs w:val="20"/>
              </w:rPr>
              <w:t>4</w:t>
            </w:r>
            <w:r w:rsidRPr="006B3656">
              <w:rPr>
                <w:rFonts w:ascii="GHEA Grapalat" w:hAnsi="GHEA Grapalat"/>
                <w:b/>
                <w:sz w:val="20"/>
                <w:szCs w:val="20"/>
                <w:lang w:val="hy-AM"/>
              </w:rPr>
              <w:t>.</w:t>
            </w:r>
            <w:r w:rsidRPr="006B3656">
              <w:rPr>
                <w:rFonts w:ascii="GHEA Grapalat" w:hAnsi="GHEA Grapalat"/>
                <w:b/>
                <w:sz w:val="20"/>
                <w:szCs w:val="20"/>
              </w:rPr>
              <w:t>3</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B3656">
              <w:rPr>
                <w:rFonts w:ascii="GHEA Grapalat" w:hAnsi="GHEA Grapalat"/>
                <w:b/>
                <w:sz w:val="20"/>
                <w:szCs w:val="20"/>
              </w:rPr>
              <w:t>4.3</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jc w:val="right"/>
              <w:rPr>
                <w:rFonts w:ascii="GHEA Grapalat" w:hAnsi="GHEA Grapalat"/>
                <w:b w:val="0"/>
                <w:sz w:val="20"/>
                <w:szCs w:val="20"/>
                <w:lang w:val="hy-AM"/>
              </w:rPr>
            </w:pPr>
            <w:r w:rsidRPr="006B3656">
              <w:rPr>
                <w:rFonts w:ascii="GHEA Grapalat" w:hAnsi="GHEA Grapalat"/>
                <w:b w:val="0"/>
                <w:i/>
                <w:iCs/>
                <w:sz w:val="20"/>
                <w:szCs w:val="20"/>
                <w:lang w:val="hy-AM"/>
              </w:rPr>
              <w:t>այդ թվում`</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5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բուսաբուծություն</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117.6</w:t>
            </w:r>
          </w:p>
        </w:tc>
        <w:tc>
          <w:tcPr>
            <w:tcW w:w="135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37.8</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110.6</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3.6</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անասնաբուծություն</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168.2</w:t>
            </w:r>
          </w:p>
        </w:tc>
        <w:tc>
          <w:tcPr>
            <w:tcW w:w="135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57.0</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100.1</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0.1</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անտառային տնտեսություն</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1.0</w:t>
            </w:r>
          </w:p>
        </w:tc>
        <w:tc>
          <w:tcPr>
            <w:tcW w:w="135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0.3</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107.1</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0.02</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ձկնորսություն</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24.5</w:t>
            </w:r>
          </w:p>
        </w:tc>
        <w:tc>
          <w:tcPr>
            <w:tcW w:w="135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7.9</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107.2</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0.6</w:t>
            </w:r>
          </w:p>
        </w:tc>
      </w:tr>
    </w:tbl>
    <w:p w:rsidR="00A05DB7" w:rsidRPr="006B3656" w:rsidRDefault="00A05DB7" w:rsidP="00A05DB7">
      <w:pPr>
        <w:rPr>
          <w:rFonts w:ascii="GHEA Grapalat" w:hAnsi="GHEA Grapalat" w:cs="Arial"/>
          <w:b/>
          <w:sz w:val="20"/>
          <w:szCs w:val="20"/>
          <w:lang w:val="hy-AM"/>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jc w:val="center"/>
              <w:rPr>
                <w:rFonts w:ascii="GHEA Grapalat" w:hAnsi="GHEA Grapalat"/>
                <w:i/>
                <w:iCs/>
                <w:sz w:val="20"/>
                <w:szCs w:val="20"/>
                <w:lang w:val="hy-AM"/>
              </w:rPr>
            </w:pPr>
            <w:r w:rsidRPr="006B3656">
              <w:rPr>
                <w:rFonts w:ascii="GHEA Grapalat" w:hAnsi="GHEA Grapalat"/>
                <w:i/>
                <w:iCs/>
                <w:sz w:val="20"/>
                <w:szCs w:val="20"/>
                <w:lang w:val="hy-AM"/>
              </w:rPr>
              <w:t>ըստ ֆինանսավորման աղբյուրների</w:t>
            </w: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 դրամ)</w:t>
            </w:r>
          </w:p>
        </w:tc>
        <w:tc>
          <w:tcPr>
            <w:tcW w:w="135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6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2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Շինարարություն</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6B3656">
              <w:rPr>
                <w:rFonts w:ascii="GHEA Grapalat" w:hAnsi="GHEA Grapalat"/>
                <w:b/>
                <w:bCs/>
                <w:sz w:val="20"/>
                <w:szCs w:val="20"/>
              </w:rPr>
              <w:t>202.0</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6B3656">
              <w:rPr>
                <w:rFonts w:ascii="GHEA Grapalat" w:hAnsi="GHEA Grapalat"/>
                <w:b/>
                <w:bCs/>
                <w:sz w:val="20"/>
                <w:szCs w:val="20"/>
                <w:lang w:val="hy-AM"/>
              </w:rPr>
              <w:t>100.0</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6B3656">
              <w:rPr>
                <w:rFonts w:ascii="GHEA Grapalat" w:hAnsi="GHEA Grapalat"/>
                <w:b/>
                <w:bCs/>
                <w:sz w:val="20"/>
                <w:szCs w:val="20"/>
                <w:lang w:val="hy-AM"/>
              </w:rPr>
              <w:t>11</w:t>
            </w:r>
            <w:r w:rsidRPr="006B3656">
              <w:rPr>
                <w:rFonts w:ascii="GHEA Grapalat" w:hAnsi="GHEA Grapalat"/>
                <w:b/>
                <w:bCs/>
                <w:sz w:val="20"/>
                <w:szCs w:val="20"/>
              </w:rPr>
              <w:t>5.7</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6B3656">
              <w:rPr>
                <w:rFonts w:ascii="GHEA Grapalat" w:hAnsi="GHEA Grapalat"/>
                <w:b/>
                <w:bCs/>
                <w:sz w:val="20"/>
                <w:szCs w:val="20"/>
              </w:rPr>
              <w:t>15.7</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jc w:val="right"/>
              <w:rPr>
                <w:rFonts w:ascii="GHEA Grapalat" w:hAnsi="GHEA Grapalat"/>
                <w:b w:val="0"/>
                <w:sz w:val="20"/>
                <w:szCs w:val="20"/>
                <w:lang w:val="hy-AM"/>
              </w:rPr>
            </w:pPr>
            <w:r w:rsidRPr="006B3656">
              <w:rPr>
                <w:rFonts w:ascii="Calibri" w:hAnsi="Calibri" w:cs="Calibri"/>
                <w:b w:val="0"/>
                <w:sz w:val="20"/>
                <w:szCs w:val="20"/>
                <w:lang w:val="hy-AM"/>
              </w:rPr>
              <w:t> </w:t>
            </w:r>
            <w:r w:rsidRPr="006B3656">
              <w:rPr>
                <w:rFonts w:ascii="GHEA Grapalat" w:hAnsi="GHEA Grapalat"/>
                <w:b w:val="0"/>
                <w:i/>
                <w:iCs/>
                <w:sz w:val="20"/>
                <w:szCs w:val="20"/>
                <w:lang w:val="hy-AM"/>
              </w:rPr>
              <w:t>այդ թվում`</w:t>
            </w:r>
          </w:p>
        </w:tc>
        <w:tc>
          <w:tcPr>
            <w:tcW w:w="144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35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26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 xml:space="preserve">պետական բյուջեի, </w:t>
            </w:r>
            <w:r w:rsidRPr="006B3656">
              <w:rPr>
                <w:rFonts w:ascii="GHEA Grapalat" w:hAnsi="GHEA Grapalat"/>
                <w:b w:val="0"/>
                <w:i/>
                <w:sz w:val="20"/>
                <w:szCs w:val="20"/>
                <w:lang w:val="hy-AM"/>
              </w:rPr>
              <w:t>այդ թվում՝</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42.6</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21.1</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158.8</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9.0</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jc w:val="center"/>
              <w:rPr>
                <w:rFonts w:ascii="GHEA Grapalat" w:hAnsi="GHEA Grapalat"/>
                <w:b w:val="0"/>
                <w:i/>
                <w:iCs/>
                <w:sz w:val="20"/>
                <w:szCs w:val="20"/>
                <w:lang w:val="hy-AM"/>
              </w:rPr>
            </w:pPr>
            <w:r w:rsidRPr="006B3656">
              <w:rPr>
                <w:rFonts w:ascii="GHEA Grapalat" w:hAnsi="GHEA Grapalat"/>
                <w:b w:val="0"/>
                <w:i/>
                <w:iCs/>
                <w:sz w:val="20"/>
                <w:szCs w:val="20"/>
                <w:lang w:val="hy-AM"/>
              </w:rPr>
              <w:t>միջազգային վարկերի</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16.1</w:t>
            </w:r>
          </w:p>
        </w:tc>
        <w:tc>
          <w:tcPr>
            <w:tcW w:w="135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7.9</w:t>
            </w:r>
          </w:p>
        </w:tc>
        <w:tc>
          <w:tcPr>
            <w:tcW w:w="126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220.0</w:t>
            </w: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5.0</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համայնքների միջոցների</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7.7</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3.8</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86.9</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-0.7</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մարդասիրական օգնության միջոցների</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1.6</w:t>
            </w:r>
          </w:p>
        </w:tc>
        <w:tc>
          <w:tcPr>
            <w:tcW w:w="135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0.8</w:t>
            </w:r>
          </w:p>
        </w:tc>
        <w:tc>
          <w:tcPr>
            <w:tcW w:w="126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70.5</w:t>
            </w: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w:t>
            </w:r>
            <w:r w:rsidRPr="006B3656">
              <w:rPr>
                <w:rFonts w:ascii="GHEA Grapalat" w:hAnsi="GHEA Grapalat"/>
                <w:bCs/>
                <w:sz w:val="20"/>
                <w:szCs w:val="20"/>
                <w:lang w:val="hy-AM"/>
              </w:rPr>
              <w:t>0.4</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 xml:space="preserve">կազմակերպությունների միջոցների, </w:t>
            </w:r>
            <w:r w:rsidRPr="006B3656">
              <w:rPr>
                <w:rFonts w:ascii="GHEA Grapalat" w:hAnsi="GHEA Grapalat"/>
                <w:b w:val="0"/>
                <w:i/>
                <w:sz w:val="20"/>
                <w:szCs w:val="20"/>
                <w:lang w:val="hy-AM"/>
              </w:rPr>
              <w:t>այդ թվում՝</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95.6</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47.3</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93</w:t>
            </w:r>
            <w:r w:rsidRPr="006B3656">
              <w:rPr>
                <w:rFonts w:ascii="GHEA Grapalat" w:hAnsi="GHEA Grapalat"/>
                <w:bCs/>
                <w:sz w:val="20"/>
                <w:szCs w:val="20"/>
              </w:rPr>
              <w:t>.5</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-3.8</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837E26" w:rsidP="00A05DB7">
            <w:pPr>
              <w:ind w:firstLineChars="45" w:firstLine="90"/>
              <w:jc w:val="center"/>
              <w:rPr>
                <w:rFonts w:ascii="GHEA Grapalat" w:hAnsi="GHEA Grapalat"/>
                <w:b w:val="0"/>
                <w:i/>
                <w:iCs/>
                <w:sz w:val="20"/>
                <w:szCs w:val="20"/>
                <w:lang w:val="hy-AM"/>
              </w:rPr>
            </w:pPr>
            <w:r w:rsidRPr="006B3656">
              <w:rPr>
                <w:rFonts w:ascii="GHEA Grapalat" w:hAnsi="GHEA Grapalat"/>
                <w:b w:val="0"/>
                <w:i/>
                <w:iCs/>
                <w:sz w:val="20"/>
                <w:szCs w:val="20"/>
                <w:lang w:val="hy-AM"/>
              </w:rPr>
              <w:t xml:space="preserve"> </w:t>
            </w:r>
            <w:r w:rsidR="00A05DB7" w:rsidRPr="006B3656">
              <w:rPr>
                <w:rFonts w:ascii="GHEA Grapalat" w:hAnsi="GHEA Grapalat"/>
                <w:b w:val="0"/>
                <w:i/>
                <w:iCs/>
                <w:sz w:val="20"/>
                <w:szCs w:val="20"/>
                <w:lang w:val="hy-AM"/>
              </w:rPr>
              <w:t>օտարերկրյա ներդրողների</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0.5</w:t>
            </w:r>
          </w:p>
        </w:tc>
        <w:tc>
          <w:tcPr>
            <w:tcW w:w="135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0.3</w:t>
            </w:r>
          </w:p>
        </w:tc>
        <w:tc>
          <w:tcPr>
            <w:tcW w:w="126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38.3</w:t>
            </w: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w:t>
            </w:r>
            <w:r w:rsidRPr="006B3656">
              <w:rPr>
                <w:rFonts w:ascii="GHEA Grapalat" w:hAnsi="GHEA Grapalat"/>
                <w:bCs/>
                <w:sz w:val="20"/>
                <w:szCs w:val="20"/>
              </w:rPr>
              <w:t>0.6</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բնակչության միջոցների</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54.</w:t>
            </w:r>
            <w:r w:rsidRPr="006B3656">
              <w:rPr>
                <w:rFonts w:ascii="GHEA Grapalat" w:hAnsi="GHEA Grapalat"/>
                <w:bCs/>
                <w:sz w:val="20"/>
                <w:szCs w:val="20"/>
              </w:rPr>
              <w:t>6</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27.</w:t>
            </w:r>
            <w:r w:rsidRPr="006B3656">
              <w:rPr>
                <w:rFonts w:ascii="GHEA Grapalat" w:hAnsi="GHEA Grapalat"/>
                <w:bCs/>
                <w:sz w:val="20"/>
                <w:szCs w:val="20"/>
              </w:rPr>
              <w:t>0</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158.2</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11.5</w:t>
            </w:r>
          </w:p>
        </w:tc>
      </w:tr>
    </w:tbl>
    <w:p w:rsidR="00A05DB7" w:rsidRPr="006B3656" w:rsidRDefault="00A05DB7" w:rsidP="00A05DB7">
      <w:pPr>
        <w:rPr>
          <w:rFonts w:ascii="GHEA Grapalat" w:hAnsi="GHEA Grapalat" w:cs="Arial"/>
          <w:b/>
          <w:sz w:val="20"/>
          <w:szCs w:val="20"/>
          <w:lang w:val="hy-AM"/>
        </w:rPr>
      </w:pPr>
    </w:p>
    <w:p w:rsidR="00A05DB7" w:rsidRPr="006B3656" w:rsidRDefault="00A05DB7" w:rsidP="00A05DB7">
      <w:pPr>
        <w:rPr>
          <w:rFonts w:ascii="GHEA Grapalat" w:hAnsi="GHEA Grapalat" w:cs="Arial"/>
          <w:b/>
          <w:sz w:val="20"/>
          <w:szCs w:val="20"/>
          <w:lang w:val="hy-AM"/>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00" w:firstLine="800"/>
              <w:rPr>
                <w:rFonts w:ascii="GHEA Grapalat" w:hAnsi="GHEA Grapalat"/>
                <w:sz w:val="20"/>
                <w:szCs w:val="20"/>
                <w:lang w:val="hy-AM"/>
              </w:rPr>
            </w:pPr>
            <w:r w:rsidRPr="006B3656">
              <w:rPr>
                <w:rFonts w:ascii="Calibri" w:hAnsi="Calibri" w:cs="Calibri"/>
                <w:sz w:val="20"/>
                <w:szCs w:val="20"/>
                <w:lang w:val="hy-AM"/>
              </w:rPr>
              <w:t> </w:t>
            </w: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w:t>
            </w:r>
            <w:r w:rsidR="00837E26" w:rsidRPr="006B3656">
              <w:rPr>
                <w:rFonts w:ascii="GHEA Grapalat" w:hAnsi="GHEA Grapalat"/>
                <w:sz w:val="20"/>
                <w:szCs w:val="20"/>
                <w:lang w:val="hy-AM"/>
              </w:rPr>
              <w:t xml:space="preserve"> </w:t>
            </w:r>
            <w:r w:rsidRPr="006B3656">
              <w:rPr>
                <w:rFonts w:ascii="GHEA Grapalat" w:hAnsi="GHEA Grapalat"/>
                <w:sz w:val="20"/>
                <w:szCs w:val="20"/>
                <w:lang w:val="hy-AM"/>
              </w:rPr>
              <w:t>դրամ)</w:t>
            </w:r>
          </w:p>
        </w:tc>
        <w:tc>
          <w:tcPr>
            <w:tcW w:w="1394"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16"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2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Առևտուր</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2754.2</w:t>
            </w:r>
          </w:p>
        </w:tc>
        <w:tc>
          <w:tcPr>
            <w:tcW w:w="1394"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100.0</w:t>
            </w:r>
          </w:p>
        </w:tc>
        <w:tc>
          <w:tcPr>
            <w:tcW w:w="1216"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122.9</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22.9</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jc w:val="right"/>
              <w:rPr>
                <w:rFonts w:ascii="GHEA Grapalat" w:hAnsi="GHEA Grapalat"/>
                <w:b w:val="0"/>
                <w:sz w:val="20"/>
                <w:szCs w:val="20"/>
                <w:lang w:val="hy-AM"/>
              </w:rPr>
            </w:pPr>
            <w:r w:rsidRPr="006B3656">
              <w:rPr>
                <w:rFonts w:ascii="Calibri" w:hAnsi="Calibri" w:cs="Calibri"/>
                <w:b w:val="0"/>
                <w:sz w:val="20"/>
                <w:szCs w:val="20"/>
                <w:lang w:val="hy-AM"/>
              </w:rPr>
              <w:t> </w:t>
            </w:r>
            <w:r w:rsidRPr="006B3656">
              <w:rPr>
                <w:rFonts w:ascii="GHEA Grapalat" w:hAnsi="GHEA Grapalat"/>
                <w:b w:val="0"/>
                <w:i/>
                <w:iCs/>
                <w:sz w:val="20"/>
                <w:szCs w:val="20"/>
                <w:lang w:val="hy-AM"/>
              </w:rPr>
              <w:t>այդ թվում`</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94"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16"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200" w:firstLine="400"/>
              <w:rPr>
                <w:rFonts w:ascii="GHEA Grapalat" w:hAnsi="GHEA Grapalat"/>
                <w:b w:val="0"/>
                <w:sz w:val="20"/>
                <w:szCs w:val="20"/>
                <w:lang w:val="hy-AM"/>
              </w:rPr>
            </w:pPr>
            <w:r w:rsidRPr="006B3656">
              <w:rPr>
                <w:rFonts w:ascii="GHEA Grapalat" w:hAnsi="GHEA Grapalat"/>
                <w:b w:val="0"/>
                <w:sz w:val="20"/>
                <w:szCs w:val="20"/>
                <w:lang w:val="hy-AM"/>
              </w:rPr>
              <w:t>մանրածախ առևտուր</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838.</w:t>
            </w:r>
            <w:r w:rsidRPr="006B3656">
              <w:rPr>
                <w:rFonts w:ascii="GHEA Grapalat" w:hAnsi="GHEA Grapalat"/>
                <w:sz w:val="20"/>
                <w:szCs w:val="20"/>
              </w:rPr>
              <w:t>7</w:t>
            </w:r>
            <w:r w:rsidRPr="006B3656">
              <w:rPr>
                <w:rFonts w:ascii="GHEA Grapalat" w:hAnsi="GHEA Grapalat"/>
                <w:sz w:val="20"/>
                <w:szCs w:val="20"/>
                <w:lang w:val="hy-AM"/>
              </w:rPr>
              <w:t>.5</w:t>
            </w:r>
          </w:p>
        </w:tc>
        <w:tc>
          <w:tcPr>
            <w:tcW w:w="1394"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30.5</w:t>
            </w:r>
          </w:p>
        </w:tc>
        <w:tc>
          <w:tcPr>
            <w:tcW w:w="1216"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110.5</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3.5</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200" w:firstLine="400"/>
              <w:rPr>
                <w:rFonts w:ascii="GHEA Grapalat" w:hAnsi="GHEA Grapalat"/>
                <w:b w:val="0"/>
                <w:sz w:val="20"/>
                <w:szCs w:val="20"/>
                <w:lang w:val="hy-AM"/>
              </w:rPr>
            </w:pPr>
            <w:r w:rsidRPr="006B3656">
              <w:rPr>
                <w:rFonts w:ascii="GHEA Grapalat" w:hAnsi="GHEA Grapalat"/>
                <w:b w:val="0"/>
                <w:sz w:val="20"/>
                <w:szCs w:val="20"/>
                <w:lang w:val="hy-AM"/>
              </w:rPr>
              <w:t>մեծածախ առևտուր</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1808.3</w:t>
            </w:r>
          </w:p>
        </w:tc>
        <w:tc>
          <w:tcPr>
            <w:tcW w:w="1394"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65.7</w:t>
            </w:r>
          </w:p>
        </w:tc>
        <w:tc>
          <w:tcPr>
            <w:tcW w:w="1216"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132.5</w:t>
            </w: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19.8</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200" w:firstLine="400"/>
              <w:rPr>
                <w:rFonts w:ascii="GHEA Grapalat" w:hAnsi="GHEA Grapalat"/>
                <w:b w:val="0"/>
                <w:sz w:val="20"/>
                <w:szCs w:val="20"/>
                <w:lang w:val="hy-AM"/>
              </w:rPr>
            </w:pPr>
            <w:r w:rsidRPr="006B3656">
              <w:rPr>
                <w:rFonts w:ascii="GHEA Grapalat" w:hAnsi="GHEA Grapalat"/>
                <w:b w:val="0"/>
                <w:sz w:val="20"/>
                <w:szCs w:val="20"/>
                <w:lang w:val="hy-AM"/>
              </w:rPr>
              <w:t>ավտոմեքենաների առևտուր</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107.2</w:t>
            </w:r>
          </w:p>
        </w:tc>
        <w:tc>
          <w:tcPr>
            <w:tcW w:w="1394"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3.9</w:t>
            </w:r>
          </w:p>
        </w:tc>
        <w:tc>
          <w:tcPr>
            <w:tcW w:w="1216"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91.3</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-0.4</w:t>
            </w:r>
          </w:p>
        </w:tc>
      </w:tr>
    </w:tbl>
    <w:p w:rsidR="00A05DB7" w:rsidRPr="006B3656" w:rsidRDefault="00A05DB7" w:rsidP="00A05DB7">
      <w:pPr>
        <w:rPr>
          <w:rFonts w:ascii="GHEA Grapalat" w:hAnsi="GHEA Grapalat"/>
          <w:b/>
          <w:sz w:val="20"/>
          <w:szCs w:val="20"/>
          <w:lang w:val="hy-AM"/>
        </w:rPr>
      </w:pPr>
    </w:p>
    <w:p w:rsidR="00A05DB7" w:rsidRPr="006B3656" w:rsidRDefault="00A05DB7" w:rsidP="00A05DB7">
      <w:pPr>
        <w:rPr>
          <w:rFonts w:ascii="GHEA Grapalat" w:hAnsi="GHEA Grapalat"/>
          <w:b/>
          <w:sz w:val="20"/>
          <w:szCs w:val="20"/>
          <w:lang w:val="hy-AM"/>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A05DB7" w:rsidRPr="006B3656" w:rsidRDefault="00A05DB7" w:rsidP="00A05DB7">
            <w:pPr>
              <w:rPr>
                <w:rFonts w:ascii="GHEA Grapalat" w:hAnsi="GHEA Grapalat"/>
                <w:sz w:val="20"/>
                <w:szCs w:val="20"/>
                <w:lang w:val="hy-AM"/>
              </w:rPr>
            </w:pPr>
            <w:r w:rsidRPr="006B3656">
              <w:rPr>
                <w:rFonts w:ascii="Calibri" w:hAnsi="Calibri" w:cs="Calibri"/>
                <w:sz w:val="20"/>
                <w:szCs w:val="20"/>
                <w:lang w:val="hy-AM"/>
              </w:rPr>
              <w:t> </w:t>
            </w: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 դրամ)</w:t>
            </w:r>
          </w:p>
        </w:tc>
        <w:tc>
          <w:tcPr>
            <w:tcW w:w="126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6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2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Ծառայություններ</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1562.</w:t>
            </w:r>
            <w:r w:rsidRPr="006B3656">
              <w:rPr>
                <w:rFonts w:ascii="GHEA Grapalat" w:hAnsi="GHEA Grapalat"/>
                <w:b/>
                <w:sz w:val="20"/>
                <w:szCs w:val="20"/>
              </w:rPr>
              <w:t>2</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100.0</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104.4</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4.4</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05DB7" w:rsidRPr="006B3656" w:rsidRDefault="00A05DB7" w:rsidP="00A05DB7">
            <w:pPr>
              <w:rPr>
                <w:rFonts w:ascii="GHEA Grapalat" w:hAnsi="GHEA Grapalat"/>
                <w:b w:val="0"/>
                <w:sz w:val="20"/>
                <w:szCs w:val="20"/>
                <w:lang w:val="hy-AM"/>
              </w:rPr>
            </w:pPr>
            <w:r w:rsidRPr="006B3656">
              <w:rPr>
                <w:rFonts w:ascii="Calibri" w:hAnsi="Calibri" w:cs="Calibri"/>
                <w:b w:val="0"/>
                <w:sz w:val="20"/>
                <w:szCs w:val="20"/>
                <w:lang w:val="hy-AM"/>
              </w:rPr>
              <w:t> </w:t>
            </w:r>
            <w:r w:rsidRPr="006B3656">
              <w:rPr>
                <w:rFonts w:ascii="GHEA Grapalat" w:hAnsi="GHEA Grapalat"/>
                <w:b w:val="0"/>
                <w:i/>
                <w:iCs/>
                <w:sz w:val="20"/>
                <w:szCs w:val="20"/>
                <w:lang w:val="hy-AM"/>
              </w:rPr>
              <w:t>այդ թվում`</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158.7</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10.2</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108.2</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0.8</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մշակույթ, զվարճություններ և հանգիստ</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141.</w:t>
            </w:r>
            <w:r w:rsidRPr="006B3656">
              <w:rPr>
                <w:rFonts w:ascii="GHEA Grapalat" w:hAnsi="GHEA Grapalat"/>
                <w:sz w:val="20"/>
                <w:szCs w:val="20"/>
              </w:rPr>
              <w:t>2</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9.0</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104.6</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0.4</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կրթություն </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41.5</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2.7</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107.9</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0.2</w:t>
            </w:r>
          </w:p>
        </w:tc>
      </w:tr>
      <w:tr w:rsidR="00A05DB7" w:rsidRPr="006B3656" w:rsidTr="00A05DB7">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77.0</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4.9</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108.9</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0.4</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անշարժ գույքի հետ կապված գործունեություն</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65.1</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4.2</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111.5</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w:t>
            </w:r>
            <w:r w:rsidRPr="006B3656">
              <w:rPr>
                <w:rFonts w:ascii="GHEA Grapalat" w:hAnsi="GHEA Grapalat"/>
                <w:sz w:val="20"/>
                <w:szCs w:val="20"/>
              </w:rPr>
              <w:t>5</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տեղեկատվություն և կապ </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278.6</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17.8</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91.7</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-1.8</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տրանսպորտ </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172.0</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11.0</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83.2</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-2.2</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վարչարարական և օժանդակ գործունեություն</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53.0</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3.4</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108.</w:t>
            </w:r>
            <w:r w:rsidRPr="006B3656">
              <w:rPr>
                <w:rFonts w:ascii="GHEA Grapalat" w:hAnsi="GHEA Grapalat"/>
                <w:sz w:val="20"/>
                <w:szCs w:val="20"/>
              </w:rPr>
              <w:t>8</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0.3</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80.3</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5.1</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114.4</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w:t>
            </w:r>
            <w:r w:rsidRPr="006B3656">
              <w:rPr>
                <w:rFonts w:ascii="GHEA Grapalat" w:hAnsi="GHEA Grapalat"/>
                <w:sz w:val="20"/>
                <w:szCs w:val="20"/>
              </w:rPr>
              <w:t>6</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ֆինանսական և ապահովագրական գործունեություն</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480.7</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30.8</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119.0</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5.1</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սպասարկման այլ ծառայություններ</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13.8</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0.9</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w:t>
            </w:r>
            <w:r w:rsidRPr="006B3656">
              <w:rPr>
                <w:rFonts w:ascii="GHEA Grapalat" w:hAnsi="GHEA Grapalat"/>
                <w:sz w:val="20"/>
                <w:szCs w:val="20"/>
              </w:rPr>
              <w:t>13</w:t>
            </w:r>
            <w:r w:rsidRPr="006B3656">
              <w:rPr>
                <w:rFonts w:ascii="GHEA Grapalat" w:hAnsi="GHEA Grapalat"/>
                <w:sz w:val="20"/>
                <w:szCs w:val="20"/>
                <w:lang w:val="hy-AM"/>
              </w:rPr>
              <w:t>.4</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w:t>
            </w:r>
            <w:r w:rsidRPr="006B3656">
              <w:rPr>
                <w:rFonts w:ascii="GHEA Grapalat" w:hAnsi="GHEA Grapalat"/>
                <w:sz w:val="20"/>
                <w:szCs w:val="20"/>
              </w:rPr>
              <w:t>1</w:t>
            </w:r>
          </w:p>
        </w:tc>
      </w:tr>
    </w:tbl>
    <w:p w:rsidR="00A05DB7" w:rsidRPr="006B3656" w:rsidRDefault="00A05DB7" w:rsidP="00A05DB7">
      <w:pPr>
        <w:rPr>
          <w:rFonts w:ascii="GHEA Grapalat" w:hAnsi="GHEA Grapalat"/>
          <w:b/>
          <w:sz w:val="20"/>
          <w:szCs w:val="20"/>
          <w:lang w:val="hy-AM"/>
        </w:rPr>
      </w:pPr>
    </w:p>
    <w:p w:rsidR="00A05DB7" w:rsidRPr="006B3656" w:rsidRDefault="00A05DB7" w:rsidP="00A05DB7">
      <w:pPr>
        <w:jc w:val="center"/>
        <w:rPr>
          <w:rFonts w:ascii="GHEA Grapalat" w:hAnsi="GHEA Grapalat" w:cs="Arial"/>
          <w:sz w:val="18"/>
          <w:szCs w:val="20"/>
          <w:lang w:val="hy-AM"/>
        </w:rPr>
      </w:pPr>
    </w:p>
    <w:p w:rsidR="00A05DB7" w:rsidRPr="006B3656" w:rsidRDefault="00A05DB7" w:rsidP="00A05DB7">
      <w:pPr>
        <w:jc w:val="center"/>
        <w:rPr>
          <w:rFonts w:ascii="GHEA Grapalat" w:hAnsi="GHEA Grapalat"/>
          <w:sz w:val="22"/>
          <w:szCs w:val="20"/>
          <w:lang w:val="hy-AM"/>
        </w:rPr>
      </w:pPr>
      <w:r w:rsidRPr="006B3656">
        <w:rPr>
          <w:rFonts w:ascii="GHEA Grapalat" w:hAnsi="GHEA Grapalat"/>
          <w:b/>
          <w:sz w:val="22"/>
          <w:szCs w:val="20"/>
          <w:lang w:val="hy-AM"/>
        </w:rPr>
        <w:t xml:space="preserve">Աղյուսակ </w:t>
      </w:r>
      <w:r w:rsidRPr="00F371F3">
        <w:rPr>
          <w:rFonts w:ascii="GHEA Grapalat" w:hAnsi="GHEA Grapalat"/>
          <w:b/>
          <w:sz w:val="22"/>
          <w:szCs w:val="20"/>
          <w:lang w:val="hy-AM"/>
        </w:rPr>
        <w:t>1.</w:t>
      </w:r>
      <w:r w:rsidRPr="006B3656">
        <w:rPr>
          <w:rFonts w:ascii="GHEA Grapalat" w:hAnsi="GHEA Grapalat"/>
          <w:b/>
          <w:sz w:val="22"/>
          <w:szCs w:val="20"/>
          <w:lang w:val="hy-AM"/>
        </w:rPr>
        <w:t xml:space="preserve">2. </w:t>
      </w:r>
      <w:r w:rsidRPr="006B3656">
        <w:rPr>
          <w:rFonts w:ascii="GHEA Grapalat" w:hAnsi="GHEA Grapalat"/>
          <w:sz w:val="22"/>
          <w:szCs w:val="20"/>
          <w:lang w:val="hy-AM"/>
        </w:rPr>
        <w:t>Արտահանման ապրանքային կառուցվածքը և նպաստումները արտահանման աճին 2024 թվականի</w:t>
      </w:r>
      <w:r w:rsidRPr="006B3656" w:rsidDel="00911C8A">
        <w:rPr>
          <w:rFonts w:ascii="GHEA Grapalat" w:hAnsi="GHEA Grapalat"/>
          <w:sz w:val="22"/>
          <w:szCs w:val="20"/>
          <w:lang w:val="hy-AM"/>
        </w:rPr>
        <w:t xml:space="preserve"> </w:t>
      </w:r>
      <w:r w:rsidRPr="006B3656">
        <w:rPr>
          <w:rFonts w:ascii="GHEA Grapalat" w:hAnsi="GHEA Grapalat"/>
          <w:sz w:val="22"/>
          <w:szCs w:val="20"/>
          <w:lang w:val="hy-AM"/>
        </w:rPr>
        <w:t xml:space="preserve">առաջին կիսամյակում </w:t>
      </w:r>
    </w:p>
    <w:p w:rsidR="00A05DB7" w:rsidRPr="006B3656" w:rsidRDefault="00A05DB7" w:rsidP="00A05DB7">
      <w:pPr>
        <w:jc w:val="center"/>
        <w:rPr>
          <w:rFonts w:ascii="GHEA Grapalat" w:hAnsi="GHEA Grapalat" w:cs="Arial"/>
          <w:szCs w:val="20"/>
          <w:lang w:val="hy-AM"/>
        </w:rPr>
      </w:pPr>
    </w:p>
    <w:tbl>
      <w:tblPr>
        <w:tblW w:w="102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65"/>
        <w:gridCol w:w="1134"/>
        <w:gridCol w:w="992"/>
        <w:gridCol w:w="1015"/>
        <w:gridCol w:w="1395"/>
      </w:tblGrid>
      <w:tr w:rsidR="00A05DB7" w:rsidRPr="006B3656" w:rsidTr="00A05DB7">
        <w:tc>
          <w:tcPr>
            <w:tcW w:w="5665" w:type="dxa"/>
            <w:tcBorders>
              <w:top w:val="single" w:sz="4" w:space="0" w:color="4F81BD"/>
              <w:left w:val="single" w:sz="4" w:space="0" w:color="4F81BD"/>
              <w:bottom w:val="single" w:sz="4" w:space="0" w:color="4F81BD"/>
              <w:right w:val="nil"/>
            </w:tcBorders>
            <w:shd w:val="clear" w:color="auto" w:fill="4F81BD"/>
          </w:tcPr>
          <w:p w:rsidR="00A05DB7" w:rsidRPr="006B3656" w:rsidRDefault="00A05DB7" w:rsidP="00A05DB7">
            <w:pP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ԱՐՏԱՀԱՆՈՒՄ</w:t>
            </w:r>
          </w:p>
        </w:tc>
        <w:tc>
          <w:tcPr>
            <w:tcW w:w="1134"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 xml:space="preserve">Ծավալ </w:t>
            </w:r>
            <w:r w:rsidRPr="006B3656">
              <w:rPr>
                <w:rFonts w:ascii="GHEA Grapalat" w:eastAsia="Calibri" w:hAnsi="GHEA Grapalat" w:cs="Sylfaen"/>
                <w:b/>
                <w:bCs/>
                <w:color w:val="FFFFFF"/>
                <w:sz w:val="20"/>
                <w:szCs w:val="20"/>
                <w:lang w:val="hy-AM"/>
              </w:rPr>
              <w:t>(մլն ԱՄՆ դոլար)</w:t>
            </w:r>
          </w:p>
        </w:tc>
        <w:tc>
          <w:tcPr>
            <w:tcW w:w="992"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Կշիռ (տոկոս)</w:t>
            </w:r>
          </w:p>
        </w:tc>
        <w:tc>
          <w:tcPr>
            <w:tcW w:w="1015"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Աճ (տոկոս)</w:t>
            </w:r>
          </w:p>
        </w:tc>
        <w:tc>
          <w:tcPr>
            <w:tcW w:w="1395" w:type="dxa"/>
            <w:tcBorders>
              <w:top w:val="single" w:sz="4" w:space="0" w:color="4F81BD"/>
              <w:left w:val="nil"/>
              <w:bottom w:val="single" w:sz="4" w:space="0" w:color="4F81BD"/>
              <w:right w:val="single" w:sz="4" w:space="0" w:color="4F81BD"/>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Նպաստում (տոկոսային կետ)</w:t>
            </w:r>
          </w:p>
        </w:tc>
      </w:tr>
      <w:tr w:rsidR="00A05DB7" w:rsidRPr="006B3656" w:rsidTr="00A05DB7">
        <w:tc>
          <w:tcPr>
            <w:tcW w:w="5665" w:type="dxa"/>
            <w:shd w:val="clear" w:color="auto" w:fill="DBE5F1"/>
            <w:vAlign w:val="bottom"/>
          </w:tcPr>
          <w:p w:rsidR="00A05DB7" w:rsidRPr="006B3656" w:rsidRDefault="00FA505B" w:rsidP="00A05DB7">
            <w:pPr>
              <w:rPr>
                <w:rFonts w:ascii="GHEA Grapalat" w:eastAsia="Calibri" w:hAnsi="GHEA Grapalat"/>
                <w:bCs/>
                <w:sz w:val="20"/>
                <w:szCs w:val="20"/>
                <w:lang w:val="hy-AM"/>
              </w:rPr>
            </w:pPr>
            <w:r w:rsidRPr="006B3656">
              <w:rPr>
                <w:rFonts w:ascii="GHEA Grapalat" w:hAnsi="GHEA Grapalat" w:cs="Arial"/>
                <w:sz w:val="20"/>
                <w:szCs w:val="20"/>
                <w:lang w:val="hy-AM"/>
              </w:rPr>
              <w:t>Ընդամենը</w:t>
            </w:r>
          </w:p>
        </w:tc>
        <w:tc>
          <w:tcPr>
            <w:tcW w:w="1134" w:type="dxa"/>
            <w:shd w:val="clear" w:color="auto" w:fill="DBE5F1"/>
            <w:vAlign w:val="center"/>
          </w:tcPr>
          <w:p w:rsidR="00A05DB7" w:rsidRPr="006B3656" w:rsidRDefault="00A05DB7" w:rsidP="00A05DB7">
            <w:pPr>
              <w:jc w:val="center"/>
              <w:rPr>
                <w:rFonts w:ascii="GHEA Grapalat" w:hAnsi="GHEA Grapalat" w:cs="Arial"/>
                <w:noProof/>
                <w:sz w:val="20"/>
                <w:szCs w:val="20"/>
                <w:lang w:val="hy-AM"/>
              </w:rPr>
            </w:pPr>
            <w:r w:rsidRPr="006B3656">
              <w:rPr>
                <w:rFonts w:ascii="Arial" w:hAnsi="Arial" w:cs="Arial"/>
                <w:sz w:val="20"/>
                <w:szCs w:val="20"/>
              </w:rPr>
              <w:t>7928</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100</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134.4</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134.4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Կենդանիներ և կենդանական ծագման արտադրանք</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0.5</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-12.2</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Բուսական ծագման արտադրանք</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99</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15.9</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Յուղեր և ճարպեր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-46.1</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Պատրաստի սննդի արտադրանք</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400</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5.0</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-4.5</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Հանքահումքային մթերք</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493</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6.2</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18.6</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2.3</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Քիմիական արտադրության ապրանքներ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-30.8</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Պլաստմասսա, կաուչուկ, ռետին</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-25.0</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Կաշի և դրանից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11</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22.7</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Փայտ և փայտյա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-87.7</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Թուղթ և թղթյա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26.1</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Մանածագործական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171</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2.2</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Կոշկեղեն, հովանոցներ, գլխարկ</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1.9</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Իրեր քարից, գիպսից, ցեմենտից</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5.6</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Թանկարժեք քարեր և մետաղներ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5642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71.2</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714.2</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146.4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 xml:space="preserve">Ոչ թանկարժեք մետաղներ և </w:t>
            </w:r>
            <w:r w:rsidR="00CF125C" w:rsidRPr="006B3656">
              <w:rPr>
                <w:rFonts w:ascii="GHEA Grapalat" w:hAnsi="GHEA Grapalat" w:cs="Arial"/>
                <w:sz w:val="20"/>
                <w:szCs w:val="20"/>
                <w:lang w:val="hy-AM"/>
              </w:rPr>
              <w:t>դրանցից պատրաստված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164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2.1</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-40.9</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-3.4</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Մեքենաներ և սարքավորումներ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608</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7.7</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-2.4</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Տրանսպորտային միջոցներ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75</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0.9</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-80.7</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-9.2</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Սարքեր և ապարատներ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74</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0.9</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Ընդամենը տարբեր արդյունաբերական</w:t>
            </w:r>
            <w:r w:rsidR="00837E26" w:rsidRPr="006B3656">
              <w:rPr>
                <w:rFonts w:ascii="GHEA Grapalat" w:hAnsi="GHEA Grapalat" w:cs="Arial"/>
                <w:sz w:val="20"/>
                <w:szCs w:val="20"/>
                <w:lang w:val="hy-AM"/>
              </w:rPr>
              <w:t xml:space="preserve"> </w:t>
            </w:r>
            <w:r w:rsidRPr="006B3656">
              <w:rPr>
                <w:rFonts w:ascii="GHEA Grapalat" w:hAnsi="GHEA Grapalat" w:cs="Arial"/>
                <w:sz w:val="20"/>
                <w:szCs w:val="20"/>
                <w:lang w:val="hy-AM"/>
              </w:rPr>
              <w:t>ապրանքներ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26</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-5.1</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Արվեստի ստեղծագործություններ, հնաոճ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-28.6</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bl>
    <w:p w:rsidR="00A05DB7" w:rsidRPr="006B3656" w:rsidRDefault="00A05DB7" w:rsidP="00A05DB7">
      <w:pPr>
        <w:jc w:val="center"/>
        <w:rPr>
          <w:rFonts w:ascii="GHEA Grapalat" w:hAnsi="GHEA Grapalat"/>
          <w:b/>
          <w:sz w:val="22"/>
          <w:szCs w:val="20"/>
          <w:lang w:val="hy-AM"/>
        </w:rPr>
      </w:pPr>
    </w:p>
    <w:p w:rsidR="00A05DB7" w:rsidRPr="006B3656" w:rsidRDefault="00A05DB7" w:rsidP="00A05DB7">
      <w:pPr>
        <w:jc w:val="center"/>
        <w:rPr>
          <w:rFonts w:ascii="GHEA Grapalat" w:hAnsi="GHEA Grapalat"/>
          <w:b/>
          <w:sz w:val="22"/>
          <w:szCs w:val="20"/>
          <w:lang w:val="hy-AM"/>
        </w:rPr>
      </w:pPr>
    </w:p>
    <w:p w:rsidR="00A05DB7" w:rsidRPr="006B3656" w:rsidRDefault="00A05DB7" w:rsidP="00A05DB7">
      <w:pPr>
        <w:jc w:val="center"/>
        <w:rPr>
          <w:rFonts w:ascii="GHEA Grapalat" w:hAnsi="GHEA Grapalat"/>
          <w:sz w:val="22"/>
          <w:szCs w:val="20"/>
          <w:lang w:val="hy-AM"/>
        </w:rPr>
      </w:pPr>
      <w:r w:rsidRPr="006B3656">
        <w:rPr>
          <w:rFonts w:ascii="GHEA Grapalat" w:hAnsi="GHEA Grapalat"/>
          <w:b/>
          <w:sz w:val="22"/>
          <w:szCs w:val="20"/>
          <w:lang w:val="hy-AM"/>
        </w:rPr>
        <w:t xml:space="preserve">Աղյուսակ </w:t>
      </w:r>
      <w:r w:rsidRPr="00F371F3">
        <w:rPr>
          <w:rFonts w:ascii="GHEA Grapalat" w:hAnsi="GHEA Grapalat"/>
          <w:b/>
          <w:sz w:val="22"/>
          <w:szCs w:val="20"/>
          <w:lang w:val="hy-AM"/>
        </w:rPr>
        <w:t>1.</w:t>
      </w:r>
      <w:r w:rsidRPr="006B3656">
        <w:rPr>
          <w:rFonts w:ascii="GHEA Grapalat" w:hAnsi="GHEA Grapalat"/>
          <w:b/>
          <w:sz w:val="22"/>
          <w:szCs w:val="20"/>
          <w:lang w:val="hy-AM"/>
        </w:rPr>
        <w:t xml:space="preserve">3. </w:t>
      </w:r>
      <w:r w:rsidRPr="006B3656">
        <w:rPr>
          <w:rFonts w:ascii="GHEA Grapalat" w:hAnsi="GHEA Grapalat"/>
          <w:sz w:val="22"/>
          <w:szCs w:val="20"/>
          <w:lang w:val="hy-AM"/>
        </w:rPr>
        <w:t>Ներմուծման ապրանքային կառուցվածքը և նպաստումները ներմուծման աճին 2024 թվականի</w:t>
      </w:r>
      <w:r w:rsidRPr="006B3656" w:rsidDel="00911C8A">
        <w:rPr>
          <w:rFonts w:ascii="GHEA Grapalat" w:hAnsi="GHEA Grapalat"/>
          <w:sz w:val="22"/>
          <w:szCs w:val="20"/>
          <w:lang w:val="hy-AM"/>
        </w:rPr>
        <w:t xml:space="preserve"> </w:t>
      </w:r>
      <w:r w:rsidRPr="006B3656">
        <w:rPr>
          <w:rFonts w:ascii="GHEA Grapalat" w:hAnsi="GHEA Grapalat"/>
          <w:sz w:val="22"/>
          <w:szCs w:val="20"/>
          <w:lang w:val="hy-AM"/>
        </w:rPr>
        <w:t xml:space="preserve">առաջին կիսամյակում </w:t>
      </w:r>
    </w:p>
    <w:p w:rsidR="00A05DB7" w:rsidRPr="006B3656" w:rsidRDefault="00A05DB7" w:rsidP="00A05DB7">
      <w:pPr>
        <w:jc w:val="center"/>
        <w:rPr>
          <w:rFonts w:ascii="GHEA Grapalat" w:hAnsi="GHEA Grapalat"/>
          <w:sz w:val="22"/>
          <w:szCs w:val="20"/>
          <w:lang w:val="hy-AM"/>
        </w:rPr>
      </w:pPr>
    </w:p>
    <w:tbl>
      <w:tblPr>
        <w:tblW w:w="102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65"/>
        <w:gridCol w:w="1134"/>
        <w:gridCol w:w="992"/>
        <w:gridCol w:w="992"/>
        <w:gridCol w:w="1418"/>
      </w:tblGrid>
      <w:tr w:rsidR="00A05DB7" w:rsidRPr="006B3656" w:rsidTr="00A05DB7">
        <w:tc>
          <w:tcPr>
            <w:tcW w:w="5665" w:type="dxa"/>
            <w:tcBorders>
              <w:top w:val="single" w:sz="4" w:space="0" w:color="4F81BD"/>
              <w:left w:val="single" w:sz="4" w:space="0" w:color="4F81BD"/>
              <w:bottom w:val="single" w:sz="4" w:space="0" w:color="4F81BD"/>
              <w:right w:val="nil"/>
            </w:tcBorders>
            <w:shd w:val="clear" w:color="auto" w:fill="4F81BD"/>
          </w:tcPr>
          <w:p w:rsidR="00A05DB7" w:rsidRPr="006B3656" w:rsidRDefault="00A05DB7" w:rsidP="00A05DB7">
            <w:pP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ՆԵՐՄՈՒԾՈՒՄ</w:t>
            </w:r>
          </w:p>
        </w:tc>
        <w:tc>
          <w:tcPr>
            <w:tcW w:w="1134"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Ծավալ (մլն ԱՄՆ դոլար)</w:t>
            </w:r>
          </w:p>
        </w:tc>
        <w:tc>
          <w:tcPr>
            <w:tcW w:w="992"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Կշիռ (տոկոս)</w:t>
            </w:r>
          </w:p>
        </w:tc>
        <w:tc>
          <w:tcPr>
            <w:tcW w:w="992"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Աճ (տոկոս)</w:t>
            </w:r>
          </w:p>
        </w:tc>
        <w:tc>
          <w:tcPr>
            <w:tcW w:w="1418" w:type="dxa"/>
            <w:tcBorders>
              <w:top w:val="single" w:sz="4" w:space="0" w:color="4F81BD"/>
              <w:left w:val="nil"/>
              <w:bottom w:val="single" w:sz="4" w:space="0" w:color="4F81BD"/>
              <w:right w:val="single" w:sz="4" w:space="0" w:color="4F81BD"/>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Նպաստում (տոկոսային կետ)</w:t>
            </w:r>
          </w:p>
        </w:tc>
      </w:tr>
      <w:tr w:rsidR="00A05DB7" w:rsidRPr="006B3656" w:rsidTr="00A05DB7">
        <w:tc>
          <w:tcPr>
            <w:tcW w:w="5665" w:type="dxa"/>
            <w:shd w:val="clear" w:color="auto" w:fill="DBE5F1"/>
            <w:vAlign w:val="bottom"/>
          </w:tcPr>
          <w:p w:rsidR="00A05DB7" w:rsidRPr="006B3656" w:rsidRDefault="00FA505B" w:rsidP="00A05DB7">
            <w:pPr>
              <w:rPr>
                <w:rFonts w:ascii="GHEA Grapalat" w:eastAsia="Calibri" w:hAnsi="GHEA Grapalat"/>
                <w:bCs/>
                <w:sz w:val="20"/>
                <w:szCs w:val="20"/>
                <w:lang w:val="hy-AM"/>
              </w:rPr>
            </w:pPr>
            <w:r w:rsidRPr="006B3656">
              <w:rPr>
                <w:rFonts w:ascii="GHEA Grapalat" w:hAnsi="GHEA Grapalat" w:cs="Arial"/>
                <w:b/>
                <w:bCs/>
                <w:sz w:val="20"/>
                <w:szCs w:val="20"/>
                <w:lang w:val="hy-AM"/>
              </w:rPr>
              <w:t>Ընդամենը</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10480</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100</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86.6</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86.6</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Կենդանիներ և կենդանական ծագման արտադրանք</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96.3</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Բուսական ծագման արտադրանք</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178</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-3.3</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-10.5</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Յուղեր և ճարպեր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-4.9</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Պատրաստի սննդի արտադրանք</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299</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2.9</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3.3</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Հանքահումքային մթերք</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515</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4.9</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-5.6</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Քիմիական արտադրության ապրանքներ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388</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21.6</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Պլաստմասսա, կաուչուկ, ռետին</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155</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1.5</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-9.7</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Կաշի և դրանից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16.8</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Փայտ և փայտյա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43</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-7.3</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Թուղթ և թղթյա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75</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-6.7</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Մանածագործական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310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7.8</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Կոշկեղեն, հովանոցներ, գլխարկ</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53</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0.5</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3.7</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Իրեր քարից, գիպսից, ցեմենտից</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0.8</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Թանկարժեք քարեր և մետաղներ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6051</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57.7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840.3</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 xml:space="preserve">Ոչ թանկարժեք մետաղներ և </w:t>
            </w:r>
            <w:r w:rsidR="00CF125C" w:rsidRPr="006B3656">
              <w:rPr>
                <w:rFonts w:ascii="GHEA Grapalat" w:hAnsi="GHEA Grapalat" w:cs="Arial"/>
                <w:sz w:val="20"/>
                <w:szCs w:val="20"/>
                <w:lang w:val="hy-AM"/>
              </w:rPr>
              <w:t>դրանցից պատրաստված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254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-12.7</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Մեքենաներ և սարքավորումներ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1204</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11.5</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Տրանսպորտային միջոցներ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431</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4.1</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-57.8</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-0.7</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Սարքեր և ապարատներ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139</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11.3</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Ընդամենը տարբեր արդյունաբերական</w:t>
            </w:r>
            <w:r w:rsidR="00837E26" w:rsidRPr="006B3656">
              <w:rPr>
                <w:rFonts w:ascii="GHEA Grapalat" w:hAnsi="GHEA Grapalat" w:cs="Arial"/>
                <w:sz w:val="20"/>
                <w:szCs w:val="20"/>
                <w:lang w:val="hy-AM"/>
              </w:rPr>
              <w:t xml:space="preserve"> </w:t>
            </w:r>
            <w:r w:rsidRPr="006B3656">
              <w:rPr>
                <w:rFonts w:ascii="GHEA Grapalat" w:hAnsi="GHEA Grapalat" w:cs="Arial"/>
                <w:sz w:val="20"/>
                <w:szCs w:val="20"/>
                <w:lang w:val="hy-AM"/>
              </w:rPr>
              <w:t>ապրանքներ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123</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15.0</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Արվեստի ստեղծագործություններ, հնաոճ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270.2</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-0.5</w:t>
            </w:r>
          </w:p>
        </w:tc>
      </w:tr>
    </w:tbl>
    <w:p w:rsidR="00A05DB7" w:rsidRPr="006B3656" w:rsidRDefault="00A05DB7" w:rsidP="00A05DB7">
      <w:pPr>
        <w:rPr>
          <w:rFonts w:ascii="GHEA Grapalat" w:hAnsi="GHEA Grapalat"/>
          <w:b/>
          <w:sz w:val="20"/>
          <w:szCs w:val="20"/>
          <w:lang w:val="hy-AM"/>
        </w:rPr>
      </w:pPr>
    </w:p>
    <w:p w:rsidR="008C6E1F" w:rsidRDefault="008C6E1F">
      <w:pPr>
        <w:rPr>
          <w:rFonts w:ascii="GHEA Grapalat" w:hAnsi="GHEA Grapalat"/>
          <w:b/>
          <w:sz w:val="22"/>
          <w:szCs w:val="20"/>
          <w:lang w:val="hy-AM"/>
        </w:rPr>
      </w:pPr>
      <w:r>
        <w:rPr>
          <w:rFonts w:ascii="GHEA Grapalat" w:hAnsi="GHEA Grapalat"/>
          <w:b/>
          <w:sz w:val="22"/>
          <w:szCs w:val="20"/>
          <w:lang w:val="hy-AM"/>
        </w:rPr>
        <w:br w:type="page"/>
      </w:r>
    </w:p>
    <w:p w:rsidR="00A05DB7" w:rsidRPr="006B3656" w:rsidRDefault="00A05DB7" w:rsidP="00A05DB7">
      <w:pPr>
        <w:jc w:val="center"/>
        <w:rPr>
          <w:rFonts w:ascii="GHEA Grapalat" w:hAnsi="GHEA Grapalat"/>
          <w:sz w:val="22"/>
          <w:szCs w:val="20"/>
          <w:lang w:val="hy-AM"/>
        </w:rPr>
      </w:pPr>
      <w:r w:rsidRPr="006B3656">
        <w:rPr>
          <w:rFonts w:ascii="GHEA Grapalat" w:hAnsi="GHEA Grapalat"/>
          <w:b/>
          <w:sz w:val="22"/>
          <w:szCs w:val="20"/>
          <w:lang w:val="hy-AM"/>
        </w:rPr>
        <w:t xml:space="preserve">Աղյուսակ </w:t>
      </w:r>
      <w:r w:rsidRPr="00F371F3">
        <w:rPr>
          <w:rFonts w:ascii="GHEA Grapalat" w:hAnsi="GHEA Grapalat"/>
          <w:b/>
          <w:sz w:val="22"/>
          <w:szCs w:val="20"/>
          <w:lang w:val="hy-AM"/>
        </w:rPr>
        <w:t>1.</w:t>
      </w:r>
      <w:r w:rsidRPr="006B3656">
        <w:rPr>
          <w:rFonts w:ascii="GHEA Grapalat" w:hAnsi="GHEA Grapalat"/>
          <w:b/>
          <w:sz w:val="22"/>
          <w:szCs w:val="20"/>
          <w:lang w:val="hy-AM"/>
        </w:rPr>
        <w:t>4.</w:t>
      </w:r>
      <w:r w:rsidRPr="006B3656">
        <w:rPr>
          <w:rFonts w:ascii="GHEA Grapalat" w:hAnsi="GHEA Grapalat"/>
          <w:b/>
          <w:szCs w:val="20"/>
          <w:lang w:val="hy-AM"/>
        </w:rPr>
        <w:t xml:space="preserve"> </w:t>
      </w:r>
      <w:r w:rsidRPr="006B3656">
        <w:rPr>
          <w:rFonts w:ascii="GHEA Grapalat" w:hAnsi="GHEA Grapalat"/>
          <w:sz w:val="22"/>
          <w:szCs w:val="20"/>
          <w:lang w:val="hy-AM"/>
        </w:rPr>
        <w:t>Ներմուծումն ըստ ապրանքների լայն տնտեսական՝ BEC դասակարգչի և նպաստումները, 2024 թվականի</w:t>
      </w:r>
      <w:r w:rsidRPr="006B3656" w:rsidDel="00911C8A">
        <w:rPr>
          <w:rFonts w:ascii="GHEA Grapalat" w:hAnsi="GHEA Grapalat"/>
          <w:sz w:val="22"/>
          <w:szCs w:val="20"/>
          <w:lang w:val="hy-AM"/>
        </w:rPr>
        <w:t xml:space="preserve"> </w:t>
      </w:r>
      <w:r w:rsidRPr="006B3656">
        <w:rPr>
          <w:rFonts w:ascii="GHEA Grapalat" w:hAnsi="GHEA Grapalat"/>
          <w:sz w:val="22"/>
          <w:szCs w:val="20"/>
          <w:lang w:val="hy-AM"/>
        </w:rPr>
        <w:t>առաջին կիսամյակում</w:t>
      </w:r>
    </w:p>
    <w:p w:rsidR="00A05DB7" w:rsidRPr="006B3656" w:rsidRDefault="00A05DB7" w:rsidP="00A05DB7">
      <w:pPr>
        <w:jc w:val="center"/>
        <w:rPr>
          <w:rFonts w:ascii="GHEA Grapalat" w:hAnsi="GHEA Grapalat"/>
          <w:b/>
          <w:szCs w:val="20"/>
          <w:lang w:val="hy-AM"/>
        </w:rPr>
      </w:pPr>
    </w:p>
    <w:tbl>
      <w:tblPr>
        <w:tblW w:w="1049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2"/>
        <w:gridCol w:w="992"/>
        <w:gridCol w:w="1134"/>
        <w:gridCol w:w="1081"/>
        <w:gridCol w:w="939"/>
        <w:gridCol w:w="1093"/>
        <w:gridCol w:w="941"/>
        <w:gridCol w:w="1093"/>
        <w:gridCol w:w="1096"/>
      </w:tblGrid>
      <w:tr w:rsidR="00A05DB7" w:rsidRPr="006B3656" w:rsidTr="00A05DB7">
        <w:trPr>
          <w:trHeight w:val="634"/>
        </w:trPr>
        <w:tc>
          <w:tcPr>
            <w:tcW w:w="2122" w:type="dxa"/>
            <w:tcBorders>
              <w:top w:val="single" w:sz="4" w:space="0" w:color="4F81BD"/>
              <w:left w:val="single" w:sz="4" w:space="0" w:color="4F81BD"/>
              <w:bottom w:val="single" w:sz="4" w:space="0" w:color="4F81BD"/>
              <w:right w:val="nil"/>
            </w:tcBorders>
            <w:shd w:val="clear" w:color="auto" w:fill="4F81BD"/>
            <w:vAlign w:val="center"/>
          </w:tcPr>
          <w:p w:rsidR="00A05DB7" w:rsidRPr="006B3656" w:rsidRDefault="00A05DB7" w:rsidP="00A05DB7">
            <w:pPr>
              <w:spacing w:line="360" w:lineRule="auto"/>
              <w:jc w:val="center"/>
              <w:rPr>
                <w:rFonts w:ascii="GHEA Grapalat" w:eastAsia="Calibri" w:hAnsi="GHEA Grapalat"/>
                <w:b/>
                <w:bCs/>
                <w:color w:val="FFFFFF"/>
                <w:sz w:val="20"/>
                <w:szCs w:val="20"/>
                <w:lang w:val="hy-AM"/>
              </w:rPr>
            </w:pPr>
          </w:p>
        </w:tc>
        <w:tc>
          <w:tcPr>
            <w:tcW w:w="2126" w:type="dxa"/>
            <w:gridSpan w:val="2"/>
            <w:tcBorders>
              <w:top w:val="single" w:sz="4" w:space="0" w:color="4F81BD"/>
              <w:left w:val="nil"/>
              <w:bottom w:val="single" w:sz="4" w:space="0" w:color="4F81BD"/>
              <w:right w:val="nil"/>
            </w:tcBorders>
            <w:shd w:val="clear" w:color="auto" w:fill="4F81BD"/>
            <w:vAlign w:val="center"/>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Ծավալ (մլն ԱՄՆ դոլար)</w:t>
            </w:r>
          </w:p>
        </w:tc>
        <w:tc>
          <w:tcPr>
            <w:tcW w:w="2020" w:type="dxa"/>
            <w:gridSpan w:val="2"/>
            <w:tcBorders>
              <w:top w:val="single" w:sz="4" w:space="0" w:color="4F81BD"/>
              <w:left w:val="nil"/>
              <w:bottom w:val="single" w:sz="4" w:space="0" w:color="4F81BD"/>
              <w:right w:val="nil"/>
            </w:tcBorders>
            <w:shd w:val="clear" w:color="auto" w:fill="4F81BD"/>
            <w:vAlign w:val="center"/>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Կշիռ (տոկոս)</w:t>
            </w:r>
          </w:p>
        </w:tc>
        <w:tc>
          <w:tcPr>
            <w:tcW w:w="2034" w:type="dxa"/>
            <w:gridSpan w:val="2"/>
            <w:tcBorders>
              <w:top w:val="single" w:sz="4" w:space="0" w:color="4F81BD"/>
              <w:left w:val="nil"/>
              <w:bottom w:val="single" w:sz="4" w:space="0" w:color="4F81BD"/>
              <w:right w:val="nil"/>
            </w:tcBorders>
            <w:shd w:val="clear" w:color="auto" w:fill="4F81BD"/>
            <w:vAlign w:val="center"/>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Աճ (տոկոս)</w:t>
            </w:r>
          </w:p>
        </w:tc>
        <w:tc>
          <w:tcPr>
            <w:tcW w:w="2189" w:type="dxa"/>
            <w:gridSpan w:val="2"/>
            <w:tcBorders>
              <w:top w:val="single" w:sz="4" w:space="0" w:color="4F81BD"/>
              <w:left w:val="nil"/>
              <w:bottom w:val="single" w:sz="4" w:space="0" w:color="4F81BD"/>
              <w:right w:val="single" w:sz="4" w:space="0" w:color="4F81BD"/>
            </w:tcBorders>
            <w:shd w:val="clear" w:color="auto" w:fill="4F81BD"/>
            <w:vAlign w:val="center"/>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Նպաստում</w:t>
            </w:r>
          </w:p>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(տոկոսային կետ)</w:t>
            </w:r>
          </w:p>
        </w:tc>
      </w:tr>
      <w:tr w:rsidR="00A05DB7" w:rsidRPr="006B3656" w:rsidTr="00A05DB7">
        <w:trPr>
          <w:trHeight w:val="471"/>
        </w:trPr>
        <w:tc>
          <w:tcPr>
            <w:tcW w:w="2122" w:type="dxa"/>
            <w:shd w:val="clear" w:color="auto" w:fill="DBE5F1"/>
            <w:vAlign w:val="center"/>
          </w:tcPr>
          <w:p w:rsidR="00A05DB7" w:rsidRPr="006B3656" w:rsidRDefault="00A05DB7" w:rsidP="00A05DB7">
            <w:pPr>
              <w:spacing w:line="360" w:lineRule="auto"/>
              <w:jc w:val="center"/>
              <w:rPr>
                <w:rFonts w:ascii="GHEA Grapalat" w:eastAsia="Calibri" w:hAnsi="GHEA Grapalat"/>
                <w:b/>
                <w:bCs/>
                <w:sz w:val="20"/>
                <w:szCs w:val="20"/>
                <w:lang w:val="hy-AM"/>
              </w:rPr>
            </w:pPr>
          </w:p>
        </w:tc>
        <w:tc>
          <w:tcPr>
            <w:tcW w:w="992"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2023</w:t>
            </w:r>
          </w:p>
        </w:tc>
        <w:tc>
          <w:tcPr>
            <w:tcW w:w="1134"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2024</w:t>
            </w:r>
          </w:p>
        </w:tc>
        <w:tc>
          <w:tcPr>
            <w:tcW w:w="1081"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2023</w:t>
            </w:r>
          </w:p>
        </w:tc>
        <w:tc>
          <w:tcPr>
            <w:tcW w:w="939"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2024</w:t>
            </w:r>
          </w:p>
        </w:tc>
        <w:tc>
          <w:tcPr>
            <w:tcW w:w="1093"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2023</w:t>
            </w:r>
          </w:p>
        </w:tc>
        <w:tc>
          <w:tcPr>
            <w:tcW w:w="941"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2024</w:t>
            </w:r>
          </w:p>
        </w:tc>
        <w:tc>
          <w:tcPr>
            <w:tcW w:w="1093"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2023</w:t>
            </w:r>
          </w:p>
        </w:tc>
        <w:tc>
          <w:tcPr>
            <w:tcW w:w="1096"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2024</w:t>
            </w:r>
          </w:p>
        </w:tc>
      </w:tr>
      <w:tr w:rsidR="00A05DB7" w:rsidRPr="006B3656" w:rsidTr="00A05DB7">
        <w:trPr>
          <w:trHeight w:val="325"/>
        </w:trPr>
        <w:tc>
          <w:tcPr>
            <w:tcW w:w="2122" w:type="dxa"/>
            <w:shd w:val="clear" w:color="auto" w:fill="auto"/>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Ընդամենը</w:t>
            </w:r>
          </w:p>
        </w:tc>
        <w:tc>
          <w:tcPr>
            <w:tcW w:w="992"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3382</w:t>
            </w:r>
          </w:p>
        </w:tc>
        <w:tc>
          <w:tcPr>
            <w:tcW w:w="1134"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7928</w:t>
            </w:r>
          </w:p>
        </w:tc>
        <w:tc>
          <w:tcPr>
            <w:tcW w:w="1081" w:type="dxa"/>
            <w:shd w:val="clear" w:color="auto" w:fill="auto"/>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lang w:val="hy-AM"/>
              </w:rPr>
              <w:t>100.0</w:t>
            </w:r>
          </w:p>
        </w:tc>
        <w:tc>
          <w:tcPr>
            <w:tcW w:w="939" w:type="dxa"/>
            <w:shd w:val="clear" w:color="auto" w:fill="auto"/>
            <w:vAlign w:val="center"/>
          </w:tcPr>
          <w:p w:rsidR="00A05DB7" w:rsidRPr="006B3656" w:rsidRDefault="00A05DB7" w:rsidP="00A05DB7">
            <w:pPr>
              <w:jc w:val="center"/>
              <w:rPr>
                <w:rFonts w:ascii="GHEA Grapalat" w:eastAsia="Calibri" w:hAnsi="GHEA Grapalat"/>
                <w:b/>
                <w:sz w:val="20"/>
                <w:szCs w:val="20"/>
                <w:lang w:val="hy-AM"/>
              </w:rPr>
            </w:pPr>
            <w:r w:rsidRPr="006B3656">
              <w:rPr>
                <w:rFonts w:ascii="Arial" w:hAnsi="Arial" w:cs="Arial"/>
                <w:sz w:val="20"/>
                <w:szCs w:val="20"/>
                <w:lang w:val="hy-AM"/>
              </w:rPr>
              <w:t>100.0</w:t>
            </w:r>
          </w:p>
        </w:tc>
        <w:tc>
          <w:tcPr>
            <w:tcW w:w="1093" w:type="dxa"/>
            <w:shd w:val="clear" w:color="auto" w:fill="auto"/>
            <w:vAlign w:val="center"/>
          </w:tcPr>
          <w:p w:rsidR="00A05DB7" w:rsidRPr="006B3656" w:rsidRDefault="00A05DB7" w:rsidP="00A05DB7">
            <w:pPr>
              <w:jc w:val="center"/>
              <w:rPr>
                <w:rFonts w:ascii="GHEA Grapalat" w:eastAsia="Calibri" w:hAnsi="GHEA Grapalat"/>
                <w:b/>
                <w:bCs/>
                <w:sz w:val="20"/>
                <w:szCs w:val="20"/>
                <w:lang w:val="hy-AM"/>
              </w:rPr>
            </w:pPr>
            <w:r w:rsidRPr="006B3656">
              <w:rPr>
                <w:rFonts w:ascii="Arial" w:hAnsi="Arial" w:cs="Arial"/>
                <w:sz w:val="20"/>
                <w:szCs w:val="20"/>
              </w:rPr>
              <w:t>78.9</w:t>
            </w:r>
          </w:p>
        </w:tc>
        <w:tc>
          <w:tcPr>
            <w:tcW w:w="941" w:type="dxa"/>
            <w:shd w:val="clear" w:color="auto" w:fill="auto"/>
            <w:vAlign w:val="center"/>
          </w:tcPr>
          <w:p w:rsidR="00A05DB7" w:rsidRPr="006B3656" w:rsidRDefault="00A05DB7" w:rsidP="00A05DB7">
            <w:pPr>
              <w:jc w:val="center"/>
              <w:rPr>
                <w:rFonts w:ascii="GHEA Grapalat" w:eastAsia="Calibri" w:hAnsi="GHEA Grapalat"/>
                <w:b/>
                <w:bCs/>
                <w:sz w:val="20"/>
                <w:szCs w:val="20"/>
                <w:lang w:val="hy-AM"/>
              </w:rPr>
            </w:pPr>
            <w:r w:rsidRPr="006B3656">
              <w:rPr>
                <w:rFonts w:ascii="Arial" w:hAnsi="Arial" w:cs="Arial"/>
                <w:sz w:val="20"/>
                <w:szCs w:val="20"/>
              </w:rPr>
              <w:t>134.4</w:t>
            </w:r>
          </w:p>
        </w:tc>
        <w:tc>
          <w:tcPr>
            <w:tcW w:w="1093" w:type="dxa"/>
            <w:shd w:val="clear" w:color="auto" w:fill="auto"/>
            <w:vAlign w:val="center"/>
          </w:tcPr>
          <w:p w:rsidR="00A05DB7" w:rsidRPr="006B3656" w:rsidRDefault="00A05DB7" w:rsidP="00A05DB7">
            <w:pPr>
              <w:jc w:val="center"/>
              <w:rPr>
                <w:rFonts w:ascii="GHEA Grapalat" w:eastAsia="Calibri" w:hAnsi="GHEA Grapalat"/>
                <w:b/>
                <w:sz w:val="20"/>
                <w:szCs w:val="20"/>
                <w:lang w:val="hy-AM"/>
              </w:rPr>
            </w:pPr>
            <w:r w:rsidRPr="006B3656">
              <w:rPr>
                <w:rFonts w:ascii="Arial" w:hAnsi="Arial" w:cs="Arial"/>
                <w:sz w:val="20"/>
                <w:szCs w:val="20"/>
              </w:rPr>
              <w:t>78.9</w:t>
            </w:r>
          </w:p>
        </w:tc>
        <w:tc>
          <w:tcPr>
            <w:tcW w:w="1096" w:type="dxa"/>
            <w:shd w:val="clear" w:color="auto" w:fill="auto"/>
            <w:vAlign w:val="center"/>
          </w:tcPr>
          <w:p w:rsidR="00A05DB7" w:rsidRPr="006B3656" w:rsidRDefault="00A05DB7" w:rsidP="00A05DB7">
            <w:pPr>
              <w:jc w:val="center"/>
              <w:rPr>
                <w:rFonts w:ascii="GHEA Grapalat" w:eastAsia="Calibri" w:hAnsi="GHEA Grapalat"/>
                <w:b/>
                <w:sz w:val="20"/>
                <w:szCs w:val="20"/>
                <w:lang w:val="hy-AM"/>
              </w:rPr>
            </w:pPr>
            <w:r w:rsidRPr="006B3656">
              <w:rPr>
                <w:rFonts w:ascii="Arial" w:hAnsi="Arial" w:cs="Arial"/>
                <w:sz w:val="20"/>
                <w:szCs w:val="20"/>
              </w:rPr>
              <w:t>134.4</w:t>
            </w:r>
          </w:p>
        </w:tc>
      </w:tr>
      <w:tr w:rsidR="00A05DB7" w:rsidRPr="006B3656" w:rsidTr="00A05DB7">
        <w:trPr>
          <w:trHeight w:val="308"/>
        </w:trPr>
        <w:tc>
          <w:tcPr>
            <w:tcW w:w="2122" w:type="dxa"/>
            <w:shd w:val="clear" w:color="auto" w:fill="DBE5F1"/>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Վերջնական սպառման ապրանքներ</w:t>
            </w:r>
          </w:p>
        </w:tc>
        <w:tc>
          <w:tcPr>
            <w:tcW w:w="992"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970</w:t>
            </w:r>
          </w:p>
        </w:tc>
        <w:tc>
          <w:tcPr>
            <w:tcW w:w="1134"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1643</w:t>
            </w:r>
          </w:p>
        </w:tc>
        <w:tc>
          <w:tcPr>
            <w:tcW w:w="1081"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28.7</w:t>
            </w:r>
          </w:p>
        </w:tc>
        <w:tc>
          <w:tcPr>
            <w:tcW w:w="939"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20.7</w:t>
            </w:r>
          </w:p>
        </w:tc>
        <w:tc>
          <w:tcPr>
            <w:tcW w:w="1093"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45.1</w:t>
            </w:r>
          </w:p>
        </w:tc>
        <w:tc>
          <w:tcPr>
            <w:tcW w:w="941"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69.4</w:t>
            </w:r>
          </w:p>
        </w:tc>
        <w:tc>
          <w:tcPr>
            <w:tcW w:w="1093"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15.9</w:t>
            </w:r>
          </w:p>
        </w:tc>
        <w:tc>
          <w:tcPr>
            <w:tcW w:w="1096"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19.9</w:t>
            </w:r>
          </w:p>
        </w:tc>
      </w:tr>
      <w:tr w:rsidR="00A05DB7" w:rsidRPr="006B3656" w:rsidTr="00A05DB7">
        <w:trPr>
          <w:trHeight w:val="325"/>
        </w:trPr>
        <w:tc>
          <w:tcPr>
            <w:tcW w:w="2122" w:type="dxa"/>
            <w:shd w:val="clear" w:color="auto" w:fill="auto"/>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Միջանկյալ սպառման ապրանքներ</w:t>
            </w:r>
          </w:p>
        </w:tc>
        <w:tc>
          <w:tcPr>
            <w:tcW w:w="992"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1604</w:t>
            </w:r>
          </w:p>
        </w:tc>
        <w:tc>
          <w:tcPr>
            <w:tcW w:w="1134"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5747</w:t>
            </w:r>
          </w:p>
        </w:tc>
        <w:tc>
          <w:tcPr>
            <w:tcW w:w="1081" w:type="dxa"/>
            <w:shd w:val="clear" w:color="auto" w:fill="auto"/>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47.4</w:t>
            </w:r>
          </w:p>
        </w:tc>
        <w:tc>
          <w:tcPr>
            <w:tcW w:w="939"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72.5</w:t>
            </w:r>
          </w:p>
        </w:tc>
        <w:tc>
          <w:tcPr>
            <w:tcW w:w="1093"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39.4</w:t>
            </w:r>
          </w:p>
        </w:tc>
        <w:tc>
          <w:tcPr>
            <w:tcW w:w="941"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258.2</w:t>
            </w:r>
          </w:p>
        </w:tc>
        <w:tc>
          <w:tcPr>
            <w:tcW w:w="1093"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24.0</w:t>
            </w:r>
          </w:p>
        </w:tc>
        <w:tc>
          <w:tcPr>
            <w:tcW w:w="1096"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122.5</w:t>
            </w:r>
          </w:p>
        </w:tc>
      </w:tr>
      <w:tr w:rsidR="00A05DB7" w:rsidRPr="006B3656" w:rsidTr="00A05DB7">
        <w:trPr>
          <w:trHeight w:val="308"/>
        </w:trPr>
        <w:tc>
          <w:tcPr>
            <w:tcW w:w="2122" w:type="dxa"/>
            <w:shd w:val="clear" w:color="auto" w:fill="DBE5F1"/>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Կապիտալ ապրանքներ</w:t>
            </w:r>
          </w:p>
        </w:tc>
        <w:tc>
          <w:tcPr>
            <w:tcW w:w="992"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469</w:t>
            </w:r>
          </w:p>
        </w:tc>
        <w:tc>
          <w:tcPr>
            <w:tcW w:w="1134"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505</w:t>
            </w:r>
          </w:p>
        </w:tc>
        <w:tc>
          <w:tcPr>
            <w:tcW w:w="1081"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13.9</w:t>
            </w:r>
          </w:p>
        </w:tc>
        <w:tc>
          <w:tcPr>
            <w:tcW w:w="939"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6.4</w:t>
            </w:r>
          </w:p>
        </w:tc>
        <w:tc>
          <w:tcPr>
            <w:tcW w:w="1093"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745.1</w:t>
            </w:r>
          </w:p>
        </w:tc>
        <w:tc>
          <w:tcPr>
            <w:tcW w:w="941"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7.6</w:t>
            </w:r>
          </w:p>
        </w:tc>
        <w:tc>
          <w:tcPr>
            <w:tcW w:w="1093"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21.9</w:t>
            </w:r>
          </w:p>
        </w:tc>
        <w:tc>
          <w:tcPr>
            <w:tcW w:w="1096"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1.1</w:t>
            </w:r>
          </w:p>
        </w:tc>
      </w:tr>
      <w:tr w:rsidR="00A05DB7" w:rsidRPr="006B3656" w:rsidTr="00A05DB7">
        <w:trPr>
          <w:trHeight w:val="325"/>
        </w:trPr>
        <w:tc>
          <w:tcPr>
            <w:tcW w:w="2122" w:type="dxa"/>
            <w:shd w:val="clear" w:color="auto" w:fill="auto"/>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Ավտոմեքենա մարդատար</w:t>
            </w:r>
          </w:p>
        </w:tc>
        <w:tc>
          <w:tcPr>
            <w:tcW w:w="992"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338</w:t>
            </w:r>
          </w:p>
        </w:tc>
        <w:tc>
          <w:tcPr>
            <w:tcW w:w="1134"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33</w:t>
            </w:r>
          </w:p>
        </w:tc>
        <w:tc>
          <w:tcPr>
            <w:tcW w:w="1081" w:type="dxa"/>
            <w:shd w:val="clear" w:color="auto" w:fill="auto"/>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10.0</w:t>
            </w:r>
          </w:p>
        </w:tc>
        <w:tc>
          <w:tcPr>
            <w:tcW w:w="939"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0.4</w:t>
            </w:r>
          </w:p>
        </w:tc>
        <w:tc>
          <w:tcPr>
            <w:tcW w:w="1093"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1981.4</w:t>
            </w:r>
          </w:p>
        </w:tc>
        <w:tc>
          <w:tcPr>
            <w:tcW w:w="941"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-90.3</w:t>
            </w:r>
          </w:p>
        </w:tc>
        <w:tc>
          <w:tcPr>
            <w:tcW w:w="1093"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17.0</w:t>
            </w:r>
          </w:p>
        </w:tc>
        <w:tc>
          <w:tcPr>
            <w:tcW w:w="1096"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-9.0</w:t>
            </w:r>
          </w:p>
        </w:tc>
      </w:tr>
    </w:tbl>
    <w:p w:rsidR="003315FE" w:rsidRPr="006B3656" w:rsidRDefault="003315FE" w:rsidP="00BE2DF1">
      <w:pPr>
        <w:pStyle w:val="Heading1"/>
        <w:overflowPunct/>
        <w:autoSpaceDE/>
        <w:autoSpaceDN/>
        <w:adjustRightInd/>
        <w:ind w:firstLine="0"/>
        <w:jc w:val="left"/>
        <w:textAlignment w:val="auto"/>
        <w:rPr>
          <w:rFonts w:ascii="GHEA Grapalat" w:hAnsi="GHEA Grapalat" w:cs="GHEA Grapalat"/>
          <w:sz w:val="22"/>
          <w:szCs w:val="22"/>
          <w:lang w:val="hy-AM"/>
        </w:rPr>
      </w:pPr>
      <w:bookmarkStart w:id="38" w:name="_GoBack"/>
      <w:bookmarkEnd w:id="4"/>
      <w:bookmarkEnd w:id="5"/>
      <w:bookmarkEnd w:id="6"/>
      <w:bookmarkEnd w:id="38"/>
    </w:p>
    <w:sectPr w:rsidR="003315FE" w:rsidRPr="006B3656" w:rsidSect="00BE2DF1">
      <w:footerReference w:type="default" r:id="rId50"/>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C00" w:rsidRDefault="00324C00">
      <w:r>
        <w:separator/>
      </w:r>
    </w:p>
  </w:endnote>
  <w:endnote w:type="continuationSeparator" w:id="0">
    <w:p w:rsidR="00324C00" w:rsidRDefault="00324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B35" w:rsidRPr="00E37514" w:rsidRDefault="00841B35">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0B5DDF">
      <w:rPr>
        <w:rFonts w:ascii="GHEA Grapalat" w:hAnsi="GHEA Grapalat"/>
        <w:noProof/>
        <w:sz w:val="22"/>
        <w:szCs w:val="22"/>
      </w:rPr>
      <w:t>2</w:t>
    </w:r>
    <w:r w:rsidRPr="00E37514">
      <w:rPr>
        <w:rFonts w:ascii="GHEA Grapalat" w:hAnsi="GHEA Grapalat"/>
        <w:noProof/>
        <w:sz w:val="22"/>
        <w:szCs w:val="22"/>
      </w:rPr>
      <w:fldChar w:fldCharType="end"/>
    </w:r>
  </w:p>
  <w:p w:rsidR="00841B35" w:rsidRDefault="00841B3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B35" w:rsidRPr="00E37514" w:rsidRDefault="00841B35">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8C6E1F">
      <w:rPr>
        <w:rFonts w:ascii="GHEA Grapalat" w:hAnsi="GHEA Grapalat"/>
        <w:noProof/>
        <w:sz w:val="22"/>
        <w:szCs w:val="22"/>
      </w:rPr>
      <w:t>16</w:t>
    </w:r>
    <w:r w:rsidRPr="00E37514">
      <w:rPr>
        <w:rFonts w:ascii="GHEA Grapalat" w:hAnsi="GHEA Grapalat"/>
        <w:noProof/>
        <w:sz w:val="22"/>
        <w:szCs w:val="22"/>
      </w:rPr>
      <w:fldChar w:fldCharType="end"/>
    </w:r>
  </w:p>
  <w:p w:rsidR="00841B35" w:rsidRDefault="00841B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C00" w:rsidRDefault="00324C00">
      <w:r>
        <w:separator/>
      </w:r>
    </w:p>
  </w:footnote>
  <w:footnote w:type="continuationSeparator" w:id="0">
    <w:p w:rsidR="00324C00" w:rsidRDefault="00324C00">
      <w:r>
        <w:continuationSeparator/>
      </w:r>
    </w:p>
  </w:footnote>
  <w:footnote w:id="1">
    <w:p w:rsidR="00841B35" w:rsidRPr="00472D8F" w:rsidRDefault="00841B35" w:rsidP="004244D2">
      <w:pPr>
        <w:pStyle w:val="FootnoteText"/>
        <w:jc w:val="both"/>
        <w:rPr>
          <w:rFonts w:asciiTheme="minorHAnsi" w:hAnsiTheme="minorHAnsi"/>
          <w:lang w:val="hy-AM"/>
        </w:rPr>
      </w:pPr>
      <w:r>
        <w:rPr>
          <w:rStyle w:val="FootnoteReference"/>
        </w:rPr>
        <w:footnoteRef/>
      </w:r>
      <w:r>
        <w:t xml:space="preserve"> </w:t>
      </w:r>
      <w:r w:rsidRPr="00BF4320">
        <w:rPr>
          <w:rFonts w:ascii="GHEA Grapalat" w:hAnsi="GHEA Grapalat"/>
          <w:sz w:val="18"/>
          <w:szCs w:val="18"/>
          <w:lang w:val="hy-AM"/>
        </w:rPr>
        <w:t>Աճի տեմպը հաշվարկված է համադրելի ցուցանիշների վրա՝ ինչպես ընթացիկ, այնպես էլ համեմատվող տարում պետական բյուջեի եկամո</w:t>
      </w:r>
      <w:r>
        <w:rPr>
          <w:rFonts w:ascii="GHEA Grapalat" w:hAnsi="GHEA Grapalat"/>
          <w:sz w:val="18"/>
          <w:szCs w:val="18"/>
          <w:lang w:val="hy-AM"/>
        </w:rPr>
        <w:t>ւտների կազմում դիտարկելով հիպո</w:t>
      </w:r>
      <w:r>
        <w:rPr>
          <w:rFonts w:ascii="GHEA Grapalat" w:hAnsi="GHEA Grapalat"/>
          <w:sz w:val="18"/>
          <w:szCs w:val="18"/>
        </w:rPr>
        <w:t>տեկ</w:t>
      </w:r>
      <w:r w:rsidRPr="00BF4320">
        <w:rPr>
          <w:rFonts w:ascii="GHEA Grapalat" w:hAnsi="GHEA Grapalat"/>
          <w:sz w:val="18"/>
          <w:szCs w:val="18"/>
          <w:lang w:val="hy-AM"/>
        </w:rPr>
        <w:t>ի տոկոսագումարների դիմաց եկամտային հարկի վերադարձը, որի գծով հաշվետու ժամանակահատվա</w:t>
      </w:r>
      <w:r>
        <w:rPr>
          <w:rFonts w:ascii="GHEA Grapalat" w:hAnsi="GHEA Grapalat"/>
          <w:sz w:val="18"/>
          <w:szCs w:val="18"/>
          <w:lang w:val="hy-AM"/>
        </w:rPr>
        <w:t xml:space="preserve">ծում հատկացվել է 32.1 մլրդ դրամ, </w:t>
      </w:r>
      <w:r w:rsidRPr="008D5C81">
        <w:rPr>
          <w:rFonts w:ascii="GHEA Grapalat" w:hAnsi="GHEA Grapalat"/>
          <w:sz w:val="18"/>
          <w:szCs w:val="18"/>
          <w:lang w:val="hy-AM"/>
        </w:rPr>
        <w:t>իսկ նախորդ տարում</w:t>
      </w:r>
      <w:r>
        <w:rPr>
          <w:rFonts w:ascii="GHEA Grapalat" w:hAnsi="GHEA Grapalat"/>
          <w:sz w:val="18"/>
          <w:szCs w:val="18"/>
        </w:rPr>
        <w:t>՝</w:t>
      </w:r>
      <w:r w:rsidRPr="008D5C81">
        <w:rPr>
          <w:rFonts w:ascii="GHEA Grapalat" w:hAnsi="GHEA Grapalat"/>
          <w:sz w:val="18"/>
          <w:szCs w:val="18"/>
          <w:lang w:val="hy-AM"/>
        </w:rPr>
        <w:t xml:space="preserve"> </w:t>
      </w:r>
      <w:r>
        <w:rPr>
          <w:rFonts w:ascii="GHEA Grapalat" w:hAnsi="GHEA Grapalat"/>
          <w:sz w:val="18"/>
          <w:szCs w:val="18"/>
          <w:lang w:val="hy-AM"/>
        </w:rPr>
        <w:t>24.0</w:t>
      </w:r>
      <w:r w:rsidRPr="008D5C81">
        <w:rPr>
          <w:rFonts w:ascii="GHEA Grapalat" w:hAnsi="GHEA Grapalat"/>
          <w:sz w:val="18"/>
          <w:szCs w:val="18"/>
          <w:lang w:val="hy-AM"/>
        </w:rPr>
        <w:t xml:space="preserve"> մլրդ դրամ</w:t>
      </w:r>
      <w:r>
        <w:rPr>
          <w:rFonts w:ascii="GHEA Grapalat" w:hAnsi="GHEA Grapalat"/>
          <w:sz w:val="18"/>
          <w:szCs w:val="18"/>
          <w:lang w:val="hy-AM"/>
        </w:rPr>
        <w:t>:</w:t>
      </w:r>
    </w:p>
  </w:footnote>
  <w:footnote w:id="2">
    <w:p w:rsidR="00841B35" w:rsidRPr="00BE2DF1" w:rsidRDefault="00841B35" w:rsidP="004244D2">
      <w:pPr>
        <w:pStyle w:val="FootnoteText"/>
        <w:jc w:val="both"/>
        <w:rPr>
          <w:rFonts w:ascii="GHEA Grapalat" w:hAnsi="GHEA Grapalat"/>
          <w:sz w:val="18"/>
          <w:szCs w:val="18"/>
          <w:lang w:val="hy-AM"/>
        </w:rPr>
      </w:pPr>
      <w:r w:rsidRPr="00E309DA">
        <w:rPr>
          <w:rStyle w:val="FootnoteReference"/>
          <w:rFonts w:ascii="GHEA Grapalat" w:hAnsi="GHEA Grapalat"/>
          <w:sz w:val="18"/>
          <w:szCs w:val="18"/>
        </w:rPr>
        <w:footnoteRef/>
      </w:r>
      <w:r w:rsidRPr="00BE2DF1">
        <w:rPr>
          <w:rFonts w:ascii="GHEA Grapalat" w:hAnsi="GHEA Grapalat"/>
          <w:sz w:val="18"/>
          <w:szCs w:val="18"/>
          <w:lang w:val="hy-AM"/>
        </w:rPr>
        <w:t xml:space="preserve"> Աղբյուրը՝ Տնտեսական վերլուծությունների բյուրո, </w:t>
      </w:r>
      <w:r w:rsidRPr="00BE2DF1">
        <w:rPr>
          <w:lang w:val="hy-AM"/>
        </w:rPr>
        <w:t>https://www.bea.gov</w:t>
      </w:r>
      <w:r w:rsidRPr="00BE2DF1">
        <w:rPr>
          <w:rFonts w:ascii="GHEA Grapalat" w:hAnsi="GHEA Grapalat"/>
          <w:sz w:val="18"/>
          <w:szCs w:val="18"/>
          <w:lang w:val="hy-AM"/>
        </w:rPr>
        <w:t xml:space="preserve">/ </w:t>
      </w:r>
    </w:p>
  </w:footnote>
  <w:footnote w:id="3">
    <w:p w:rsidR="00841B35" w:rsidRPr="00BE2DF1" w:rsidRDefault="00841B35" w:rsidP="004244D2">
      <w:pPr>
        <w:pStyle w:val="FootnoteText"/>
        <w:jc w:val="both"/>
        <w:rPr>
          <w:rFonts w:ascii="GHEA Grapalat" w:hAnsi="GHEA Grapalat"/>
          <w:sz w:val="18"/>
          <w:szCs w:val="18"/>
          <w:lang w:val="hy-AM"/>
        </w:rPr>
      </w:pPr>
      <w:r w:rsidRPr="00E309DA">
        <w:rPr>
          <w:rStyle w:val="FootnoteReference"/>
          <w:rFonts w:ascii="GHEA Grapalat" w:hAnsi="GHEA Grapalat"/>
          <w:sz w:val="18"/>
          <w:szCs w:val="18"/>
        </w:rPr>
        <w:footnoteRef/>
      </w:r>
      <w:r w:rsidRPr="00BE2DF1">
        <w:rPr>
          <w:rFonts w:ascii="GHEA Grapalat" w:hAnsi="GHEA Grapalat"/>
          <w:sz w:val="18"/>
          <w:szCs w:val="18"/>
          <w:lang w:val="hy-AM"/>
        </w:rPr>
        <w:t xml:space="preserve"> Աղբյուրը՝ Եվրոստատ, </w:t>
      </w:r>
      <w:hyperlink r:id="rId1" w:history="1">
        <w:r w:rsidRPr="00BE2DF1">
          <w:rPr>
            <w:rStyle w:val="Hyperlink"/>
            <w:rFonts w:ascii="GHEA Grapalat" w:hAnsi="GHEA Grapalat"/>
            <w:sz w:val="18"/>
            <w:szCs w:val="18"/>
            <w:lang w:val="hy-AM"/>
          </w:rPr>
          <w:t>https://ec.europa.eu/eurostat/</w:t>
        </w:r>
      </w:hyperlink>
      <w:r w:rsidRPr="00BE2DF1">
        <w:rPr>
          <w:rFonts w:ascii="GHEA Grapalat" w:hAnsi="GHEA Grapalat"/>
          <w:sz w:val="18"/>
          <w:szCs w:val="18"/>
          <w:lang w:val="hy-AM"/>
        </w:rPr>
        <w:t xml:space="preserve"> </w:t>
      </w:r>
    </w:p>
  </w:footnote>
  <w:footnote w:id="4">
    <w:p w:rsidR="00841B35" w:rsidRPr="00BE2DF1" w:rsidRDefault="00841B35" w:rsidP="004244D2">
      <w:pPr>
        <w:pStyle w:val="FootnoteText"/>
        <w:jc w:val="both"/>
        <w:rPr>
          <w:rFonts w:ascii="GHEA Grapalat" w:hAnsi="GHEA Grapalat"/>
          <w:sz w:val="18"/>
          <w:szCs w:val="18"/>
          <w:lang w:val="hy-AM"/>
        </w:rPr>
      </w:pPr>
      <w:r w:rsidRPr="00E309DA">
        <w:rPr>
          <w:rStyle w:val="FootnoteReference"/>
          <w:rFonts w:ascii="GHEA Grapalat" w:hAnsi="GHEA Grapalat"/>
          <w:sz w:val="18"/>
          <w:szCs w:val="18"/>
        </w:rPr>
        <w:footnoteRef/>
      </w:r>
      <w:r w:rsidRPr="00BE2DF1">
        <w:rPr>
          <w:rFonts w:ascii="GHEA Grapalat" w:hAnsi="GHEA Grapalat"/>
          <w:sz w:val="18"/>
          <w:szCs w:val="18"/>
          <w:lang w:val="hy-AM"/>
        </w:rPr>
        <w:t xml:space="preserve"> Աղբյուրը՝ Չինաստանի վիճակագրության ազգային բյուրո, </w:t>
      </w:r>
      <w:hyperlink r:id="rId2" w:history="1">
        <w:r w:rsidRPr="00BE2DF1">
          <w:rPr>
            <w:rStyle w:val="Hyperlink"/>
            <w:rFonts w:ascii="GHEA Grapalat" w:hAnsi="GHEA Grapalat"/>
            <w:sz w:val="18"/>
            <w:szCs w:val="18"/>
            <w:lang w:val="hy-AM"/>
          </w:rPr>
          <w:t>http://www.stats.gov.cn/</w:t>
        </w:r>
      </w:hyperlink>
      <w:r w:rsidRPr="00BE2DF1">
        <w:rPr>
          <w:rFonts w:ascii="GHEA Grapalat" w:hAnsi="GHEA Grapalat"/>
          <w:sz w:val="18"/>
          <w:szCs w:val="18"/>
          <w:lang w:val="hy-AM"/>
        </w:rPr>
        <w:t xml:space="preserve"> </w:t>
      </w:r>
    </w:p>
  </w:footnote>
  <w:footnote w:id="5">
    <w:p w:rsidR="00841B35" w:rsidRPr="00BE2DF1" w:rsidRDefault="00841B35" w:rsidP="004244D2">
      <w:pPr>
        <w:pStyle w:val="FootnoteText"/>
        <w:rPr>
          <w:lang w:val="hy-AM"/>
        </w:rPr>
      </w:pPr>
      <w:r>
        <w:rPr>
          <w:rStyle w:val="FootnoteReference"/>
        </w:rPr>
        <w:footnoteRef/>
      </w:r>
      <w:r w:rsidRPr="00BE2DF1">
        <w:rPr>
          <w:lang w:val="hy-AM"/>
        </w:rPr>
        <w:t xml:space="preserve"> </w:t>
      </w:r>
      <w:r w:rsidRPr="00BE2DF1">
        <w:rPr>
          <w:rFonts w:ascii="GHEA Grapalat" w:hAnsi="GHEA Grapalat"/>
          <w:sz w:val="18"/>
          <w:szCs w:val="18"/>
          <w:lang w:val="hy-AM"/>
        </w:rPr>
        <w:t xml:space="preserve">Աղբյուրը՝ ՌԴ տնտեսական զարգացման նախարարություն, </w:t>
      </w:r>
      <w:hyperlink r:id="rId3" w:history="1">
        <w:r w:rsidRPr="00BE2DF1">
          <w:rPr>
            <w:rStyle w:val="Hyperlink"/>
            <w:rFonts w:ascii="GHEA Grapalat" w:hAnsi="GHEA Grapalat"/>
            <w:sz w:val="18"/>
            <w:szCs w:val="18"/>
            <w:lang w:val="hy-AM"/>
          </w:rPr>
          <w:t>https://economy.gov.ru/</w:t>
        </w:r>
      </w:hyperlink>
    </w:p>
  </w:footnote>
  <w:footnote w:id="6">
    <w:p w:rsidR="00841B35" w:rsidRPr="00BE2DF1" w:rsidRDefault="00841B35" w:rsidP="004244D2">
      <w:pPr>
        <w:pStyle w:val="FootnoteText"/>
        <w:rPr>
          <w:lang w:val="hy-AM"/>
        </w:rPr>
      </w:pPr>
      <w:r>
        <w:rPr>
          <w:rStyle w:val="FootnoteReference"/>
        </w:rPr>
        <w:footnoteRef/>
      </w:r>
      <w:r w:rsidRPr="00BE2DF1">
        <w:rPr>
          <w:lang w:val="hy-AM"/>
        </w:rPr>
        <w:t xml:space="preserve"> </w:t>
      </w:r>
      <w:r w:rsidRPr="00BE2DF1">
        <w:rPr>
          <w:rFonts w:ascii="GHEA Grapalat" w:hAnsi="GHEA Grapalat"/>
          <w:sz w:val="18"/>
          <w:szCs w:val="18"/>
          <w:lang w:val="hy-AM"/>
        </w:rPr>
        <w:t>ՌԴ 2024թ. երկրորդ եռամսյակի տնտեսական աճի ցուցանիշը նախնական գնահատական է՝ հիմնված տնտեսական ակտիվության ցուցանիշի վրա:</w:t>
      </w:r>
    </w:p>
  </w:footnote>
  <w:footnote w:id="7">
    <w:p w:rsidR="00841B35" w:rsidRPr="00BE2DF1" w:rsidRDefault="00841B35" w:rsidP="004244D2">
      <w:pPr>
        <w:pStyle w:val="FootnoteText"/>
        <w:jc w:val="both"/>
        <w:rPr>
          <w:rFonts w:ascii="GHEA Grapalat" w:hAnsi="GHEA Grapalat"/>
          <w:sz w:val="18"/>
          <w:szCs w:val="18"/>
          <w:lang w:val="hy-AM"/>
        </w:rPr>
      </w:pPr>
      <w:r w:rsidRPr="00E309DA">
        <w:rPr>
          <w:rStyle w:val="FootnoteReference"/>
          <w:rFonts w:ascii="GHEA Grapalat" w:hAnsi="GHEA Grapalat"/>
          <w:sz w:val="18"/>
          <w:szCs w:val="18"/>
        </w:rPr>
        <w:footnoteRef/>
      </w:r>
      <w:r w:rsidRPr="00BE2DF1">
        <w:rPr>
          <w:rFonts w:ascii="GHEA Grapalat" w:hAnsi="GHEA Grapalat"/>
          <w:sz w:val="18"/>
          <w:szCs w:val="18"/>
          <w:lang w:val="hy-AM"/>
        </w:rPr>
        <w:t xml:space="preserve"> ԱՄՆ համար դիտարկվել է դաշնային ֆոնդերի արդյունավետ տոկոսադրույքը, ԵԳ համար՝ հիմնական վերաֆինանսավորման տոկոսադրույքը, Չինաստանի համար՝ վարկավորման մեկ տարվա տոկոսադրույքը (</w:t>
      </w:r>
      <w:r w:rsidRPr="00BE2DF1">
        <w:rPr>
          <w:rFonts w:ascii="GHEA Grapalat" w:hAnsi="GHEA Grapalat" w:cs="Arial"/>
          <w:color w:val="000000"/>
          <w:sz w:val="18"/>
          <w:szCs w:val="18"/>
          <w:shd w:val="clear" w:color="auto" w:fill="FFFFFF"/>
          <w:lang w:val="hy-AM"/>
        </w:rPr>
        <w:t>one-year loan prime rate</w:t>
      </w:r>
      <w:r w:rsidRPr="00BE2DF1">
        <w:rPr>
          <w:rFonts w:ascii="GHEA Grapalat" w:hAnsi="GHEA Grapalat"/>
          <w:sz w:val="18"/>
          <w:szCs w:val="18"/>
          <w:lang w:val="hy-AM"/>
        </w:rPr>
        <w:t>), ՌԴ համար՝ հիմնական տոկոսադրույքը:</w:t>
      </w:r>
    </w:p>
  </w:footnote>
  <w:footnote w:id="8">
    <w:p w:rsidR="00841B35" w:rsidRPr="00BE2DF1" w:rsidRDefault="00841B35" w:rsidP="004244D2">
      <w:pPr>
        <w:pStyle w:val="FootnoteText"/>
        <w:jc w:val="both"/>
        <w:rPr>
          <w:rFonts w:ascii="GHEA Grapalat" w:hAnsi="GHEA Grapalat"/>
          <w:sz w:val="18"/>
          <w:szCs w:val="18"/>
          <w:lang w:val="hy-AM"/>
        </w:rPr>
      </w:pPr>
      <w:r w:rsidRPr="00E309DA">
        <w:rPr>
          <w:rStyle w:val="FootnoteReference"/>
          <w:rFonts w:ascii="GHEA Grapalat" w:hAnsi="GHEA Grapalat"/>
          <w:sz w:val="18"/>
          <w:szCs w:val="18"/>
        </w:rPr>
        <w:footnoteRef/>
      </w:r>
      <w:r w:rsidRPr="00BE2DF1">
        <w:rPr>
          <w:rFonts w:ascii="GHEA Grapalat" w:hAnsi="GHEA Grapalat"/>
          <w:sz w:val="18"/>
          <w:szCs w:val="18"/>
          <w:lang w:val="hy-AM"/>
        </w:rPr>
        <w:t xml:space="preserve"> Աղբյուրը՝ Համաշխարհային բանկ, </w:t>
      </w:r>
      <w:hyperlink r:id="rId4" w:history="1">
        <w:r w:rsidRPr="00BE2DF1">
          <w:rPr>
            <w:rStyle w:val="Hyperlink"/>
            <w:rFonts w:ascii="GHEA Grapalat" w:hAnsi="GHEA Grapalat"/>
            <w:sz w:val="18"/>
            <w:szCs w:val="18"/>
            <w:lang w:val="hy-AM"/>
          </w:rPr>
          <w:t>https://www.worldbank.org/en/research/commodity-markets</w:t>
        </w:r>
      </w:hyperlink>
      <w:r w:rsidRPr="00BE2DF1">
        <w:rPr>
          <w:rFonts w:ascii="GHEA Grapalat" w:hAnsi="GHEA Grapalat"/>
          <w:sz w:val="18"/>
          <w:szCs w:val="18"/>
          <w:lang w:val="hy-AM"/>
        </w:rPr>
        <w:t xml:space="preserve"> </w:t>
      </w:r>
    </w:p>
  </w:footnote>
  <w:footnote w:id="9">
    <w:p w:rsidR="00841B35" w:rsidRPr="00BE2DF1" w:rsidRDefault="00841B35" w:rsidP="004244D2">
      <w:pPr>
        <w:pStyle w:val="FootnoteText"/>
        <w:rPr>
          <w:rFonts w:ascii="GHEA Grapalat" w:hAnsi="GHEA Grapalat"/>
          <w:sz w:val="18"/>
          <w:szCs w:val="18"/>
          <w:lang w:val="hy-AM"/>
        </w:rPr>
      </w:pPr>
      <w:r w:rsidRPr="004821AA">
        <w:rPr>
          <w:rStyle w:val="FootnoteReference"/>
          <w:rFonts w:ascii="GHEA Grapalat" w:hAnsi="GHEA Grapalat"/>
          <w:sz w:val="18"/>
          <w:szCs w:val="18"/>
        </w:rPr>
        <w:footnoteRef/>
      </w:r>
      <w:r w:rsidRPr="00BE2DF1">
        <w:rPr>
          <w:rFonts w:ascii="GHEA Grapalat" w:hAnsi="GHEA Grapalat"/>
          <w:sz w:val="18"/>
          <w:szCs w:val="18"/>
          <w:lang w:val="hy-AM"/>
        </w:rPr>
        <w:t xml:space="preserve"> Աղբյուրը՝ ՄԱԿ-ի պարենի և գյուղատնտեսության կազմակերպություն </w:t>
      </w:r>
      <w:hyperlink r:id="rId5" w:history="1">
        <w:r w:rsidRPr="00BE2DF1">
          <w:rPr>
            <w:rStyle w:val="Hyperlink"/>
            <w:rFonts w:ascii="GHEA Grapalat" w:hAnsi="GHEA Grapalat"/>
            <w:sz w:val="18"/>
            <w:szCs w:val="18"/>
            <w:lang w:val="hy-AM"/>
          </w:rPr>
          <w:t>https://www.fao.org/worldfoodsituation/foodpricesindex/en/</w:t>
        </w:r>
      </w:hyperlink>
      <w:r w:rsidRPr="00BE2DF1">
        <w:rPr>
          <w:rFonts w:ascii="GHEA Grapalat" w:hAnsi="GHEA Grapalat"/>
          <w:sz w:val="18"/>
          <w:szCs w:val="18"/>
          <w:lang w:val="hy-AM"/>
        </w:rPr>
        <w:t xml:space="preserve"> </w:t>
      </w:r>
    </w:p>
  </w:footnote>
  <w:footnote w:id="10">
    <w:p w:rsidR="00841B35" w:rsidRPr="00BE2DF1" w:rsidRDefault="00841B35" w:rsidP="007A0BD0">
      <w:pPr>
        <w:pStyle w:val="FootnoteText"/>
        <w:jc w:val="both"/>
        <w:rPr>
          <w:rFonts w:ascii="GHEA Grapalat" w:hAnsi="GHEA Grapalat"/>
          <w:sz w:val="18"/>
          <w:szCs w:val="18"/>
          <w:lang w:val="hy-AM"/>
        </w:rPr>
      </w:pPr>
      <w:r w:rsidRPr="00451586">
        <w:rPr>
          <w:rStyle w:val="FootnoteReference"/>
          <w:rFonts w:ascii="GHEA Grapalat" w:hAnsi="GHEA Grapalat"/>
          <w:sz w:val="18"/>
          <w:szCs w:val="18"/>
        </w:rPr>
        <w:footnoteRef/>
      </w:r>
      <w:r w:rsidRPr="00BE2DF1">
        <w:rPr>
          <w:rFonts w:ascii="GHEA Grapalat" w:hAnsi="GHEA Grapalat"/>
          <w:sz w:val="18"/>
          <w:szCs w:val="18"/>
          <w:lang w:val="hy-AM"/>
        </w:rPr>
        <w:t xml:space="preserve"> 2024 թվականի ապրիլ ամսին ՀՀ ՎԿ-ն ճշգրտել է արդյունաբերության արտադրանքի ծավալների տվյալները՝ տնտեսական գործունեության տեսակների 24 (հիմնային մետաղների արտադրություն) և 32 (արտադրատեսակների արտադրություն, չներառված ուրիշ խմբավորումներում, այդ թվում՝ ոսկերչական արտադրանքի արտադրություն) ծածկագրերով հատվածների միջև վերադասակարգման միջոցով, ինչով պայմանավորված` վերանայվել են նաև նախորդ երեք ամիսների արդյունաբերության ցուցանիշները:</w:t>
      </w:r>
    </w:p>
  </w:footnote>
  <w:footnote w:id="11">
    <w:p w:rsidR="00841B35" w:rsidRPr="00BE2DF1" w:rsidRDefault="00841B35" w:rsidP="007A0BD0">
      <w:pPr>
        <w:pStyle w:val="FootnoteText"/>
        <w:jc w:val="both"/>
        <w:rPr>
          <w:rFonts w:ascii="GHEA Grapalat" w:hAnsi="GHEA Grapalat"/>
          <w:sz w:val="18"/>
          <w:szCs w:val="18"/>
          <w:lang w:val="hy-AM"/>
        </w:rPr>
      </w:pPr>
      <w:r w:rsidRPr="00451586">
        <w:rPr>
          <w:rStyle w:val="FootnoteReference"/>
          <w:rFonts w:ascii="GHEA Grapalat" w:hAnsi="GHEA Grapalat"/>
          <w:sz w:val="18"/>
          <w:szCs w:val="18"/>
        </w:rPr>
        <w:footnoteRef/>
      </w:r>
      <w:r w:rsidRPr="00BE2DF1">
        <w:rPr>
          <w:rFonts w:ascii="GHEA Grapalat" w:hAnsi="GHEA Grapalat"/>
          <w:sz w:val="18"/>
          <w:szCs w:val="18"/>
          <w:lang w:val="hy-AM"/>
        </w:rPr>
        <w:t xml:space="preserve"> Պետք է հաշվի առնել, որ տնտեսական ակտիվության 10.4% աճն իրենից ներկայացնում է թողարկման աճ (իր մեջ ներառում է նաև միջանկյալ սպառման փոփոխության ազդեցությունը): Հաշվի առնելով վերոնշյալ աճը պայմանավորող ենթաճյուղերի ավելացված արժեք ստեղծելու հնարավորությունը՝ տնտեսական աճի ցուցանիշը կարող է էականորեն տարբերվել:</w:t>
      </w:r>
    </w:p>
  </w:footnote>
  <w:footnote w:id="12">
    <w:p w:rsidR="00841B35" w:rsidRPr="00BE2DF1" w:rsidRDefault="00841B35" w:rsidP="007A0BD0">
      <w:pPr>
        <w:pStyle w:val="FootnoteText"/>
        <w:rPr>
          <w:rFonts w:ascii="GHEA Grapalat" w:hAnsi="GHEA Grapalat"/>
          <w:sz w:val="18"/>
          <w:szCs w:val="18"/>
          <w:lang w:val="hy-AM"/>
        </w:rPr>
      </w:pPr>
      <w:r w:rsidRPr="00D0518B">
        <w:rPr>
          <w:rStyle w:val="FootnoteReference"/>
          <w:rFonts w:ascii="GHEA Grapalat" w:hAnsi="GHEA Grapalat"/>
          <w:sz w:val="18"/>
          <w:szCs w:val="18"/>
        </w:rPr>
        <w:footnoteRef/>
      </w:r>
      <w:r w:rsidRPr="00BE2DF1">
        <w:rPr>
          <w:rFonts w:ascii="GHEA Grapalat" w:hAnsi="GHEA Grapalat"/>
          <w:sz w:val="18"/>
          <w:szCs w:val="18"/>
          <w:lang w:val="hy-AM"/>
        </w:rPr>
        <w:t xml:space="preserve"> Ճյուղերի մանրամասն ցուցանիշները ներկայացված են Աղյուսակ 1-ում:</w:t>
      </w:r>
    </w:p>
  </w:footnote>
  <w:footnote w:id="13">
    <w:p w:rsidR="00841B35" w:rsidRPr="00BE2DF1" w:rsidRDefault="00841B35" w:rsidP="007A0BD0">
      <w:pPr>
        <w:pStyle w:val="FootnoteText"/>
        <w:jc w:val="both"/>
        <w:rPr>
          <w:rFonts w:ascii="GHEA Grapalat" w:hAnsi="GHEA Grapalat"/>
          <w:sz w:val="18"/>
          <w:szCs w:val="18"/>
          <w:lang w:val="hy-AM"/>
        </w:rPr>
      </w:pPr>
      <w:r w:rsidRPr="0009703B">
        <w:rPr>
          <w:rStyle w:val="FootnoteReference"/>
          <w:rFonts w:ascii="GHEA Grapalat" w:hAnsi="GHEA Grapalat"/>
          <w:sz w:val="18"/>
          <w:szCs w:val="18"/>
        </w:rPr>
        <w:footnoteRef/>
      </w:r>
      <w:r w:rsidRPr="00BE2DF1">
        <w:rPr>
          <w:rFonts w:ascii="GHEA Grapalat" w:hAnsi="GHEA Grapalat"/>
          <w:sz w:val="18"/>
          <w:szCs w:val="18"/>
          <w:lang w:val="hy-AM"/>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14">
    <w:p w:rsidR="00841B35" w:rsidRPr="00BE2DF1" w:rsidRDefault="00841B35" w:rsidP="007A0BD0">
      <w:pPr>
        <w:pStyle w:val="FootnoteText"/>
        <w:rPr>
          <w:rFonts w:ascii="GHEA Grapalat" w:hAnsi="GHEA Grapalat"/>
          <w:sz w:val="18"/>
          <w:szCs w:val="18"/>
          <w:lang w:val="hy-AM"/>
        </w:rPr>
      </w:pPr>
      <w:r w:rsidRPr="0009703B">
        <w:rPr>
          <w:rStyle w:val="FootnoteReference"/>
          <w:rFonts w:ascii="GHEA Grapalat" w:hAnsi="GHEA Grapalat"/>
          <w:sz w:val="18"/>
          <w:szCs w:val="18"/>
        </w:rPr>
        <w:footnoteRef/>
      </w:r>
      <w:r w:rsidRPr="00BE2DF1">
        <w:rPr>
          <w:rFonts w:ascii="GHEA Grapalat" w:eastAsia="GHEA Grapalat" w:hAnsi="GHEA Grapalat" w:cs="GHEA Grapalat"/>
          <w:color w:val="000000"/>
          <w:sz w:val="18"/>
          <w:szCs w:val="18"/>
          <w:lang w:val="hy-AM"/>
        </w:rPr>
        <w:t xml:space="preserve"> Համախառն պահանջարկի ցուցանիշները ՀՀ ֆինանսների նախարարության գնահատականներն են:</w:t>
      </w:r>
    </w:p>
  </w:footnote>
  <w:footnote w:id="15">
    <w:p w:rsidR="00841B35" w:rsidRPr="00816DD7" w:rsidRDefault="00841B35" w:rsidP="007A0BD0">
      <w:pPr>
        <w:jc w:val="both"/>
        <w:rPr>
          <w:rFonts w:ascii="GHEA Grapalat" w:eastAsia="GHEA Grapalat" w:hAnsi="GHEA Grapalat" w:cs="GHEA Grapalat"/>
          <w:color w:val="000000"/>
          <w:sz w:val="18"/>
          <w:szCs w:val="18"/>
          <w:lang w:val="hy-AM"/>
        </w:rPr>
      </w:pPr>
      <w:r w:rsidRPr="00816DD7">
        <w:rPr>
          <w:rStyle w:val="FootnoteReference"/>
          <w:rFonts w:ascii="GHEA Grapalat" w:hAnsi="GHEA Grapalat"/>
          <w:sz w:val="18"/>
          <w:szCs w:val="18"/>
        </w:rPr>
        <w:footnoteRef/>
      </w:r>
      <w:r w:rsidRPr="00816DD7">
        <w:rPr>
          <w:rFonts w:ascii="GHEA Grapalat" w:eastAsia="GHEA Grapalat" w:hAnsi="GHEA Grapalat" w:cs="GHEA Grapalat"/>
          <w:color w:val="000000"/>
          <w:sz w:val="18"/>
          <w:szCs w:val="18"/>
          <w:lang w:val="hy-AM"/>
        </w:rPr>
        <w:t xml:space="preserve"> </w:t>
      </w:r>
      <w:r w:rsidRPr="00816DD7">
        <w:rPr>
          <w:rFonts w:ascii="GHEA Grapalat" w:eastAsia="GHEA Grapalat" w:hAnsi="GHEA Grapalat"/>
          <w:color w:val="000000"/>
          <w:sz w:val="18"/>
          <w:szCs w:val="18"/>
          <w:lang w:val="hy-AM"/>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6">
    <w:p w:rsidR="00841B35" w:rsidRPr="00AD39D0" w:rsidRDefault="00841B35" w:rsidP="007A0BD0">
      <w:pPr>
        <w:jc w:val="both"/>
        <w:rPr>
          <w:rFonts w:ascii="GHEA Grapalat" w:eastAsia="GHEA Grapalat" w:hAnsi="GHEA Grapalat"/>
          <w:color w:val="000000"/>
          <w:sz w:val="18"/>
          <w:szCs w:val="18"/>
          <w:lang w:val="hy-AM"/>
        </w:rPr>
      </w:pPr>
      <w:r w:rsidRPr="00816DD7">
        <w:rPr>
          <w:rFonts w:ascii="GHEA Grapalat" w:eastAsia="GHEA Grapalat" w:hAnsi="GHEA Grapalat"/>
          <w:color w:val="000000"/>
          <w:sz w:val="18"/>
          <w:szCs w:val="18"/>
          <w:vertAlign w:val="superscript"/>
        </w:rPr>
        <w:footnoteRef/>
      </w:r>
      <w:r w:rsidRPr="00816DD7">
        <w:rPr>
          <w:rFonts w:ascii="GHEA Grapalat" w:eastAsia="GHEA Grapalat" w:hAnsi="GHEA Grapalat"/>
          <w:color w:val="000000"/>
          <w:sz w:val="18"/>
          <w:szCs w:val="18"/>
          <w:lang w:val="hy-AM"/>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7">
    <w:p w:rsidR="00841B35" w:rsidRPr="00382BFA" w:rsidRDefault="00841B35" w:rsidP="00EC7354">
      <w:pPr>
        <w:pBdr>
          <w:top w:val="nil"/>
          <w:left w:val="nil"/>
          <w:bottom w:val="nil"/>
          <w:right w:val="nil"/>
          <w:between w:val="nil"/>
        </w:pBdr>
        <w:jc w:val="both"/>
        <w:rPr>
          <w:rFonts w:ascii="GHEA Grapalat" w:hAnsi="GHEA Grapalat"/>
          <w:sz w:val="18"/>
          <w:szCs w:val="18"/>
          <w:lang w:val="hy-AM"/>
        </w:rPr>
      </w:pPr>
      <w:r w:rsidRPr="00382BFA">
        <w:rPr>
          <w:rStyle w:val="FootnoteReference"/>
          <w:rFonts w:ascii="GHEA Grapalat" w:hAnsi="GHEA Grapalat"/>
          <w:sz w:val="18"/>
          <w:szCs w:val="18"/>
        </w:rPr>
        <w:footnoteRef/>
      </w:r>
      <w:r w:rsidRPr="00382BFA">
        <w:rPr>
          <w:rFonts w:ascii="GHEA Grapalat" w:eastAsia="GHEA Grapalat" w:hAnsi="GHEA Grapalat" w:cs="GHEA Grapalat"/>
          <w:color w:val="000000"/>
          <w:sz w:val="18"/>
          <w:szCs w:val="18"/>
          <w:lang w:val="hy-AM"/>
        </w:rPr>
        <w:t xml:space="preserve"> </w:t>
      </w:r>
      <w:r w:rsidRPr="00382BFA">
        <w:rPr>
          <w:rFonts w:ascii="GHEA Grapalat" w:hAnsi="GHEA Grapalat"/>
          <w:sz w:val="18"/>
          <w:szCs w:val="18"/>
          <w:lang w:val="hy-AM"/>
        </w:rPr>
        <w:t xml:space="preserve">Ներմուծման տվյալները ներկայացված են ՍԻՖ գներով: </w:t>
      </w:r>
    </w:p>
  </w:footnote>
  <w:footnote w:id="18">
    <w:p w:rsidR="00841B35" w:rsidRPr="00BE2DF1" w:rsidRDefault="00841B35" w:rsidP="00EC7354">
      <w:pPr>
        <w:pStyle w:val="FootnoteText"/>
        <w:rPr>
          <w:rFonts w:ascii="GHEA Grapalat" w:eastAsia="GHEA Grapalat" w:hAnsi="GHEA Grapalat" w:cs="GHEA Grapalat"/>
          <w:color w:val="000000"/>
          <w:sz w:val="18"/>
          <w:szCs w:val="18"/>
          <w:lang w:val="hy-AM"/>
        </w:rPr>
      </w:pPr>
      <w:r w:rsidRPr="00382BFA">
        <w:rPr>
          <w:rStyle w:val="FootnoteReference"/>
          <w:rFonts w:ascii="GHEA Grapalat" w:hAnsi="GHEA Grapalat"/>
          <w:sz w:val="18"/>
          <w:szCs w:val="18"/>
        </w:rPr>
        <w:footnoteRef/>
      </w:r>
      <w:r w:rsidRPr="00BE2DF1">
        <w:rPr>
          <w:rFonts w:ascii="GHEA Grapalat" w:hAnsi="GHEA Grapalat"/>
          <w:sz w:val="18"/>
          <w:szCs w:val="18"/>
          <w:lang w:val="hy-AM"/>
        </w:rPr>
        <w:t xml:space="preserve"> </w:t>
      </w:r>
      <w:r w:rsidRPr="00BE2DF1">
        <w:rPr>
          <w:rFonts w:ascii="GHEA Grapalat" w:eastAsia="GHEA Grapalat" w:hAnsi="GHEA Grapalat" w:cs="GHEA Grapalat"/>
          <w:color w:val="000000"/>
          <w:sz w:val="18"/>
          <w:szCs w:val="18"/>
          <w:lang w:val="hy-AM"/>
        </w:rPr>
        <w:t>Աղբյուրը` ՀՀ վիճակագրական կոմիտե, «Հայաստանի Հանրապետության սոցիալ-տնտեսական վիճակը» ամսական զեկույցներ:</w:t>
      </w:r>
    </w:p>
  </w:footnote>
  <w:footnote w:id="19">
    <w:p w:rsidR="00841B35" w:rsidRPr="00BE2DF1" w:rsidRDefault="00841B35" w:rsidP="00EC7354">
      <w:pPr>
        <w:pStyle w:val="FootnoteText"/>
        <w:jc w:val="both"/>
        <w:rPr>
          <w:rFonts w:ascii="GHEA Grapalat" w:hAnsi="GHEA Grapalat"/>
          <w:iCs/>
          <w:sz w:val="18"/>
          <w:szCs w:val="18"/>
          <w:lang w:val="hy-AM"/>
        </w:rPr>
      </w:pPr>
      <w:r w:rsidRPr="004821AA">
        <w:rPr>
          <w:rStyle w:val="FootnoteReference"/>
          <w:rFonts w:ascii="GHEA Grapalat" w:hAnsi="GHEA Grapalat"/>
          <w:sz w:val="18"/>
          <w:szCs w:val="18"/>
        </w:rPr>
        <w:footnoteRef/>
      </w:r>
      <w:r w:rsidRPr="00BE2DF1">
        <w:rPr>
          <w:rFonts w:ascii="GHEA Grapalat" w:eastAsia="GHEA Grapalat" w:hAnsi="GHEA Grapalat" w:cs="GHEA Grapalat"/>
          <w:iCs/>
          <w:color w:val="000000"/>
          <w:sz w:val="18"/>
          <w:szCs w:val="18"/>
          <w:lang w:val="hy-AM"/>
        </w:rPr>
        <w:t xml:space="preserve">Մանրամասն ցուցանիշները ներկայացված են </w:t>
      </w:r>
      <w:r w:rsidRPr="00BE2DF1">
        <w:rPr>
          <w:rFonts w:ascii="GHEA Grapalat" w:hAnsi="GHEA Grapalat"/>
          <w:sz w:val="18"/>
          <w:szCs w:val="18"/>
          <w:lang w:val="hy-AM"/>
        </w:rPr>
        <w:t>Աղյուսակ 3-ում</w:t>
      </w:r>
      <w:r w:rsidRPr="00BE2DF1">
        <w:rPr>
          <w:rFonts w:ascii="GHEA Grapalat" w:eastAsia="GHEA Grapalat" w:hAnsi="GHEA Grapalat" w:cs="GHEA Grapalat"/>
          <w:iCs/>
          <w:color w:val="000000"/>
          <w:sz w:val="18"/>
          <w:szCs w:val="18"/>
          <w:lang w:val="hy-AM"/>
        </w:rPr>
        <w:t>:</w:t>
      </w:r>
    </w:p>
  </w:footnote>
  <w:footnote w:id="20">
    <w:p w:rsidR="00841B35" w:rsidRPr="00BE2DF1" w:rsidRDefault="00841B35" w:rsidP="00E123C8">
      <w:pPr>
        <w:pStyle w:val="FootnoteText"/>
        <w:tabs>
          <w:tab w:val="left" w:pos="142"/>
        </w:tabs>
        <w:jc w:val="both"/>
        <w:rPr>
          <w:rFonts w:ascii="GHEA Grapalat" w:hAnsi="GHEA Grapalat" w:cs="Sylfaen"/>
          <w:sz w:val="18"/>
          <w:szCs w:val="18"/>
          <w:lang w:val="hy-AM"/>
        </w:rPr>
      </w:pPr>
      <w:r w:rsidRPr="00583AC3">
        <w:rPr>
          <w:rStyle w:val="FootnoteReference"/>
          <w:szCs w:val="18"/>
        </w:rPr>
        <w:footnoteRef/>
      </w:r>
      <w:r w:rsidRPr="00BE2DF1">
        <w:rPr>
          <w:rFonts w:ascii="GHEA Grapalat" w:eastAsia="GHEA Grapalat" w:hAnsi="GHEA Grapalat" w:cs="GHEA Grapalat"/>
          <w:color w:val="000000"/>
          <w:sz w:val="18"/>
          <w:szCs w:val="18"/>
          <w:lang w:val="hy-AM"/>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1">
    <w:p w:rsidR="00841B35" w:rsidRPr="00BE2DF1" w:rsidRDefault="00841B35" w:rsidP="00A05DB7">
      <w:pPr>
        <w:pStyle w:val="FootnoteText"/>
        <w:jc w:val="both"/>
        <w:rPr>
          <w:rFonts w:ascii="GHEA Grapalat" w:hAnsi="GHEA Grapalat"/>
          <w:sz w:val="18"/>
          <w:szCs w:val="18"/>
          <w:lang w:val="hy-AM"/>
        </w:rPr>
      </w:pPr>
      <w:r w:rsidRPr="00F5633F">
        <w:rPr>
          <w:rStyle w:val="FootnoteReference"/>
          <w:rFonts w:ascii="GHEA Grapalat" w:hAnsi="GHEA Grapalat"/>
          <w:sz w:val="18"/>
          <w:szCs w:val="18"/>
        </w:rPr>
        <w:footnoteRef/>
      </w:r>
      <w:r w:rsidRPr="00BE2DF1">
        <w:rPr>
          <w:sz w:val="18"/>
          <w:szCs w:val="18"/>
          <w:lang w:val="hy-AM"/>
        </w:rPr>
        <w:t xml:space="preserve"> </w:t>
      </w:r>
      <w:r w:rsidRPr="00BE2DF1">
        <w:rPr>
          <w:rFonts w:ascii="GHEA Grapalat" w:hAnsi="GHEA Grapalat"/>
          <w:sz w:val="18"/>
          <w:szCs w:val="18"/>
          <w:lang w:val="hy-AM"/>
        </w:rPr>
        <w:t xml:space="preserve">Աճի տեմպը հաշվարկված է համադրելի ցուցանիշների վրա՝ ինչպես ընթացիկ, այնպես էլ համեմատվող տարում պետական բյուջեի եկամուտների և ծախսերի կազմում դիտարկելով հիպոտեկի տոկոսագումարների դիմաց եկամտային հարկի վերադարձը, որի գծով հաշվետու ժամանակահատվածում հատկացվել է 32.09 մլրդ դրամ, իսկ նախորդ տարում՝ 24.0 մլրդ դրամ։ </w:t>
      </w:r>
    </w:p>
  </w:footnote>
  <w:footnote w:id="22">
    <w:p w:rsidR="00841B35" w:rsidRPr="00BE2DF1" w:rsidRDefault="00841B35" w:rsidP="00A05DB7">
      <w:pPr>
        <w:pStyle w:val="FootnoteText"/>
        <w:jc w:val="both"/>
        <w:rPr>
          <w:rFonts w:ascii="GHEA Grapalat" w:eastAsia="GHEA Grapalat" w:hAnsi="GHEA Grapalat" w:cs="GHEA Grapalat"/>
          <w:color w:val="000000"/>
          <w:sz w:val="18"/>
          <w:szCs w:val="18"/>
          <w:lang w:val="hy-AM"/>
        </w:rPr>
      </w:pPr>
      <w:r w:rsidRPr="00B57DAB">
        <w:rPr>
          <w:rStyle w:val="FootnoteReference"/>
          <w:rFonts w:ascii="GHEA Grapalat" w:hAnsi="GHEA Grapalat"/>
          <w:sz w:val="18"/>
          <w:szCs w:val="18"/>
        </w:rPr>
        <w:footnoteRef/>
      </w:r>
      <w:r w:rsidRPr="00BE2DF1">
        <w:rPr>
          <w:rFonts w:ascii="GHEA Grapalat" w:hAnsi="GHEA Grapalat"/>
          <w:sz w:val="18"/>
          <w:szCs w:val="18"/>
          <w:lang w:val="hy-AM"/>
        </w:rPr>
        <w:t xml:space="preserve"> </w:t>
      </w:r>
      <w:r w:rsidRPr="00BE2DF1">
        <w:rPr>
          <w:rFonts w:ascii="GHEA Grapalat" w:eastAsia="GHEA Grapalat" w:hAnsi="GHEA Grapalat" w:cs="GHEA Grapalat"/>
          <w:color w:val="000000"/>
          <w:sz w:val="18"/>
          <w:szCs w:val="18"/>
          <w:lang w:val="hy-AM"/>
        </w:rPr>
        <w:t>Աղբյուրը՝ ՀՀ ՖՆ գնահատական</w:t>
      </w:r>
    </w:p>
    <w:p w:rsidR="00841B35" w:rsidRPr="00BE2DF1" w:rsidRDefault="00841B35" w:rsidP="00A05DB7">
      <w:pPr>
        <w:pStyle w:val="FootnoteText"/>
        <w:jc w:val="both"/>
        <w:rPr>
          <w:rFonts w:ascii="GHEA Grapalat" w:hAnsi="GHEA Grapalat"/>
          <w:sz w:val="18"/>
          <w:szCs w:val="18"/>
          <w:lang w:val="hy-AM"/>
        </w:rPr>
      </w:pPr>
      <w:r w:rsidRPr="00BE2DF1">
        <w:rPr>
          <w:rFonts w:ascii="GHEA Grapalat" w:eastAsia="GHEA Grapalat" w:hAnsi="GHEA Grapalat" w:cs="GHEA Grapalat"/>
          <w:color w:val="000000"/>
          <w:sz w:val="18"/>
          <w:szCs w:val="18"/>
          <w:lang w:val="hy-AM"/>
        </w:rPr>
        <w:t xml:space="preserve">Հարկաբյուջետային ազդակի հաշվարկներում օգտագործված եկամուտների և ծախսերի ցուցանիշներում կատարվել են անհրաժեշտ ճշգրտումներ՝ արտացոլելու կառավարության կողմից իրականացված այն բոլոր գործառնությունները, որոնք չեն ներառվել ծախսերում, սակայն կարող են ազդեցություն ունեցած լինել ամբողջական պահանջարկի վրա, կամ հակառակը։ </w:t>
      </w:r>
    </w:p>
  </w:footnote>
  <w:footnote w:id="23">
    <w:p w:rsidR="00841B35" w:rsidRPr="00BE2DF1" w:rsidRDefault="00841B35" w:rsidP="00A05DB7">
      <w:pPr>
        <w:pStyle w:val="FootnoteText"/>
        <w:rPr>
          <w:rFonts w:ascii="GHEA Grapalat" w:eastAsia="GHEA Grapalat" w:hAnsi="GHEA Grapalat" w:cs="GHEA Grapalat"/>
          <w:color w:val="000000"/>
          <w:sz w:val="18"/>
          <w:szCs w:val="18"/>
          <w:lang w:val="hy-AM"/>
        </w:rPr>
      </w:pPr>
      <w:r w:rsidRPr="006B3656">
        <w:rPr>
          <w:rStyle w:val="FootnoteReference"/>
          <w:rFonts w:ascii="GHEA Grapalat" w:hAnsi="GHEA Grapalat"/>
          <w:sz w:val="18"/>
          <w:szCs w:val="18"/>
        </w:rPr>
        <w:footnoteRef/>
      </w:r>
      <w:r w:rsidRPr="00BE2DF1">
        <w:rPr>
          <w:rFonts w:ascii="GHEA Grapalat" w:hAnsi="GHEA Grapalat"/>
          <w:sz w:val="18"/>
          <w:szCs w:val="18"/>
          <w:lang w:val="hy-AM"/>
        </w:rPr>
        <w:t xml:space="preserve"> </w:t>
      </w:r>
      <w:r w:rsidRPr="00BE2DF1">
        <w:rPr>
          <w:rFonts w:ascii="GHEA Grapalat" w:eastAsia="GHEA Grapalat" w:hAnsi="GHEA Grapalat" w:cs="GHEA Grapalat"/>
          <w:color w:val="000000"/>
          <w:sz w:val="18"/>
          <w:szCs w:val="18"/>
          <w:lang w:val="hy-AM"/>
        </w:rPr>
        <w:t>Աղյուսակներում նպաստումները հաշվարկվել են նախորդ տարվա կշիռների հիման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63255E4"/>
    <w:multiLevelType w:val="hybridMultilevel"/>
    <w:tmpl w:val="56AA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E55C0"/>
    <w:multiLevelType w:val="hybridMultilevel"/>
    <w:tmpl w:val="8B0AA0C2"/>
    <w:lvl w:ilvl="0" w:tplc="9E42C86A">
      <w:start w:val="1"/>
      <w:numFmt w:val="decimal"/>
      <w:lvlText w:val="Գծապատկեր %1."/>
      <w:lvlJc w:val="left"/>
      <w:pPr>
        <w:ind w:left="1778" w:hanging="360"/>
      </w:pPr>
      <w:rPr>
        <w:rFonts w:ascii="GHEA Grapalat" w:hAnsi="GHEA Grapalat" w:hint="default"/>
        <w:b/>
        <w:i/>
        <w:sz w:val="22"/>
        <w:szCs w:val="22"/>
        <w:lang w:val="de-AT"/>
      </w:rPr>
    </w:lvl>
    <w:lvl w:ilvl="1" w:tplc="04090019">
      <w:start w:val="1"/>
      <w:numFmt w:val="lowerLetter"/>
      <w:lvlText w:val="%2."/>
      <w:lvlJc w:val="left"/>
      <w:pPr>
        <w:ind w:left="1129" w:hanging="360"/>
      </w:pPr>
    </w:lvl>
    <w:lvl w:ilvl="2" w:tplc="0409001B">
      <w:start w:val="1"/>
      <w:numFmt w:val="lowerRoman"/>
      <w:lvlText w:val="%3."/>
      <w:lvlJc w:val="right"/>
      <w:pPr>
        <w:ind w:left="1849" w:hanging="180"/>
      </w:pPr>
    </w:lvl>
    <w:lvl w:ilvl="3" w:tplc="0409000F">
      <w:start w:val="1"/>
      <w:numFmt w:val="decimal"/>
      <w:lvlText w:val="%4."/>
      <w:lvlJc w:val="left"/>
      <w:pPr>
        <w:ind w:left="2569" w:hanging="360"/>
      </w:pPr>
    </w:lvl>
    <w:lvl w:ilvl="4" w:tplc="04090019">
      <w:start w:val="1"/>
      <w:numFmt w:val="lowerLetter"/>
      <w:lvlText w:val="%5."/>
      <w:lvlJc w:val="left"/>
      <w:pPr>
        <w:ind w:left="3289" w:hanging="360"/>
      </w:pPr>
    </w:lvl>
    <w:lvl w:ilvl="5" w:tplc="0409001B">
      <w:start w:val="1"/>
      <w:numFmt w:val="lowerRoman"/>
      <w:lvlText w:val="%6."/>
      <w:lvlJc w:val="right"/>
      <w:pPr>
        <w:ind w:left="4009" w:hanging="180"/>
      </w:pPr>
    </w:lvl>
    <w:lvl w:ilvl="6" w:tplc="0409000F">
      <w:start w:val="1"/>
      <w:numFmt w:val="decimal"/>
      <w:lvlText w:val="%7."/>
      <w:lvlJc w:val="left"/>
      <w:pPr>
        <w:ind w:left="4729" w:hanging="360"/>
      </w:pPr>
    </w:lvl>
    <w:lvl w:ilvl="7" w:tplc="04090019">
      <w:start w:val="1"/>
      <w:numFmt w:val="lowerLetter"/>
      <w:lvlText w:val="%8."/>
      <w:lvlJc w:val="left"/>
      <w:pPr>
        <w:ind w:left="5449" w:hanging="360"/>
      </w:pPr>
    </w:lvl>
    <w:lvl w:ilvl="8" w:tplc="0409001B">
      <w:start w:val="1"/>
      <w:numFmt w:val="lowerRoman"/>
      <w:lvlText w:val="%9."/>
      <w:lvlJc w:val="right"/>
      <w:pPr>
        <w:ind w:left="6169" w:hanging="180"/>
      </w:pPr>
    </w:lvl>
  </w:abstractNum>
  <w:abstractNum w:abstractNumId="4"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2F1565BA"/>
    <w:multiLevelType w:val="hybridMultilevel"/>
    <w:tmpl w:val="C6764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204E3A"/>
    <w:multiLevelType w:val="hybridMultilevel"/>
    <w:tmpl w:val="85D48D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C564979"/>
    <w:multiLevelType w:val="hybridMultilevel"/>
    <w:tmpl w:val="C73027F0"/>
    <w:lvl w:ilvl="0" w:tplc="7AB84EA6">
      <w:start w:val="2"/>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0" w15:restartNumberingAfterBreak="0">
    <w:nsid w:val="514048AB"/>
    <w:multiLevelType w:val="hybridMultilevel"/>
    <w:tmpl w:val="F86E5F5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1"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2" w15:restartNumberingAfterBreak="0">
    <w:nsid w:val="63113C22"/>
    <w:multiLevelType w:val="hybridMultilevel"/>
    <w:tmpl w:val="5A0E4CFA"/>
    <w:lvl w:ilvl="0" w:tplc="63845F3A">
      <w:start w:val="1"/>
      <w:numFmt w:val="decimal"/>
      <w:pStyle w:val="a"/>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4" w15:restartNumberingAfterBreak="0">
    <w:nsid w:val="68AF4E79"/>
    <w:multiLevelType w:val="hybridMultilevel"/>
    <w:tmpl w:val="9620E2A8"/>
    <w:lvl w:ilvl="0" w:tplc="FE5487DE">
      <w:start w:val="2"/>
      <w:numFmt w:val="decimal"/>
      <w:lvlText w:val="Աղյուսակ %1."/>
      <w:lvlJc w:val="left"/>
      <w:pPr>
        <w:ind w:left="1778"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CC71A8"/>
    <w:multiLevelType w:val="hybridMultilevel"/>
    <w:tmpl w:val="2D543EEE"/>
    <w:lvl w:ilvl="0" w:tplc="90664490">
      <w:start w:val="29"/>
      <w:numFmt w:val="decimal"/>
      <w:lvlText w:val="Գծապատկեր %1."/>
      <w:lvlJc w:val="left"/>
      <w:pPr>
        <w:ind w:left="36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3">
    <w:abstractNumId w:val="6"/>
  </w:num>
  <w:num w:numId="4">
    <w:abstractNumId w:val="13"/>
  </w:num>
  <w:num w:numId="5">
    <w:abstractNumId w:val="11"/>
  </w:num>
  <w:num w:numId="6">
    <w:abstractNumId w:val="12"/>
  </w:num>
  <w:num w:numId="7">
    <w:abstractNumId w:val="4"/>
  </w:num>
  <w:num w:numId="8">
    <w:abstractNumId w:val="17"/>
  </w:num>
  <w:num w:numId="9">
    <w:abstractNumId w:val="7"/>
  </w:num>
  <w:num w:numId="10">
    <w:abstractNumId w:val="9"/>
  </w:num>
  <w:num w:numId="11">
    <w:abstractNumId w:val="8"/>
  </w:num>
  <w:num w:numId="12">
    <w:abstractNumId w:val="3"/>
  </w:num>
  <w:num w:numId="13">
    <w:abstractNumId w:val="14"/>
  </w:num>
  <w:num w:numId="14">
    <w:abstractNumId w:val="10"/>
  </w:num>
  <w:num w:numId="15">
    <w:abstractNumId w:val="5"/>
  </w:num>
  <w:num w:numId="16">
    <w:abstractNumId w:val="3"/>
    <w:lvlOverride w:ilvl="0">
      <w:startOverride w:val="22"/>
    </w:lvlOverride>
  </w:num>
  <w:num w:numId="17">
    <w:abstractNumId w:val="3"/>
    <w:lvlOverride w:ilvl="0">
      <w:startOverride w:val="10"/>
    </w:lvlOverride>
  </w:num>
  <w:num w:numId="18">
    <w:abstractNumId w:val="16"/>
  </w:num>
  <w:num w:numId="19">
    <w:abstractNumId w:val="15"/>
  </w:num>
  <w:num w:numId="20">
    <w:abstractNumId w:val="3"/>
  </w:num>
  <w:num w:numId="21">
    <w:abstractNumId w:val="2"/>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lvlOverride w:ilvl="0">
      <w:startOverride w:val="22"/>
    </w:lvlOverride>
  </w:num>
  <w:num w:numId="32">
    <w:abstractNumId w:val="3"/>
    <w:lvlOverride w:ilvl="0">
      <w:startOverride w:val="10"/>
    </w:lvlOverride>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lvlOverride w:ilvl="0">
      <w:startOverride w:val="10"/>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en-GB"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ru-RU" w:vendorID="64" w:dllVersion="4096" w:nlCheck="1" w:checkStyle="0"/>
  <w:activeWritingStyle w:appName="MSWord" w:lang="en-US" w:vendorID="64" w:dllVersion="131078" w:nlCheck="1" w:checkStyle="0"/>
  <w:activeWritingStyle w:appName="MSWord" w:lang="fr-FR" w:vendorID="64" w:dllVersion="131078" w:nlCheck="1" w:checkStyle="0"/>
  <w:activeWritingStyle w:appName="MSWord" w:lang="ru-RU" w:vendorID="64" w:dllVersion="131078" w:nlCheck="1" w:checkStyle="0"/>
  <w:activeWritingStyle w:appName="MSWord" w:lang="de-A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1A7"/>
    <w:rsid w:val="0000059F"/>
    <w:rsid w:val="000008BF"/>
    <w:rsid w:val="00000A78"/>
    <w:rsid w:val="00000B30"/>
    <w:rsid w:val="00000B8F"/>
    <w:rsid w:val="00000CC6"/>
    <w:rsid w:val="00000D27"/>
    <w:rsid w:val="00001056"/>
    <w:rsid w:val="0000105D"/>
    <w:rsid w:val="00001128"/>
    <w:rsid w:val="000011F1"/>
    <w:rsid w:val="00001662"/>
    <w:rsid w:val="000016BA"/>
    <w:rsid w:val="0000177A"/>
    <w:rsid w:val="00001873"/>
    <w:rsid w:val="00001922"/>
    <w:rsid w:val="00001C9D"/>
    <w:rsid w:val="00001EEE"/>
    <w:rsid w:val="00002044"/>
    <w:rsid w:val="00002068"/>
    <w:rsid w:val="000022D8"/>
    <w:rsid w:val="000025B3"/>
    <w:rsid w:val="000026E1"/>
    <w:rsid w:val="000029AF"/>
    <w:rsid w:val="00002ABD"/>
    <w:rsid w:val="00002C1B"/>
    <w:rsid w:val="00002F7E"/>
    <w:rsid w:val="000031B4"/>
    <w:rsid w:val="000033C7"/>
    <w:rsid w:val="0000344E"/>
    <w:rsid w:val="00003850"/>
    <w:rsid w:val="00003AD5"/>
    <w:rsid w:val="00003AE8"/>
    <w:rsid w:val="00003B91"/>
    <w:rsid w:val="00003D93"/>
    <w:rsid w:val="00003E0C"/>
    <w:rsid w:val="00003E67"/>
    <w:rsid w:val="000040B3"/>
    <w:rsid w:val="000043A0"/>
    <w:rsid w:val="000043EC"/>
    <w:rsid w:val="000046E0"/>
    <w:rsid w:val="00004782"/>
    <w:rsid w:val="0000488C"/>
    <w:rsid w:val="000049ED"/>
    <w:rsid w:val="00004BF5"/>
    <w:rsid w:val="00004D09"/>
    <w:rsid w:val="00004EB7"/>
    <w:rsid w:val="000050D8"/>
    <w:rsid w:val="000051A1"/>
    <w:rsid w:val="000059CE"/>
    <w:rsid w:val="00005FE7"/>
    <w:rsid w:val="000061FA"/>
    <w:rsid w:val="000062A7"/>
    <w:rsid w:val="00006BE1"/>
    <w:rsid w:val="00006C5A"/>
    <w:rsid w:val="00006C8E"/>
    <w:rsid w:val="00006D44"/>
    <w:rsid w:val="00006DA4"/>
    <w:rsid w:val="00006F51"/>
    <w:rsid w:val="00007862"/>
    <w:rsid w:val="0000797B"/>
    <w:rsid w:val="0000799C"/>
    <w:rsid w:val="00007A36"/>
    <w:rsid w:val="00007AAA"/>
    <w:rsid w:val="00007B4C"/>
    <w:rsid w:val="00007B80"/>
    <w:rsid w:val="00007D4B"/>
    <w:rsid w:val="00007EC8"/>
    <w:rsid w:val="00007FBA"/>
    <w:rsid w:val="0001038E"/>
    <w:rsid w:val="00010E70"/>
    <w:rsid w:val="000110DF"/>
    <w:rsid w:val="000110E9"/>
    <w:rsid w:val="00011CB7"/>
    <w:rsid w:val="0001221C"/>
    <w:rsid w:val="00012440"/>
    <w:rsid w:val="00012B18"/>
    <w:rsid w:val="00012BCB"/>
    <w:rsid w:val="00012CE8"/>
    <w:rsid w:val="00012DBA"/>
    <w:rsid w:val="000132B6"/>
    <w:rsid w:val="000133D4"/>
    <w:rsid w:val="00013BAF"/>
    <w:rsid w:val="0001467A"/>
    <w:rsid w:val="00014ACD"/>
    <w:rsid w:val="00014F6D"/>
    <w:rsid w:val="000158E4"/>
    <w:rsid w:val="00015967"/>
    <w:rsid w:val="00015A48"/>
    <w:rsid w:val="00015E17"/>
    <w:rsid w:val="000161BC"/>
    <w:rsid w:val="0001629D"/>
    <w:rsid w:val="000164D9"/>
    <w:rsid w:val="00016DE5"/>
    <w:rsid w:val="00017132"/>
    <w:rsid w:val="00017218"/>
    <w:rsid w:val="00017681"/>
    <w:rsid w:val="00017960"/>
    <w:rsid w:val="00017F13"/>
    <w:rsid w:val="00020109"/>
    <w:rsid w:val="00020407"/>
    <w:rsid w:val="000205AD"/>
    <w:rsid w:val="0002068B"/>
    <w:rsid w:val="00020C2C"/>
    <w:rsid w:val="00020D2D"/>
    <w:rsid w:val="000211AB"/>
    <w:rsid w:val="000211EA"/>
    <w:rsid w:val="0002130B"/>
    <w:rsid w:val="00021791"/>
    <w:rsid w:val="000217F0"/>
    <w:rsid w:val="00021C51"/>
    <w:rsid w:val="00022212"/>
    <w:rsid w:val="000222C5"/>
    <w:rsid w:val="000224FA"/>
    <w:rsid w:val="000225CD"/>
    <w:rsid w:val="0002271D"/>
    <w:rsid w:val="00022868"/>
    <w:rsid w:val="00022F5F"/>
    <w:rsid w:val="00022F8E"/>
    <w:rsid w:val="000232C2"/>
    <w:rsid w:val="00023958"/>
    <w:rsid w:val="00023BF6"/>
    <w:rsid w:val="00023C80"/>
    <w:rsid w:val="00023E03"/>
    <w:rsid w:val="00023F42"/>
    <w:rsid w:val="00023FD5"/>
    <w:rsid w:val="00024068"/>
    <w:rsid w:val="000241ED"/>
    <w:rsid w:val="000243CD"/>
    <w:rsid w:val="000248BD"/>
    <w:rsid w:val="00024BE3"/>
    <w:rsid w:val="000257DD"/>
    <w:rsid w:val="00025B6D"/>
    <w:rsid w:val="00025C71"/>
    <w:rsid w:val="00026233"/>
    <w:rsid w:val="00026557"/>
    <w:rsid w:val="0002675D"/>
    <w:rsid w:val="00026EB2"/>
    <w:rsid w:val="00027266"/>
    <w:rsid w:val="00027310"/>
    <w:rsid w:val="000277E9"/>
    <w:rsid w:val="00027943"/>
    <w:rsid w:val="000279CC"/>
    <w:rsid w:val="00027A6C"/>
    <w:rsid w:val="00027DD3"/>
    <w:rsid w:val="00030036"/>
    <w:rsid w:val="000300F0"/>
    <w:rsid w:val="000303D1"/>
    <w:rsid w:val="00030471"/>
    <w:rsid w:val="000307D5"/>
    <w:rsid w:val="00030A56"/>
    <w:rsid w:val="00030C3C"/>
    <w:rsid w:val="00030FD4"/>
    <w:rsid w:val="00031D61"/>
    <w:rsid w:val="00032380"/>
    <w:rsid w:val="00032758"/>
    <w:rsid w:val="00032B06"/>
    <w:rsid w:val="00032DE1"/>
    <w:rsid w:val="00032E25"/>
    <w:rsid w:val="0003381E"/>
    <w:rsid w:val="0003382A"/>
    <w:rsid w:val="00033A2E"/>
    <w:rsid w:val="00033D58"/>
    <w:rsid w:val="00033DA0"/>
    <w:rsid w:val="00033EE1"/>
    <w:rsid w:val="00033F58"/>
    <w:rsid w:val="00034406"/>
    <w:rsid w:val="00034B9B"/>
    <w:rsid w:val="00034CDA"/>
    <w:rsid w:val="000354DA"/>
    <w:rsid w:val="00035A20"/>
    <w:rsid w:val="00035AF2"/>
    <w:rsid w:val="00035D8C"/>
    <w:rsid w:val="00035E1E"/>
    <w:rsid w:val="00035E85"/>
    <w:rsid w:val="00035EFF"/>
    <w:rsid w:val="000360E4"/>
    <w:rsid w:val="000361A3"/>
    <w:rsid w:val="00036A8B"/>
    <w:rsid w:val="00036B44"/>
    <w:rsid w:val="00036EAD"/>
    <w:rsid w:val="00036F10"/>
    <w:rsid w:val="000370C6"/>
    <w:rsid w:val="000373AC"/>
    <w:rsid w:val="0003746F"/>
    <w:rsid w:val="00037C39"/>
    <w:rsid w:val="00037FCE"/>
    <w:rsid w:val="00040285"/>
    <w:rsid w:val="00040458"/>
    <w:rsid w:val="000404CC"/>
    <w:rsid w:val="0004060A"/>
    <w:rsid w:val="00040718"/>
    <w:rsid w:val="00040A33"/>
    <w:rsid w:val="00040CBC"/>
    <w:rsid w:val="0004169E"/>
    <w:rsid w:val="000417E7"/>
    <w:rsid w:val="000419FD"/>
    <w:rsid w:val="00041D06"/>
    <w:rsid w:val="00041D39"/>
    <w:rsid w:val="00041E49"/>
    <w:rsid w:val="000422ED"/>
    <w:rsid w:val="000423AB"/>
    <w:rsid w:val="0004241C"/>
    <w:rsid w:val="00042752"/>
    <w:rsid w:val="00042900"/>
    <w:rsid w:val="00042AA2"/>
    <w:rsid w:val="00042B70"/>
    <w:rsid w:val="00042CB7"/>
    <w:rsid w:val="00042F58"/>
    <w:rsid w:val="0004304A"/>
    <w:rsid w:val="00043219"/>
    <w:rsid w:val="00043303"/>
    <w:rsid w:val="00043415"/>
    <w:rsid w:val="00043524"/>
    <w:rsid w:val="000437C0"/>
    <w:rsid w:val="00043CDF"/>
    <w:rsid w:val="00043E31"/>
    <w:rsid w:val="00044115"/>
    <w:rsid w:val="0004424A"/>
    <w:rsid w:val="000442D5"/>
    <w:rsid w:val="0004480E"/>
    <w:rsid w:val="00044B6C"/>
    <w:rsid w:val="00044C1D"/>
    <w:rsid w:val="00044D73"/>
    <w:rsid w:val="00045097"/>
    <w:rsid w:val="000453CD"/>
    <w:rsid w:val="000457E3"/>
    <w:rsid w:val="00045858"/>
    <w:rsid w:val="00045922"/>
    <w:rsid w:val="00045C3D"/>
    <w:rsid w:val="00045DCA"/>
    <w:rsid w:val="00045F1D"/>
    <w:rsid w:val="00046182"/>
    <w:rsid w:val="000465BD"/>
    <w:rsid w:val="00046DBB"/>
    <w:rsid w:val="00046EC2"/>
    <w:rsid w:val="00046EF6"/>
    <w:rsid w:val="00047685"/>
    <w:rsid w:val="0004771D"/>
    <w:rsid w:val="00047FE0"/>
    <w:rsid w:val="0005023D"/>
    <w:rsid w:val="000504E3"/>
    <w:rsid w:val="000506B4"/>
    <w:rsid w:val="00050C2C"/>
    <w:rsid w:val="00050C76"/>
    <w:rsid w:val="00050F0E"/>
    <w:rsid w:val="00051238"/>
    <w:rsid w:val="000514A4"/>
    <w:rsid w:val="000514F9"/>
    <w:rsid w:val="00051632"/>
    <w:rsid w:val="0005170D"/>
    <w:rsid w:val="00051A9F"/>
    <w:rsid w:val="00051FE6"/>
    <w:rsid w:val="00051FF3"/>
    <w:rsid w:val="00052132"/>
    <w:rsid w:val="000523A3"/>
    <w:rsid w:val="000523C5"/>
    <w:rsid w:val="00052483"/>
    <w:rsid w:val="000526B3"/>
    <w:rsid w:val="00052797"/>
    <w:rsid w:val="00052841"/>
    <w:rsid w:val="00052F1B"/>
    <w:rsid w:val="000530C2"/>
    <w:rsid w:val="000530E1"/>
    <w:rsid w:val="00053338"/>
    <w:rsid w:val="00053544"/>
    <w:rsid w:val="000537E3"/>
    <w:rsid w:val="00053A4A"/>
    <w:rsid w:val="00053A90"/>
    <w:rsid w:val="00053C94"/>
    <w:rsid w:val="00054624"/>
    <w:rsid w:val="000548ED"/>
    <w:rsid w:val="00054F5D"/>
    <w:rsid w:val="00055668"/>
    <w:rsid w:val="000557B4"/>
    <w:rsid w:val="00055D53"/>
    <w:rsid w:val="00055D6A"/>
    <w:rsid w:val="000566A1"/>
    <w:rsid w:val="0005675D"/>
    <w:rsid w:val="00056A1B"/>
    <w:rsid w:val="00056C8B"/>
    <w:rsid w:val="00057195"/>
    <w:rsid w:val="0005720C"/>
    <w:rsid w:val="0005787B"/>
    <w:rsid w:val="000578EA"/>
    <w:rsid w:val="00057E06"/>
    <w:rsid w:val="00057EA3"/>
    <w:rsid w:val="00057EEB"/>
    <w:rsid w:val="000601EC"/>
    <w:rsid w:val="00060244"/>
    <w:rsid w:val="000604D1"/>
    <w:rsid w:val="00060510"/>
    <w:rsid w:val="0006055C"/>
    <w:rsid w:val="0006080B"/>
    <w:rsid w:val="00060974"/>
    <w:rsid w:val="000609CE"/>
    <w:rsid w:val="0006160D"/>
    <w:rsid w:val="00061715"/>
    <w:rsid w:val="00061767"/>
    <w:rsid w:val="00061ADF"/>
    <w:rsid w:val="00061B33"/>
    <w:rsid w:val="000621CC"/>
    <w:rsid w:val="00062294"/>
    <w:rsid w:val="00062545"/>
    <w:rsid w:val="00062E70"/>
    <w:rsid w:val="0006351E"/>
    <w:rsid w:val="00063607"/>
    <w:rsid w:val="000638E7"/>
    <w:rsid w:val="00063FE2"/>
    <w:rsid w:val="00064143"/>
    <w:rsid w:val="00064442"/>
    <w:rsid w:val="000647F8"/>
    <w:rsid w:val="00064C91"/>
    <w:rsid w:val="00064CED"/>
    <w:rsid w:val="00064E9F"/>
    <w:rsid w:val="000659AB"/>
    <w:rsid w:val="00065ADB"/>
    <w:rsid w:val="00065E3C"/>
    <w:rsid w:val="00066648"/>
    <w:rsid w:val="000667C7"/>
    <w:rsid w:val="00066B4A"/>
    <w:rsid w:val="00066E68"/>
    <w:rsid w:val="00067106"/>
    <w:rsid w:val="000677FB"/>
    <w:rsid w:val="00067916"/>
    <w:rsid w:val="000702B1"/>
    <w:rsid w:val="0007069D"/>
    <w:rsid w:val="00070B99"/>
    <w:rsid w:val="00070DC5"/>
    <w:rsid w:val="00070ED4"/>
    <w:rsid w:val="00070EEB"/>
    <w:rsid w:val="000710A9"/>
    <w:rsid w:val="00071461"/>
    <w:rsid w:val="000715C1"/>
    <w:rsid w:val="00071BFB"/>
    <w:rsid w:val="00071E16"/>
    <w:rsid w:val="00071EC4"/>
    <w:rsid w:val="00071EF6"/>
    <w:rsid w:val="000722F9"/>
    <w:rsid w:val="00072746"/>
    <w:rsid w:val="00072776"/>
    <w:rsid w:val="00072917"/>
    <w:rsid w:val="00072933"/>
    <w:rsid w:val="00072A18"/>
    <w:rsid w:val="00072BF4"/>
    <w:rsid w:val="00073125"/>
    <w:rsid w:val="00073151"/>
    <w:rsid w:val="00073296"/>
    <w:rsid w:val="00073BBD"/>
    <w:rsid w:val="00073EEA"/>
    <w:rsid w:val="00074532"/>
    <w:rsid w:val="00074829"/>
    <w:rsid w:val="00074F9B"/>
    <w:rsid w:val="0007537C"/>
    <w:rsid w:val="00075484"/>
    <w:rsid w:val="00075652"/>
    <w:rsid w:val="00075682"/>
    <w:rsid w:val="00075BBB"/>
    <w:rsid w:val="000760D1"/>
    <w:rsid w:val="000763A2"/>
    <w:rsid w:val="00076548"/>
    <w:rsid w:val="00076829"/>
    <w:rsid w:val="000769F7"/>
    <w:rsid w:val="00076BEC"/>
    <w:rsid w:val="00076EED"/>
    <w:rsid w:val="00077483"/>
    <w:rsid w:val="000776B7"/>
    <w:rsid w:val="000776C2"/>
    <w:rsid w:val="00077865"/>
    <w:rsid w:val="000778EC"/>
    <w:rsid w:val="00077AB6"/>
    <w:rsid w:val="00077CF6"/>
    <w:rsid w:val="00080A6A"/>
    <w:rsid w:val="00080C69"/>
    <w:rsid w:val="00080C7F"/>
    <w:rsid w:val="000810CD"/>
    <w:rsid w:val="000813E8"/>
    <w:rsid w:val="0008143C"/>
    <w:rsid w:val="00081A8D"/>
    <w:rsid w:val="00081BD9"/>
    <w:rsid w:val="00081C42"/>
    <w:rsid w:val="00081C50"/>
    <w:rsid w:val="0008202F"/>
    <w:rsid w:val="00082C94"/>
    <w:rsid w:val="00082E2B"/>
    <w:rsid w:val="000831D5"/>
    <w:rsid w:val="000831EF"/>
    <w:rsid w:val="000837E3"/>
    <w:rsid w:val="00083863"/>
    <w:rsid w:val="00083EE5"/>
    <w:rsid w:val="00083FD5"/>
    <w:rsid w:val="000848BF"/>
    <w:rsid w:val="0008492F"/>
    <w:rsid w:val="00084A44"/>
    <w:rsid w:val="00084FA9"/>
    <w:rsid w:val="0008522D"/>
    <w:rsid w:val="0008542D"/>
    <w:rsid w:val="00085CFF"/>
    <w:rsid w:val="00085D6F"/>
    <w:rsid w:val="0008647B"/>
    <w:rsid w:val="000864B8"/>
    <w:rsid w:val="000864FB"/>
    <w:rsid w:val="000869F5"/>
    <w:rsid w:val="00086FAB"/>
    <w:rsid w:val="000875C7"/>
    <w:rsid w:val="00087656"/>
    <w:rsid w:val="00087836"/>
    <w:rsid w:val="00087980"/>
    <w:rsid w:val="00087A97"/>
    <w:rsid w:val="00087D17"/>
    <w:rsid w:val="00090034"/>
    <w:rsid w:val="000903F3"/>
    <w:rsid w:val="00090551"/>
    <w:rsid w:val="00090752"/>
    <w:rsid w:val="00090896"/>
    <w:rsid w:val="000910AA"/>
    <w:rsid w:val="00091207"/>
    <w:rsid w:val="0009135E"/>
    <w:rsid w:val="00091545"/>
    <w:rsid w:val="000915E4"/>
    <w:rsid w:val="0009167C"/>
    <w:rsid w:val="0009181C"/>
    <w:rsid w:val="00091849"/>
    <w:rsid w:val="00091D0C"/>
    <w:rsid w:val="00091DE9"/>
    <w:rsid w:val="00092056"/>
    <w:rsid w:val="00092206"/>
    <w:rsid w:val="000925C8"/>
    <w:rsid w:val="00092CDA"/>
    <w:rsid w:val="00092D7E"/>
    <w:rsid w:val="00092DFE"/>
    <w:rsid w:val="00092FE8"/>
    <w:rsid w:val="00092FF5"/>
    <w:rsid w:val="0009304F"/>
    <w:rsid w:val="000930E8"/>
    <w:rsid w:val="0009326E"/>
    <w:rsid w:val="000935B0"/>
    <w:rsid w:val="00093A0E"/>
    <w:rsid w:val="00093E0E"/>
    <w:rsid w:val="00093F78"/>
    <w:rsid w:val="0009408E"/>
    <w:rsid w:val="00094B8A"/>
    <w:rsid w:val="0009531A"/>
    <w:rsid w:val="0009536E"/>
    <w:rsid w:val="000959EB"/>
    <w:rsid w:val="00095B5B"/>
    <w:rsid w:val="00095DAC"/>
    <w:rsid w:val="00095E29"/>
    <w:rsid w:val="00096C25"/>
    <w:rsid w:val="00096CF7"/>
    <w:rsid w:val="00097145"/>
    <w:rsid w:val="00097171"/>
    <w:rsid w:val="00097247"/>
    <w:rsid w:val="0009773B"/>
    <w:rsid w:val="000977F9"/>
    <w:rsid w:val="000A00F2"/>
    <w:rsid w:val="000A0728"/>
    <w:rsid w:val="000A0910"/>
    <w:rsid w:val="000A0BEA"/>
    <w:rsid w:val="000A0E86"/>
    <w:rsid w:val="000A0F70"/>
    <w:rsid w:val="000A0F85"/>
    <w:rsid w:val="000A13EE"/>
    <w:rsid w:val="000A1454"/>
    <w:rsid w:val="000A17CB"/>
    <w:rsid w:val="000A1873"/>
    <w:rsid w:val="000A1C94"/>
    <w:rsid w:val="000A1CEF"/>
    <w:rsid w:val="000A1D13"/>
    <w:rsid w:val="000A1E59"/>
    <w:rsid w:val="000A1EF0"/>
    <w:rsid w:val="000A21F3"/>
    <w:rsid w:val="000A25DD"/>
    <w:rsid w:val="000A26B4"/>
    <w:rsid w:val="000A2C88"/>
    <w:rsid w:val="000A2F11"/>
    <w:rsid w:val="000A310C"/>
    <w:rsid w:val="000A34CE"/>
    <w:rsid w:val="000A3AA7"/>
    <w:rsid w:val="000A3FC9"/>
    <w:rsid w:val="000A4028"/>
    <w:rsid w:val="000A4193"/>
    <w:rsid w:val="000A42FD"/>
    <w:rsid w:val="000A48E4"/>
    <w:rsid w:val="000A4D8C"/>
    <w:rsid w:val="000A4E32"/>
    <w:rsid w:val="000A4F76"/>
    <w:rsid w:val="000A512A"/>
    <w:rsid w:val="000A521C"/>
    <w:rsid w:val="000A53C2"/>
    <w:rsid w:val="000A54A3"/>
    <w:rsid w:val="000A56ED"/>
    <w:rsid w:val="000A5790"/>
    <w:rsid w:val="000A5961"/>
    <w:rsid w:val="000A5BEC"/>
    <w:rsid w:val="000A5D2C"/>
    <w:rsid w:val="000A5D74"/>
    <w:rsid w:val="000A62A3"/>
    <w:rsid w:val="000A6673"/>
    <w:rsid w:val="000A67FF"/>
    <w:rsid w:val="000A6ACE"/>
    <w:rsid w:val="000A6FCA"/>
    <w:rsid w:val="000A7633"/>
    <w:rsid w:val="000A77DC"/>
    <w:rsid w:val="000B0356"/>
    <w:rsid w:val="000B03D7"/>
    <w:rsid w:val="000B04BA"/>
    <w:rsid w:val="000B065A"/>
    <w:rsid w:val="000B112B"/>
    <w:rsid w:val="000B13C7"/>
    <w:rsid w:val="000B1632"/>
    <w:rsid w:val="000B18ED"/>
    <w:rsid w:val="000B20BF"/>
    <w:rsid w:val="000B27D3"/>
    <w:rsid w:val="000B2869"/>
    <w:rsid w:val="000B2944"/>
    <w:rsid w:val="000B2B5C"/>
    <w:rsid w:val="000B2CE5"/>
    <w:rsid w:val="000B3222"/>
    <w:rsid w:val="000B32BA"/>
    <w:rsid w:val="000B380A"/>
    <w:rsid w:val="000B3BD0"/>
    <w:rsid w:val="000B3BE7"/>
    <w:rsid w:val="000B402E"/>
    <w:rsid w:val="000B4149"/>
    <w:rsid w:val="000B45C7"/>
    <w:rsid w:val="000B4796"/>
    <w:rsid w:val="000B4CEC"/>
    <w:rsid w:val="000B4D60"/>
    <w:rsid w:val="000B507B"/>
    <w:rsid w:val="000B522D"/>
    <w:rsid w:val="000B53C0"/>
    <w:rsid w:val="000B5693"/>
    <w:rsid w:val="000B5B31"/>
    <w:rsid w:val="000B5B5D"/>
    <w:rsid w:val="000B5C7B"/>
    <w:rsid w:val="000B5DDF"/>
    <w:rsid w:val="000B6458"/>
    <w:rsid w:val="000B67DC"/>
    <w:rsid w:val="000B6C41"/>
    <w:rsid w:val="000B7B4F"/>
    <w:rsid w:val="000B7DBE"/>
    <w:rsid w:val="000C00D7"/>
    <w:rsid w:val="000C063F"/>
    <w:rsid w:val="000C0BFF"/>
    <w:rsid w:val="000C0CA8"/>
    <w:rsid w:val="000C1002"/>
    <w:rsid w:val="000C1290"/>
    <w:rsid w:val="000C1F6C"/>
    <w:rsid w:val="000C20F5"/>
    <w:rsid w:val="000C210B"/>
    <w:rsid w:val="000C21AB"/>
    <w:rsid w:val="000C23B5"/>
    <w:rsid w:val="000C24E8"/>
    <w:rsid w:val="000C25D3"/>
    <w:rsid w:val="000C2743"/>
    <w:rsid w:val="000C29A3"/>
    <w:rsid w:val="000C2A6F"/>
    <w:rsid w:val="000C30AD"/>
    <w:rsid w:val="000C3A24"/>
    <w:rsid w:val="000C3B2D"/>
    <w:rsid w:val="000C3B9A"/>
    <w:rsid w:val="000C3F37"/>
    <w:rsid w:val="000C42BC"/>
    <w:rsid w:val="000C4490"/>
    <w:rsid w:val="000C45D8"/>
    <w:rsid w:val="000C4A2C"/>
    <w:rsid w:val="000C4F9A"/>
    <w:rsid w:val="000C5135"/>
    <w:rsid w:val="000C5213"/>
    <w:rsid w:val="000C552C"/>
    <w:rsid w:val="000C5639"/>
    <w:rsid w:val="000C591A"/>
    <w:rsid w:val="000C59C4"/>
    <w:rsid w:val="000C5A96"/>
    <w:rsid w:val="000C5BC4"/>
    <w:rsid w:val="000C6364"/>
    <w:rsid w:val="000C6513"/>
    <w:rsid w:val="000C66E3"/>
    <w:rsid w:val="000C6AA1"/>
    <w:rsid w:val="000C6EC9"/>
    <w:rsid w:val="000C73D8"/>
    <w:rsid w:val="000C779C"/>
    <w:rsid w:val="000D0217"/>
    <w:rsid w:val="000D0331"/>
    <w:rsid w:val="000D042A"/>
    <w:rsid w:val="000D0556"/>
    <w:rsid w:val="000D0579"/>
    <w:rsid w:val="000D05A6"/>
    <w:rsid w:val="000D17F2"/>
    <w:rsid w:val="000D1EF9"/>
    <w:rsid w:val="000D21C8"/>
    <w:rsid w:val="000D24A0"/>
    <w:rsid w:val="000D2544"/>
    <w:rsid w:val="000D2A95"/>
    <w:rsid w:val="000D2B9B"/>
    <w:rsid w:val="000D2BB2"/>
    <w:rsid w:val="000D3122"/>
    <w:rsid w:val="000D32BB"/>
    <w:rsid w:val="000D399F"/>
    <w:rsid w:val="000D4325"/>
    <w:rsid w:val="000D489F"/>
    <w:rsid w:val="000D4EA0"/>
    <w:rsid w:val="000D51D6"/>
    <w:rsid w:val="000D5498"/>
    <w:rsid w:val="000D559A"/>
    <w:rsid w:val="000D5B38"/>
    <w:rsid w:val="000D5C17"/>
    <w:rsid w:val="000D5E0C"/>
    <w:rsid w:val="000D6201"/>
    <w:rsid w:val="000D6397"/>
    <w:rsid w:val="000D6848"/>
    <w:rsid w:val="000D6918"/>
    <w:rsid w:val="000D7139"/>
    <w:rsid w:val="000D7145"/>
    <w:rsid w:val="000D71D0"/>
    <w:rsid w:val="000D7226"/>
    <w:rsid w:val="000D7A77"/>
    <w:rsid w:val="000D7A9F"/>
    <w:rsid w:val="000D7C86"/>
    <w:rsid w:val="000D7D4C"/>
    <w:rsid w:val="000D7EF5"/>
    <w:rsid w:val="000E02B5"/>
    <w:rsid w:val="000E03DC"/>
    <w:rsid w:val="000E04ED"/>
    <w:rsid w:val="000E08DA"/>
    <w:rsid w:val="000E08E0"/>
    <w:rsid w:val="000E08E1"/>
    <w:rsid w:val="000E0C69"/>
    <w:rsid w:val="000E17F6"/>
    <w:rsid w:val="000E1AE6"/>
    <w:rsid w:val="000E1BCA"/>
    <w:rsid w:val="000E2021"/>
    <w:rsid w:val="000E2342"/>
    <w:rsid w:val="000E2648"/>
    <w:rsid w:val="000E2AEB"/>
    <w:rsid w:val="000E2CB0"/>
    <w:rsid w:val="000E2CE0"/>
    <w:rsid w:val="000E2D89"/>
    <w:rsid w:val="000E30D6"/>
    <w:rsid w:val="000E34F3"/>
    <w:rsid w:val="000E36BF"/>
    <w:rsid w:val="000E3CBD"/>
    <w:rsid w:val="000E3E7A"/>
    <w:rsid w:val="000E3EEF"/>
    <w:rsid w:val="000E440D"/>
    <w:rsid w:val="000E459E"/>
    <w:rsid w:val="000E45F5"/>
    <w:rsid w:val="000E4890"/>
    <w:rsid w:val="000E4CF4"/>
    <w:rsid w:val="000E50D7"/>
    <w:rsid w:val="000E534E"/>
    <w:rsid w:val="000E558D"/>
    <w:rsid w:val="000E561C"/>
    <w:rsid w:val="000E5AAC"/>
    <w:rsid w:val="000E5AC9"/>
    <w:rsid w:val="000E5C16"/>
    <w:rsid w:val="000E5FE0"/>
    <w:rsid w:val="000E607C"/>
    <w:rsid w:val="000E6593"/>
    <w:rsid w:val="000E65BD"/>
    <w:rsid w:val="000E66A4"/>
    <w:rsid w:val="000E693B"/>
    <w:rsid w:val="000E6C90"/>
    <w:rsid w:val="000E6D42"/>
    <w:rsid w:val="000E6E70"/>
    <w:rsid w:val="000E6F94"/>
    <w:rsid w:val="000E6FBA"/>
    <w:rsid w:val="000F010A"/>
    <w:rsid w:val="000F01B4"/>
    <w:rsid w:val="000F04EB"/>
    <w:rsid w:val="000F0A36"/>
    <w:rsid w:val="000F0A76"/>
    <w:rsid w:val="000F0DD9"/>
    <w:rsid w:val="000F0EE2"/>
    <w:rsid w:val="000F0F41"/>
    <w:rsid w:val="000F1512"/>
    <w:rsid w:val="000F1737"/>
    <w:rsid w:val="000F1828"/>
    <w:rsid w:val="000F1D6B"/>
    <w:rsid w:val="000F23F8"/>
    <w:rsid w:val="000F25F2"/>
    <w:rsid w:val="000F2986"/>
    <w:rsid w:val="000F2B7E"/>
    <w:rsid w:val="000F30C0"/>
    <w:rsid w:val="000F3131"/>
    <w:rsid w:val="000F3292"/>
    <w:rsid w:val="000F3719"/>
    <w:rsid w:val="000F382C"/>
    <w:rsid w:val="000F392F"/>
    <w:rsid w:val="000F3A94"/>
    <w:rsid w:val="000F3D60"/>
    <w:rsid w:val="000F4239"/>
    <w:rsid w:val="000F479F"/>
    <w:rsid w:val="000F47F8"/>
    <w:rsid w:val="000F49A9"/>
    <w:rsid w:val="000F4A65"/>
    <w:rsid w:val="000F4C9F"/>
    <w:rsid w:val="000F4ED0"/>
    <w:rsid w:val="000F511A"/>
    <w:rsid w:val="000F5223"/>
    <w:rsid w:val="000F5481"/>
    <w:rsid w:val="000F5647"/>
    <w:rsid w:val="000F5702"/>
    <w:rsid w:val="000F589E"/>
    <w:rsid w:val="000F5B1D"/>
    <w:rsid w:val="000F5B8C"/>
    <w:rsid w:val="000F5BEE"/>
    <w:rsid w:val="000F5F7A"/>
    <w:rsid w:val="000F5FDD"/>
    <w:rsid w:val="000F65D6"/>
    <w:rsid w:val="000F6AAE"/>
    <w:rsid w:val="000F72F5"/>
    <w:rsid w:val="000F748C"/>
    <w:rsid w:val="000F7533"/>
    <w:rsid w:val="000F75DD"/>
    <w:rsid w:val="000F7B41"/>
    <w:rsid w:val="000F7F2A"/>
    <w:rsid w:val="000F7F5E"/>
    <w:rsid w:val="0010015A"/>
    <w:rsid w:val="00100319"/>
    <w:rsid w:val="0010057A"/>
    <w:rsid w:val="001009B9"/>
    <w:rsid w:val="00101080"/>
    <w:rsid w:val="00101608"/>
    <w:rsid w:val="00101742"/>
    <w:rsid w:val="001019D8"/>
    <w:rsid w:val="00101C53"/>
    <w:rsid w:val="00101E99"/>
    <w:rsid w:val="00101EC2"/>
    <w:rsid w:val="00102612"/>
    <w:rsid w:val="00102838"/>
    <w:rsid w:val="0010292C"/>
    <w:rsid w:val="001029BA"/>
    <w:rsid w:val="00102BD7"/>
    <w:rsid w:val="00102FAB"/>
    <w:rsid w:val="00103187"/>
    <w:rsid w:val="001038D1"/>
    <w:rsid w:val="00103DE9"/>
    <w:rsid w:val="001043F9"/>
    <w:rsid w:val="00104D90"/>
    <w:rsid w:val="0010525B"/>
    <w:rsid w:val="0010537C"/>
    <w:rsid w:val="00105703"/>
    <w:rsid w:val="00105757"/>
    <w:rsid w:val="00105FE9"/>
    <w:rsid w:val="001063E9"/>
    <w:rsid w:val="001066F3"/>
    <w:rsid w:val="001068A5"/>
    <w:rsid w:val="00107170"/>
    <w:rsid w:val="001071A7"/>
    <w:rsid w:val="00107531"/>
    <w:rsid w:val="00107584"/>
    <w:rsid w:val="00107689"/>
    <w:rsid w:val="00107892"/>
    <w:rsid w:val="001079C7"/>
    <w:rsid w:val="00107A4D"/>
    <w:rsid w:val="00107AF1"/>
    <w:rsid w:val="00107DB5"/>
    <w:rsid w:val="00110073"/>
    <w:rsid w:val="001103D9"/>
    <w:rsid w:val="001103F4"/>
    <w:rsid w:val="00110816"/>
    <w:rsid w:val="00110B8E"/>
    <w:rsid w:val="0011104F"/>
    <w:rsid w:val="00111352"/>
    <w:rsid w:val="001113B4"/>
    <w:rsid w:val="00111522"/>
    <w:rsid w:val="001116D2"/>
    <w:rsid w:val="0011185A"/>
    <w:rsid w:val="00111A98"/>
    <w:rsid w:val="001127E7"/>
    <w:rsid w:val="0011288C"/>
    <w:rsid w:val="00112950"/>
    <w:rsid w:val="00112A79"/>
    <w:rsid w:val="00112D40"/>
    <w:rsid w:val="00112F5E"/>
    <w:rsid w:val="00112F7A"/>
    <w:rsid w:val="00113B42"/>
    <w:rsid w:val="00113E7E"/>
    <w:rsid w:val="00113EE6"/>
    <w:rsid w:val="0011404C"/>
    <w:rsid w:val="00114488"/>
    <w:rsid w:val="0011473D"/>
    <w:rsid w:val="0011475D"/>
    <w:rsid w:val="00115A51"/>
    <w:rsid w:val="00115B85"/>
    <w:rsid w:val="001161C7"/>
    <w:rsid w:val="00116295"/>
    <w:rsid w:val="00116618"/>
    <w:rsid w:val="0011667C"/>
    <w:rsid w:val="00116AC0"/>
    <w:rsid w:val="00116AE0"/>
    <w:rsid w:val="00116BDF"/>
    <w:rsid w:val="0011770D"/>
    <w:rsid w:val="00117B1B"/>
    <w:rsid w:val="00117DB3"/>
    <w:rsid w:val="00117EBC"/>
    <w:rsid w:val="00117F0B"/>
    <w:rsid w:val="00120218"/>
    <w:rsid w:val="0012042C"/>
    <w:rsid w:val="00120584"/>
    <w:rsid w:val="001205A4"/>
    <w:rsid w:val="00120DF1"/>
    <w:rsid w:val="00120F44"/>
    <w:rsid w:val="00121052"/>
    <w:rsid w:val="00121233"/>
    <w:rsid w:val="001213D9"/>
    <w:rsid w:val="00121696"/>
    <w:rsid w:val="001216B2"/>
    <w:rsid w:val="00121DDF"/>
    <w:rsid w:val="00122A9A"/>
    <w:rsid w:val="001233AF"/>
    <w:rsid w:val="00123C2D"/>
    <w:rsid w:val="00123FD7"/>
    <w:rsid w:val="00124041"/>
    <w:rsid w:val="00124269"/>
    <w:rsid w:val="001243F3"/>
    <w:rsid w:val="001246C0"/>
    <w:rsid w:val="0012480D"/>
    <w:rsid w:val="00124C04"/>
    <w:rsid w:val="0012575A"/>
    <w:rsid w:val="00125BA3"/>
    <w:rsid w:val="00125EF4"/>
    <w:rsid w:val="00125F18"/>
    <w:rsid w:val="001264B5"/>
    <w:rsid w:val="0012679C"/>
    <w:rsid w:val="001269E3"/>
    <w:rsid w:val="00126ADD"/>
    <w:rsid w:val="00126D79"/>
    <w:rsid w:val="00126E42"/>
    <w:rsid w:val="00126EA7"/>
    <w:rsid w:val="001273D3"/>
    <w:rsid w:val="0012784B"/>
    <w:rsid w:val="00127878"/>
    <w:rsid w:val="00127B32"/>
    <w:rsid w:val="00127F72"/>
    <w:rsid w:val="00127F83"/>
    <w:rsid w:val="0013020B"/>
    <w:rsid w:val="00130247"/>
    <w:rsid w:val="0013048C"/>
    <w:rsid w:val="0013090A"/>
    <w:rsid w:val="00130D0A"/>
    <w:rsid w:val="0013103B"/>
    <w:rsid w:val="0013131F"/>
    <w:rsid w:val="00131478"/>
    <w:rsid w:val="0013158E"/>
    <w:rsid w:val="0013195E"/>
    <w:rsid w:val="00131B5E"/>
    <w:rsid w:val="00131BAD"/>
    <w:rsid w:val="00131D35"/>
    <w:rsid w:val="00131E5E"/>
    <w:rsid w:val="001321BC"/>
    <w:rsid w:val="00132486"/>
    <w:rsid w:val="00132AA0"/>
    <w:rsid w:val="00133058"/>
    <w:rsid w:val="0013337D"/>
    <w:rsid w:val="0013384D"/>
    <w:rsid w:val="00134213"/>
    <w:rsid w:val="00134263"/>
    <w:rsid w:val="0013434A"/>
    <w:rsid w:val="001343E2"/>
    <w:rsid w:val="00134BE2"/>
    <w:rsid w:val="00134C98"/>
    <w:rsid w:val="00134E08"/>
    <w:rsid w:val="00134FC5"/>
    <w:rsid w:val="00135268"/>
    <w:rsid w:val="00135703"/>
    <w:rsid w:val="00135888"/>
    <w:rsid w:val="00135CC6"/>
    <w:rsid w:val="00135D72"/>
    <w:rsid w:val="001363DF"/>
    <w:rsid w:val="001365D5"/>
    <w:rsid w:val="00136B7B"/>
    <w:rsid w:val="00136D94"/>
    <w:rsid w:val="00136E60"/>
    <w:rsid w:val="00136F06"/>
    <w:rsid w:val="00137279"/>
    <w:rsid w:val="0013742C"/>
    <w:rsid w:val="001374B3"/>
    <w:rsid w:val="001376F7"/>
    <w:rsid w:val="0013772C"/>
    <w:rsid w:val="00137970"/>
    <w:rsid w:val="0014012C"/>
    <w:rsid w:val="00140193"/>
    <w:rsid w:val="001402CF"/>
    <w:rsid w:val="00140A82"/>
    <w:rsid w:val="00140F3A"/>
    <w:rsid w:val="0014126A"/>
    <w:rsid w:val="0014138F"/>
    <w:rsid w:val="00141400"/>
    <w:rsid w:val="001415E8"/>
    <w:rsid w:val="00141B99"/>
    <w:rsid w:val="0014241E"/>
    <w:rsid w:val="00142659"/>
    <w:rsid w:val="00142844"/>
    <w:rsid w:val="00142971"/>
    <w:rsid w:val="001429C8"/>
    <w:rsid w:val="00142B12"/>
    <w:rsid w:val="00142DA1"/>
    <w:rsid w:val="00142DB4"/>
    <w:rsid w:val="001430CF"/>
    <w:rsid w:val="0014333B"/>
    <w:rsid w:val="00143704"/>
    <w:rsid w:val="0014378E"/>
    <w:rsid w:val="00143939"/>
    <w:rsid w:val="001439A3"/>
    <w:rsid w:val="00143B7A"/>
    <w:rsid w:val="00143C1C"/>
    <w:rsid w:val="00143C4E"/>
    <w:rsid w:val="00143DD8"/>
    <w:rsid w:val="00144535"/>
    <w:rsid w:val="001445A4"/>
    <w:rsid w:val="00144AE2"/>
    <w:rsid w:val="00144B31"/>
    <w:rsid w:val="001450E0"/>
    <w:rsid w:val="00145321"/>
    <w:rsid w:val="00145F1C"/>
    <w:rsid w:val="00145F9C"/>
    <w:rsid w:val="00146010"/>
    <w:rsid w:val="001467C3"/>
    <w:rsid w:val="0014685D"/>
    <w:rsid w:val="00146DCC"/>
    <w:rsid w:val="001472B2"/>
    <w:rsid w:val="00147407"/>
    <w:rsid w:val="0014778B"/>
    <w:rsid w:val="0014797C"/>
    <w:rsid w:val="00147F94"/>
    <w:rsid w:val="00150057"/>
    <w:rsid w:val="0015008A"/>
    <w:rsid w:val="0015011C"/>
    <w:rsid w:val="00150662"/>
    <w:rsid w:val="001509F7"/>
    <w:rsid w:val="00150BF7"/>
    <w:rsid w:val="00150C0E"/>
    <w:rsid w:val="00150F4B"/>
    <w:rsid w:val="00151124"/>
    <w:rsid w:val="00151370"/>
    <w:rsid w:val="001513A3"/>
    <w:rsid w:val="001513D7"/>
    <w:rsid w:val="001515A7"/>
    <w:rsid w:val="0015166B"/>
    <w:rsid w:val="00151C39"/>
    <w:rsid w:val="00151EFB"/>
    <w:rsid w:val="001523C6"/>
    <w:rsid w:val="0015257A"/>
    <w:rsid w:val="00152B8F"/>
    <w:rsid w:val="00152BEA"/>
    <w:rsid w:val="00152F82"/>
    <w:rsid w:val="0015316E"/>
    <w:rsid w:val="00154249"/>
    <w:rsid w:val="001546BA"/>
    <w:rsid w:val="00154C36"/>
    <w:rsid w:val="00154F69"/>
    <w:rsid w:val="00155346"/>
    <w:rsid w:val="00155BA5"/>
    <w:rsid w:val="00155FC1"/>
    <w:rsid w:val="00156493"/>
    <w:rsid w:val="001565B4"/>
    <w:rsid w:val="00156A02"/>
    <w:rsid w:val="00156FC4"/>
    <w:rsid w:val="00157032"/>
    <w:rsid w:val="0015714D"/>
    <w:rsid w:val="00157516"/>
    <w:rsid w:val="00157776"/>
    <w:rsid w:val="00157941"/>
    <w:rsid w:val="00157991"/>
    <w:rsid w:val="00157A86"/>
    <w:rsid w:val="00160088"/>
    <w:rsid w:val="001603D8"/>
    <w:rsid w:val="0016068D"/>
    <w:rsid w:val="001609FD"/>
    <w:rsid w:val="00160B84"/>
    <w:rsid w:val="00160CAF"/>
    <w:rsid w:val="00160F52"/>
    <w:rsid w:val="0016104E"/>
    <w:rsid w:val="001616B6"/>
    <w:rsid w:val="00161C3B"/>
    <w:rsid w:val="00161C6D"/>
    <w:rsid w:val="001621CB"/>
    <w:rsid w:val="00162472"/>
    <w:rsid w:val="00162647"/>
    <w:rsid w:val="001628A4"/>
    <w:rsid w:val="00162CE6"/>
    <w:rsid w:val="00162E64"/>
    <w:rsid w:val="001634D1"/>
    <w:rsid w:val="00163D29"/>
    <w:rsid w:val="001646C1"/>
    <w:rsid w:val="001646D6"/>
    <w:rsid w:val="00164845"/>
    <w:rsid w:val="001649B1"/>
    <w:rsid w:val="001650C4"/>
    <w:rsid w:val="00165285"/>
    <w:rsid w:val="001655E0"/>
    <w:rsid w:val="00165F8E"/>
    <w:rsid w:val="00166002"/>
    <w:rsid w:val="00166018"/>
    <w:rsid w:val="00166155"/>
    <w:rsid w:val="00166346"/>
    <w:rsid w:val="0016645C"/>
    <w:rsid w:val="001664B3"/>
    <w:rsid w:val="001672C9"/>
    <w:rsid w:val="00167302"/>
    <w:rsid w:val="001673D8"/>
    <w:rsid w:val="00167518"/>
    <w:rsid w:val="00167806"/>
    <w:rsid w:val="00167F0F"/>
    <w:rsid w:val="00170134"/>
    <w:rsid w:val="00170344"/>
    <w:rsid w:val="00170AC8"/>
    <w:rsid w:val="00170F79"/>
    <w:rsid w:val="0017111D"/>
    <w:rsid w:val="00171623"/>
    <w:rsid w:val="00171AC0"/>
    <w:rsid w:val="0017289D"/>
    <w:rsid w:val="00172AE4"/>
    <w:rsid w:val="00173196"/>
    <w:rsid w:val="00173475"/>
    <w:rsid w:val="0017374D"/>
    <w:rsid w:val="0017386F"/>
    <w:rsid w:val="00173C05"/>
    <w:rsid w:val="00173D47"/>
    <w:rsid w:val="001745CE"/>
    <w:rsid w:val="00174654"/>
    <w:rsid w:val="001748EE"/>
    <w:rsid w:val="00174906"/>
    <w:rsid w:val="001749A3"/>
    <w:rsid w:val="00174C46"/>
    <w:rsid w:val="00174DB8"/>
    <w:rsid w:val="0017597B"/>
    <w:rsid w:val="0017630E"/>
    <w:rsid w:val="001763F3"/>
    <w:rsid w:val="001764E1"/>
    <w:rsid w:val="0017695C"/>
    <w:rsid w:val="001769A0"/>
    <w:rsid w:val="001778C4"/>
    <w:rsid w:val="001779E2"/>
    <w:rsid w:val="00177A7D"/>
    <w:rsid w:val="00177AB3"/>
    <w:rsid w:val="00177B7C"/>
    <w:rsid w:val="00177E33"/>
    <w:rsid w:val="001800AF"/>
    <w:rsid w:val="00180101"/>
    <w:rsid w:val="001801D1"/>
    <w:rsid w:val="00180330"/>
    <w:rsid w:val="00180659"/>
    <w:rsid w:val="001807D6"/>
    <w:rsid w:val="00180C80"/>
    <w:rsid w:val="001812C2"/>
    <w:rsid w:val="001816F5"/>
    <w:rsid w:val="00181B01"/>
    <w:rsid w:val="001821E6"/>
    <w:rsid w:val="001821FF"/>
    <w:rsid w:val="00182384"/>
    <w:rsid w:val="001828E9"/>
    <w:rsid w:val="00182C22"/>
    <w:rsid w:val="00182D91"/>
    <w:rsid w:val="001830A2"/>
    <w:rsid w:val="001833C0"/>
    <w:rsid w:val="001841EF"/>
    <w:rsid w:val="001847EF"/>
    <w:rsid w:val="00184E74"/>
    <w:rsid w:val="00184F3E"/>
    <w:rsid w:val="0018536A"/>
    <w:rsid w:val="001855C7"/>
    <w:rsid w:val="0018564D"/>
    <w:rsid w:val="00185870"/>
    <w:rsid w:val="001863FA"/>
    <w:rsid w:val="001868C9"/>
    <w:rsid w:val="00187045"/>
    <w:rsid w:val="0018720F"/>
    <w:rsid w:val="00187AA4"/>
    <w:rsid w:val="00187CC5"/>
    <w:rsid w:val="00187FE3"/>
    <w:rsid w:val="001913DD"/>
    <w:rsid w:val="001918A2"/>
    <w:rsid w:val="00191B51"/>
    <w:rsid w:val="00191C5A"/>
    <w:rsid w:val="00192104"/>
    <w:rsid w:val="001921AE"/>
    <w:rsid w:val="0019227C"/>
    <w:rsid w:val="0019240F"/>
    <w:rsid w:val="0019253B"/>
    <w:rsid w:val="0019294F"/>
    <w:rsid w:val="00192A39"/>
    <w:rsid w:val="00192AA1"/>
    <w:rsid w:val="00192AF2"/>
    <w:rsid w:val="00192BB9"/>
    <w:rsid w:val="00192CB6"/>
    <w:rsid w:val="00192FBB"/>
    <w:rsid w:val="00193334"/>
    <w:rsid w:val="00193378"/>
    <w:rsid w:val="0019341F"/>
    <w:rsid w:val="001935DA"/>
    <w:rsid w:val="00193655"/>
    <w:rsid w:val="00193DCF"/>
    <w:rsid w:val="0019441D"/>
    <w:rsid w:val="001948A5"/>
    <w:rsid w:val="00194B63"/>
    <w:rsid w:val="00194E77"/>
    <w:rsid w:val="00194E8C"/>
    <w:rsid w:val="001950AF"/>
    <w:rsid w:val="0019574B"/>
    <w:rsid w:val="0019579A"/>
    <w:rsid w:val="001958A2"/>
    <w:rsid w:val="00195A44"/>
    <w:rsid w:val="00196154"/>
    <w:rsid w:val="00196396"/>
    <w:rsid w:val="0019684E"/>
    <w:rsid w:val="0019686E"/>
    <w:rsid w:val="00196DB7"/>
    <w:rsid w:val="00196EB5"/>
    <w:rsid w:val="001970F5"/>
    <w:rsid w:val="001976FC"/>
    <w:rsid w:val="00197719"/>
    <w:rsid w:val="00197C1E"/>
    <w:rsid w:val="001A02A4"/>
    <w:rsid w:val="001A067E"/>
    <w:rsid w:val="001A0BCE"/>
    <w:rsid w:val="001A0F82"/>
    <w:rsid w:val="001A11DA"/>
    <w:rsid w:val="001A191E"/>
    <w:rsid w:val="001A1E9F"/>
    <w:rsid w:val="001A207D"/>
    <w:rsid w:val="001A2152"/>
    <w:rsid w:val="001A21B5"/>
    <w:rsid w:val="001A231A"/>
    <w:rsid w:val="001A249E"/>
    <w:rsid w:val="001A2504"/>
    <w:rsid w:val="001A2D35"/>
    <w:rsid w:val="001A363A"/>
    <w:rsid w:val="001A37FE"/>
    <w:rsid w:val="001A3AED"/>
    <w:rsid w:val="001A3C5D"/>
    <w:rsid w:val="001A3EB3"/>
    <w:rsid w:val="001A418B"/>
    <w:rsid w:val="001A41A9"/>
    <w:rsid w:val="001A43B3"/>
    <w:rsid w:val="001A482D"/>
    <w:rsid w:val="001A4D02"/>
    <w:rsid w:val="001A5312"/>
    <w:rsid w:val="001A581B"/>
    <w:rsid w:val="001A58C6"/>
    <w:rsid w:val="001A5C1D"/>
    <w:rsid w:val="001A6280"/>
    <w:rsid w:val="001A63CD"/>
    <w:rsid w:val="001A671C"/>
    <w:rsid w:val="001A6EC8"/>
    <w:rsid w:val="001A745F"/>
    <w:rsid w:val="001A75ED"/>
    <w:rsid w:val="001A7719"/>
    <w:rsid w:val="001A7942"/>
    <w:rsid w:val="001A7B88"/>
    <w:rsid w:val="001A7F73"/>
    <w:rsid w:val="001B0247"/>
    <w:rsid w:val="001B048B"/>
    <w:rsid w:val="001B0D2B"/>
    <w:rsid w:val="001B1377"/>
    <w:rsid w:val="001B1688"/>
    <w:rsid w:val="001B17F6"/>
    <w:rsid w:val="001B1890"/>
    <w:rsid w:val="001B1CBB"/>
    <w:rsid w:val="001B1D38"/>
    <w:rsid w:val="001B219B"/>
    <w:rsid w:val="001B2302"/>
    <w:rsid w:val="001B2556"/>
    <w:rsid w:val="001B262C"/>
    <w:rsid w:val="001B2C8A"/>
    <w:rsid w:val="001B31B2"/>
    <w:rsid w:val="001B369A"/>
    <w:rsid w:val="001B36B3"/>
    <w:rsid w:val="001B36DE"/>
    <w:rsid w:val="001B3917"/>
    <w:rsid w:val="001B3A16"/>
    <w:rsid w:val="001B4050"/>
    <w:rsid w:val="001B472B"/>
    <w:rsid w:val="001B4E84"/>
    <w:rsid w:val="001B5778"/>
    <w:rsid w:val="001B59FD"/>
    <w:rsid w:val="001B5A16"/>
    <w:rsid w:val="001B612F"/>
    <w:rsid w:val="001B6195"/>
    <w:rsid w:val="001B6546"/>
    <w:rsid w:val="001B6807"/>
    <w:rsid w:val="001B6B0D"/>
    <w:rsid w:val="001B6CF6"/>
    <w:rsid w:val="001B6FA4"/>
    <w:rsid w:val="001B7566"/>
    <w:rsid w:val="001B7881"/>
    <w:rsid w:val="001B79C9"/>
    <w:rsid w:val="001B7F14"/>
    <w:rsid w:val="001B7F59"/>
    <w:rsid w:val="001B7FDA"/>
    <w:rsid w:val="001C05B7"/>
    <w:rsid w:val="001C05FE"/>
    <w:rsid w:val="001C0B71"/>
    <w:rsid w:val="001C0D1F"/>
    <w:rsid w:val="001C0D8B"/>
    <w:rsid w:val="001C0DB1"/>
    <w:rsid w:val="001C1378"/>
    <w:rsid w:val="001C165B"/>
    <w:rsid w:val="001C1A31"/>
    <w:rsid w:val="001C1BA0"/>
    <w:rsid w:val="001C228D"/>
    <w:rsid w:val="001C23DC"/>
    <w:rsid w:val="001C2633"/>
    <w:rsid w:val="001C2B59"/>
    <w:rsid w:val="001C2CA9"/>
    <w:rsid w:val="001C3187"/>
    <w:rsid w:val="001C339C"/>
    <w:rsid w:val="001C370A"/>
    <w:rsid w:val="001C3737"/>
    <w:rsid w:val="001C37A3"/>
    <w:rsid w:val="001C38E5"/>
    <w:rsid w:val="001C3EBB"/>
    <w:rsid w:val="001C46A3"/>
    <w:rsid w:val="001C49C9"/>
    <w:rsid w:val="001C4B98"/>
    <w:rsid w:val="001C4F59"/>
    <w:rsid w:val="001C4F78"/>
    <w:rsid w:val="001C5318"/>
    <w:rsid w:val="001C5B5A"/>
    <w:rsid w:val="001C5D64"/>
    <w:rsid w:val="001C60C1"/>
    <w:rsid w:val="001C6275"/>
    <w:rsid w:val="001C62F7"/>
    <w:rsid w:val="001C664F"/>
    <w:rsid w:val="001C6714"/>
    <w:rsid w:val="001C6807"/>
    <w:rsid w:val="001C6D41"/>
    <w:rsid w:val="001C6ECF"/>
    <w:rsid w:val="001C74A1"/>
    <w:rsid w:val="001C77D7"/>
    <w:rsid w:val="001C7924"/>
    <w:rsid w:val="001C79B0"/>
    <w:rsid w:val="001C7F7C"/>
    <w:rsid w:val="001D009B"/>
    <w:rsid w:val="001D02CE"/>
    <w:rsid w:val="001D0330"/>
    <w:rsid w:val="001D0801"/>
    <w:rsid w:val="001D086A"/>
    <w:rsid w:val="001D0939"/>
    <w:rsid w:val="001D09ED"/>
    <w:rsid w:val="001D0ADB"/>
    <w:rsid w:val="001D0C5D"/>
    <w:rsid w:val="001D0D0C"/>
    <w:rsid w:val="001D0E09"/>
    <w:rsid w:val="001D1493"/>
    <w:rsid w:val="001D1571"/>
    <w:rsid w:val="001D1698"/>
    <w:rsid w:val="001D171A"/>
    <w:rsid w:val="001D1895"/>
    <w:rsid w:val="001D1AB2"/>
    <w:rsid w:val="001D1F16"/>
    <w:rsid w:val="001D2251"/>
    <w:rsid w:val="001D2356"/>
    <w:rsid w:val="001D24CF"/>
    <w:rsid w:val="001D26C3"/>
    <w:rsid w:val="001D2867"/>
    <w:rsid w:val="001D28DE"/>
    <w:rsid w:val="001D2EAB"/>
    <w:rsid w:val="001D3125"/>
    <w:rsid w:val="001D32AA"/>
    <w:rsid w:val="001D3714"/>
    <w:rsid w:val="001D38E4"/>
    <w:rsid w:val="001D3AAD"/>
    <w:rsid w:val="001D3F51"/>
    <w:rsid w:val="001D432F"/>
    <w:rsid w:val="001D4388"/>
    <w:rsid w:val="001D441A"/>
    <w:rsid w:val="001D4742"/>
    <w:rsid w:val="001D47C3"/>
    <w:rsid w:val="001D48AE"/>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D7E79"/>
    <w:rsid w:val="001E006C"/>
    <w:rsid w:val="001E0262"/>
    <w:rsid w:val="001E056A"/>
    <w:rsid w:val="001E086D"/>
    <w:rsid w:val="001E0DA2"/>
    <w:rsid w:val="001E10A5"/>
    <w:rsid w:val="001E10A6"/>
    <w:rsid w:val="001E13A1"/>
    <w:rsid w:val="001E13F6"/>
    <w:rsid w:val="001E21C8"/>
    <w:rsid w:val="001E220B"/>
    <w:rsid w:val="001E2410"/>
    <w:rsid w:val="001E27E4"/>
    <w:rsid w:val="001E284B"/>
    <w:rsid w:val="001E28D0"/>
    <w:rsid w:val="001E3392"/>
    <w:rsid w:val="001E33A0"/>
    <w:rsid w:val="001E3944"/>
    <w:rsid w:val="001E3999"/>
    <w:rsid w:val="001E3A38"/>
    <w:rsid w:val="001E3D6C"/>
    <w:rsid w:val="001E3F8B"/>
    <w:rsid w:val="001E40F8"/>
    <w:rsid w:val="001E4393"/>
    <w:rsid w:val="001E43B0"/>
    <w:rsid w:val="001E4BDB"/>
    <w:rsid w:val="001E4F28"/>
    <w:rsid w:val="001E57E0"/>
    <w:rsid w:val="001E5A18"/>
    <w:rsid w:val="001E628F"/>
    <w:rsid w:val="001E63BA"/>
    <w:rsid w:val="001E6D4F"/>
    <w:rsid w:val="001E6F9F"/>
    <w:rsid w:val="001E7441"/>
    <w:rsid w:val="001E7D1C"/>
    <w:rsid w:val="001F0003"/>
    <w:rsid w:val="001F005B"/>
    <w:rsid w:val="001F0674"/>
    <w:rsid w:val="001F0C79"/>
    <w:rsid w:val="001F11BF"/>
    <w:rsid w:val="001F11E5"/>
    <w:rsid w:val="001F124B"/>
    <w:rsid w:val="001F1381"/>
    <w:rsid w:val="001F14D2"/>
    <w:rsid w:val="001F16E0"/>
    <w:rsid w:val="001F184A"/>
    <w:rsid w:val="001F1971"/>
    <w:rsid w:val="001F1AC1"/>
    <w:rsid w:val="001F1E67"/>
    <w:rsid w:val="001F222D"/>
    <w:rsid w:val="001F22D2"/>
    <w:rsid w:val="001F2349"/>
    <w:rsid w:val="001F251B"/>
    <w:rsid w:val="001F28A7"/>
    <w:rsid w:val="001F2A93"/>
    <w:rsid w:val="001F2B08"/>
    <w:rsid w:val="001F2DA5"/>
    <w:rsid w:val="001F3424"/>
    <w:rsid w:val="001F349C"/>
    <w:rsid w:val="001F3798"/>
    <w:rsid w:val="001F3E3D"/>
    <w:rsid w:val="001F401C"/>
    <w:rsid w:val="001F4A87"/>
    <w:rsid w:val="001F509D"/>
    <w:rsid w:val="001F522D"/>
    <w:rsid w:val="001F53DC"/>
    <w:rsid w:val="001F5564"/>
    <w:rsid w:val="001F56B2"/>
    <w:rsid w:val="001F58C4"/>
    <w:rsid w:val="001F5A85"/>
    <w:rsid w:val="001F5E8E"/>
    <w:rsid w:val="001F6349"/>
    <w:rsid w:val="001F6505"/>
    <w:rsid w:val="001F6824"/>
    <w:rsid w:val="001F6E53"/>
    <w:rsid w:val="001F6E8C"/>
    <w:rsid w:val="001F71F3"/>
    <w:rsid w:val="001F76F5"/>
    <w:rsid w:val="001F7839"/>
    <w:rsid w:val="001F7977"/>
    <w:rsid w:val="001F7B05"/>
    <w:rsid w:val="001F7D18"/>
    <w:rsid w:val="001F7F38"/>
    <w:rsid w:val="00200008"/>
    <w:rsid w:val="00200259"/>
    <w:rsid w:val="00200648"/>
    <w:rsid w:val="00200654"/>
    <w:rsid w:val="002006A0"/>
    <w:rsid w:val="0020097B"/>
    <w:rsid w:val="00200996"/>
    <w:rsid w:val="00200A82"/>
    <w:rsid w:val="002011E1"/>
    <w:rsid w:val="0020122A"/>
    <w:rsid w:val="002013E5"/>
    <w:rsid w:val="00201E90"/>
    <w:rsid w:val="002020F8"/>
    <w:rsid w:val="00202308"/>
    <w:rsid w:val="00203011"/>
    <w:rsid w:val="0020315E"/>
    <w:rsid w:val="0020317D"/>
    <w:rsid w:val="00203285"/>
    <w:rsid w:val="00203309"/>
    <w:rsid w:val="00203982"/>
    <w:rsid w:val="00203ACE"/>
    <w:rsid w:val="00203BCD"/>
    <w:rsid w:val="0020429E"/>
    <w:rsid w:val="00204364"/>
    <w:rsid w:val="002047D9"/>
    <w:rsid w:val="00204C21"/>
    <w:rsid w:val="00204CB9"/>
    <w:rsid w:val="00204DF6"/>
    <w:rsid w:val="00205003"/>
    <w:rsid w:val="00205582"/>
    <w:rsid w:val="00205A1D"/>
    <w:rsid w:val="00206281"/>
    <w:rsid w:val="002065CF"/>
    <w:rsid w:val="00206604"/>
    <w:rsid w:val="0020665F"/>
    <w:rsid w:val="0020672B"/>
    <w:rsid w:val="00206803"/>
    <w:rsid w:val="00206D8B"/>
    <w:rsid w:val="00206FE1"/>
    <w:rsid w:val="002074E1"/>
    <w:rsid w:val="002075BB"/>
    <w:rsid w:val="00207A92"/>
    <w:rsid w:val="00207AE1"/>
    <w:rsid w:val="00207EA1"/>
    <w:rsid w:val="00207F2F"/>
    <w:rsid w:val="00210068"/>
    <w:rsid w:val="00210736"/>
    <w:rsid w:val="00210AF5"/>
    <w:rsid w:val="00210D0E"/>
    <w:rsid w:val="00210FC3"/>
    <w:rsid w:val="002111CD"/>
    <w:rsid w:val="0021153D"/>
    <w:rsid w:val="00211609"/>
    <w:rsid w:val="00211976"/>
    <w:rsid w:val="002119B5"/>
    <w:rsid w:val="00211C45"/>
    <w:rsid w:val="00211DFB"/>
    <w:rsid w:val="00211E90"/>
    <w:rsid w:val="00211E93"/>
    <w:rsid w:val="00211F41"/>
    <w:rsid w:val="00211F55"/>
    <w:rsid w:val="00211FB6"/>
    <w:rsid w:val="002122E1"/>
    <w:rsid w:val="00212520"/>
    <w:rsid w:val="002127B3"/>
    <w:rsid w:val="002128DF"/>
    <w:rsid w:val="00212926"/>
    <w:rsid w:val="00212F10"/>
    <w:rsid w:val="00212FED"/>
    <w:rsid w:val="0021352E"/>
    <w:rsid w:val="00213C7B"/>
    <w:rsid w:val="00213E50"/>
    <w:rsid w:val="002148C5"/>
    <w:rsid w:val="00214A42"/>
    <w:rsid w:val="00214A63"/>
    <w:rsid w:val="00214D47"/>
    <w:rsid w:val="00214D89"/>
    <w:rsid w:val="00214DD2"/>
    <w:rsid w:val="002156CA"/>
    <w:rsid w:val="002157F2"/>
    <w:rsid w:val="00216631"/>
    <w:rsid w:val="0021671A"/>
    <w:rsid w:val="00216768"/>
    <w:rsid w:val="00216C49"/>
    <w:rsid w:val="00217093"/>
    <w:rsid w:val="002173B2"/>
    <w:rsid w:val="002174A2"/>
    <w:rsid w:val="002175D7"/>
    <w:rsid w:val="00217C05"/>
    <w:rsid w:val="00217C83"/>
    <w:rsid w:val="00217FCC"/>
    <w:rsid w:val="002206A9"/>
    <w:rsid w:val="00220A7B"/>
    <w:rsid w:val="00220CB5"/>
    <w:rsid w:val="00220DBB"/>
    <w:rsid w:val="002210EE"/>
    <w:rsid w:val="0022112F"/>
    <w:rsid w:val="00221523"/>
    <w:rsid w:val="002215EF"/>
    <w:rsid w:val="00221717"/>
    <w:rsid w:val="00221B80"/>
    <w:rsid w:val="00221DAA"/>
    <w:rsid w:val="002220AD"/>
    <w:rsid w:val="00222134"/>
    <w:rsid w:val="00222288"/>
    <w:rsid w:val="002222A2"/>
    <w:rsid w:val="00222450"/>
    <w:rsid w:val="00222654"/>
    <w:rsid w:val="002227AD"/>
    <w:rsid w:val="002228CA"/>
    <w:rsid w:val="0022298F"/>
    <w:rsid w:val="00222A67"/>
    <w:rsid w:val="00222D67"/>
    <w:rsid w:val="00222EDE"/>
    <w:rsid w:val="00222F47"/>
    <w:rsid w:val="00222F8F"/>
    <w:rsid w:val="002230FA"/>
    <w:rsid w:val="00223225"/>
    <w:rsid w:val="002232A9"/>
    <w:rsid w:val="002235C9"/>
    <w:rsid w:val="002239BD"/>
    <w:rsid w:val="00223B7E"/>
    <w:rsid w:val="00223C32"/>
    <w:rsid w:val="00223D5E"/>
    <w:rsid w:val="00223F77"/>
    <w:rsid w:val="0022402F"/>
    <w:rsid w:val="0022422F"/>
    <w:rsid w:val="00224350"/>
    <w:rsid w:val="002247AB"/>
    <w:rsid w:val="00224DBA"/>
    <w:rsid w:val="00225172"/>
    <w:rsid w:val="0022541C"/>
    <w:rsid w:val="002259F3"/>
    <w:rsid w:val="0022633D"/>
    <w:rsid w:val="00226890"/>
    <w:rsid w:val="00226D15"/>
    <w:rsid w:val="002271CE"/>
    <w:rsid w:val="00227321"/>
    <w:rsid w:val="00227931"/>
    <w:rsid w:val="00227A49"/>
    <w:rsid w:val="00227A68"/>
    <w:rsid w:val="00227C7A"/>
    <w:rsid w:val="00227F10"/>
    <w:rsid w:val="00230489"/>
    <w:rsid w:val="002306B8"/>
    <w:rsid w:val="002308A3"/>
    <w:rsid w:val="00230A6E"/>
    <w:rsid w:val="00230C1D"/>
    <w:rsid w:val="00231A8D"/>
    <w:rsid w:val="00231C62"/>
    <w:rsid w:val="00231E36"/>
    <w:rsid w:val="00232248"/>
    <w:rsid w:val="002325E0"/>
    <w:rsid w:val="00232BD6"/>
    <w:rsid w:val="00232E1C"/>
    <w:rsid w:val="00232EBE"/>
    <w:rsid w:val="00233145"/>
    <w:rsid w:val="002332E3"/>
    <w:rsid w:val="00233363"/>
    <w:rsid w:val="00233522"/>
    <w:rsid w:val="0023358F"/>
    <w:rsid w:val="002336C0"/>
    <w:rsid w:val="002337B8"/>
    <w:rsid w:val="002338A0"/>
    <w:rsid w:val="00233B57"/>
    <w:rsid w:val="00233E24"/>
    <w:rsid w:val="00233E5D"/>
    <w:rsid w:val="002347B4"/>
    <w:rsid w:val="00234D03"/>
    <w:rsid w:val="00234F33"/>
    <w:rsid w:val="00234F72"/>
    <w:rsid w:val="002357F2"/>
    <w:rsid w:val="00235950"/>
    <w:rsid w:val="0023596E"/>
    <w:rsid w:val="002359FD"/>
    <w:rsid w:val="00235D8C"/>
    <w:rsid w:val="00235D9E"/>
    <w:rsid w:val="00235E50"/>
    <w:rsid w:val="00236BEF"/>
    <w:rsid w:val="00236CD9"/>
    <w:rsid w:val="00237123"/>
    <w:rsid w:val="002374CA"/>
    <w:rsid w:val="00237706"/>
    <w:rsid w:val="00237A24"/>
    <w:rsid w:val="00237B42"/>
    <w:rsid w:val="00237E40"/>
    <w:rsid w:val="00237E86"/>
    <w:rsid w:val="00240397"/>
    <w:rsid w:val="00240596"/>
    <w:rsid w:val="002406D6"/>
    <w:rsid w:val="0024098D"/>
    <w:rsid w:val="00240E3B"/>
    <w:rsid w:val="0024163D"/>
    <w:rsid w:val="00241D23"/>
    <w:rsid w:val="00241D41"/>
    <w:rsid w:val="00241D59"/>
    <w:rsid w:val="00241E63"/>
    <w:rsid w:val="00241F1A"/>
    <w:rsid w:val="002420E9"/>
    <w:rsid w:val="0024223B"/>
    <w:rsid w:val="00242738"/>
    <w:rsid w:val="00242931"/>
    <w:rsid w:val="00242AD5"/>
    <w:rsid w:val="00242D20"/>
    <w:rsid w:val="0024323C"/>
    <w:rsid w:val="00243684"/>
    <w:rsid w:val="00244258"/>
    <w:rsid w:val="0024468A"/>
    <w:rsid w:val="00244862"/>
    <w:rsid w:val="002450CE"/>
    <w:rsid w:val="002452EC"/>
    <w:rsid w:val="00245546"/>
    <w:rsid w:val="00245944"/>
    <w:rsid w:val="00245978"/>
    <w:rsid w:val="00245A6A"/>
    <w:rsid w:val="00245DE6"/>
    <w:rsid w:val="00245F22"/>
    <w:rsid w:val="00246494"/>
    <w:rsid w:val="0024655F"/>
    <w:rsid w:val="00246841"/>
    <w:rsid w:val="00246ABD"/>
    <w:rsid w:val="00246AFD"/>
    <w:rsid w:val="00246EC4"/>
    <w:rsid w:val="002470CE"/>
    <w:rsid w:val="0024710F"/>
    <w:rsid w:val="002475F4"/>
    <w:rsid w:val="002479A4"/>
    <w:rsid w:val="00250216"/>
    <w:rsid w:val="0025043C"/>
    <w:rsid w:val="002506C3"/>
    <w:rsid w:val="00250F94"/>
    <w:rsid w:val="002511C4"/>
    <w:rsid w:val="0025134E"/>
    <w:rsid w:val="00251DB6"/>
    <w:rsid w:val="002521B4"/>
    <w:rsid w:val="00252227"/>
    <w:rsid w:val="002523A8"/>
    <w:rsid w:val="002524AC"/>
    <w:rsid w:val="00252747"/>
    <w:rsid w:val="002528AF"/>
    <w:rsid w:val="002528B8"/>
    <w:rsid w:val="00252B7D"/>
    <w:rsid w:val="00252EAA"/>
    <w:rsid w:val="002534E0"/>
    <w:rsid w:val="0025359D"/>
    <w:rsid w:val="00253B05"/>
    <w:rsid w:val="00253BBC"/>
    <w:rsid w:val="00253D18"/>
    <w:rsid w:val="002540BD"/>
    <w:rsid w:val="0025461A"/>
    <w:rsid w:val="002546C6"/>
    <w:rsid w:val="00254C20"/>
    <w:rsid w:val="00255484"/>
    <w:rsid w:val="002555FF"/>
    <w:rsid w:val="0025582E"/>
    <w:rsid w:val="00255996"/>
    <w:rsid w:val="00255C3A"/>
    <w:rsid w:val="002560DA"/>
    <w:rsid w:val="002564A4"/>
    <w:rsid w:val="00256D54"/>
    <w:rsid w:val="00256EBC"/>
    <w:rsid w:val="00256FE0"/>
    <w:rsid w:val="0025704A"/>
    <w:rsid w:val="00257126"/>
    <w:rsid w:val="00257B86"/>
    <w:rsid w:val="00257BB1"/>
    <w:rsid w:val="00257BB2"/>
    <w:rsid w:val="00257D74"/>
    <w:rsid w:val="00257EEA"/>
    <w:rsid w:val="00260227"/>
    <w:rsid w:val="0026037C"/>
    <w:rsid w:val="00260623"/>
    <w:rsid w:val="0026072E"/>
    <w:rsid w:val="002608DC"/>
    <w:rsid w:val="00260AA9"/>
    <w:rsid w:val="002619EC"/>
    <w:rsid w:val="00261C0F"/>
    <w:rsid w:val="002620EE"/>
    <w:rsid w:val="00262339"/>
    <w:rsid w:val="00262564"/>
    <w:rsid w:val="002628D7"/>
    <w:rsid w:val="00262BC3"/>
    <w:rsid w:val="00262D10"/>
    <w:rsid w:val="00262F9B"/>
    <w:rsid w:val="00262FB3"/>
    <w:rsid w:val="002631D1"/>
    <w:rsid w:val="002633CA"/>
    <w:rsid w:val="002634CA"/>
    <w:rsid w:val="0026379E"/>
    <w:rsid w:val="00263967"/>
    <w:rsid w:val="002639CF"/>
    <w:rsid w:val="00263AE6"/>
    <w:rsid w:val="00263F2C"/>
    <w:rsid w:val="0026471E"/>
    <w:rsid w:val="00264E15"/>
    <w:rsid w:val="00264FFE"/>
    <w:rsid w:val="0026517F"/>
    <w:rsid w:val="00265189"/>
    <w:rsid w:val="002655DA"/>
    <w:rsid w:val="002657D1"/>
    <w:rsid w:val="002658A2"/>
    <w:rsid w:val="00265B4D"/>
    <w:rsid w:val="002660F9"/>
    <w:rsid w:val="002662D8"/>
    <w:rsid w:val="002666C1"/>
    <w:rsid w:val="0026691F"/>
    <w:rsid w:val="00266CC5"/>
    <w:rsid w:val="00266F81"/>
    <w:rsid w:val="00267061"/>
    <w:rsid w:val="00267085"/>
    <w:rsid w:val="002670D8"/>
    <w:rsid w:val="002672E0"/>
    <w:rsid w:val="002678A7"/>
    <w:rsid w:val="00267ABB"/>
    <w:rsid w:val="00267B02"/>
    <w:rsid w:val="00270CBF"/>
    <w:rsid w:val="00270EC8"/>
    <w:rsid w:val="00270FB6"/>
    <w:rsid w:val="00271018"/>
    <w:rsid w:val="00271241"/>
    <w:rsid w:val="002712A7"/>
    <w:rsid w:val="00271543"/>
    <w:rsid w:val="002715B2"/>
    <w:rsid w:val="002716DF"/>
    <w:rsid w:val="002717E2"/>
    <w:rsid w:val="00271BE9"/>
    <w:rsid w:val="00271BFC"/>
    <w:rsid w:val="00271D1A"/>
    <w:rsid w:val="00271EC3"/>
    <w:rsid w:val="00272196"/>
    <w:rsid w:val="00272620"/>
    <w:rsid w:val="00272621"/>
    <w:rsid w:val="00272E64"/>
    <w:rsid w:val="002730EE"/>
    <w:rsid w:val="00273354"/>
    <w:rsid w:val="0027337A"/>
    <w:rsid w:val="00273C25"/>
    <w:rsid w:val="0027412C"/>
    <w:rsid w:val="00274DF0"/>
    <w:rsid w:val="0027577D"/>
    <w:rsid w:val="002758C0"/>
    <w:rsid w:val="00275AB9"/>
    <w:rsid w:val="00275B55"/>
    <w:rsid w:val="00275C4A"/>
    <w:rsid w:val="002762C0"/>
    <w:rsid w:val="00276735"/>
    <w:rsid w:val="002768B3"/>
    <w:rsid w:val="00276948"/>
    <w:rsid w:val="00276E5F"/>
    <w:rsid w:val="00276FC8"/>
    <w:rsid w:val="002770E5"/>
    <w:rsid w:val="00277376"/>
    <w:rsid w:val="002775D3"/>
    <w:rsid w:val="002778BF"/>
    <w:rsid w:val="00280276"/>
    <w:rsid w:val="002804EF"/>
    <w:rsid w:val="00280B74"/>
    <w:rsid w:val="00280CFC"/>
    <w:rsid w:val="00280DF4"/>
    <w:rsid w:val="0028125D"/>
    <w:rsid w:val="0028133F"/>
    <w:rsid w:val="002817A7"/>
    <w:rsid w:val="00281811"/>
    <w:rsid w:val="00281A4A"/>
    <w:rsid w:val="00281B1A"/>
    <w:rsid w:val="00281E0E"/>
    <w:rsid w:val="00281E7C"/>
    <w:rsid w:val="002824B4"/>
    <w:rsid w:val="0028256D"/>
    <w:rsid w:val="002829FE"/>
    <w:rsid w:val="00282EA0"/>
    <w:rsid w:val="00283286"/>
    <w:rsid w:val="00283369"/>
    <w:rsid w:val="00283A1A"/>
    <w:rsid w:val="00283A52"/>
    <w:rsid w:val="00283F17"/>
    <w:rsid w:val="00284349"/>
    <w:rsid w:val="00284592"/>
    <w:rsid w:val="0028481E"/>
    <w:rsid w:val="00284DD7"/>
    <w:rsid w:val="00284E4E"/>
    <w:rsid w:val="00284F93"/>
    <w:rsid w:val="00285209"/>
    <w:rsid w:val="002858E1"/>
    <w:rsid w:val="00285B51"/>
    <w:rsid w:val="00285E58"/>
    <w:rsid w:val="00285EFB"/>
    <w:rsid w:val="00285F32"/>
    <w:rsid w:val="00285F79"/>
    <w:rsid w:val="00286400"/>
    <w:rsid w:val="00286575"/>
    <w:rsid w:val="00286595"/>
    <w:rsid w:val="002865AD"/>
    <w:rsid w:val="002869E6"/>
    <w:rsid w:val="002874B8"/>
    <w:rsid w:val="00287D4D"/>
    <w:rsid w:val="00287F1B"/>
    <w:rsid w:val="00287F21"/>
    <w:rsid w:val="00290148"/>
    <w:rsid w:val="0029065E"/>
    <w:rsid w:val="0029093C"/>
    <w:rsid w:val="00290BF8"/>
    <w:rsid w:val="00290D4E"/>
    <w:rsid w:val="00290DB7"/>
    <w:rsid w:val="00290EFC"/>
    <w:rsid w:val="00291387"/>
    <w:rsid w:val="00291511"/>
    <w:rsid w:val="00291546"/>
    <w:rsid w:val="0029182D"/>
    <w:rsid w:val="00291AA5"/>
    <w:rsid w:val="0029236F"/>
    <w:rsid w:val="00292A1A"/>
    <w:rsid w:val="0029332E"/>
    <w:rsid w:val="00293445"/>
    <w:rsid w:val="002935FC"/>
    <w:rsid w:val="002935FE"/>
    <w:rsid w:val="00293933"/>
    <w:rsid w:val="002939BD"/>
    <w:rsid w:val="00293A40"/>
    <w:rsid w:val="0029404A"/>
    <w:rsid w:val="0029407B"/>
    <w:rsid w:val="00294340"/>
    <w:rsid w:val="0029445E"/>
    <w:rsid w:val="00294475"/>
    <w:rsid w:val="002944A7"/>
    <w:rsid w:val="002944E7"/>
    <w:rsid w:val="002946CB"/>
    <w:rsid w:val="00294A6D"/>
    <w:rsid w:val="00294AA5"/>
    <w:rsid w:val="00294B5C"/>
    <w:rsid w:val="00294C3C"/>
    <w:rsid w:val="00294DA1"/>
    <w:rsid w:val="00294DBD"/>
    <w:rsid w:val="00294EA2"/>
    <w:rsid w:val="00294F89"/>
    <w:rsid w:val="00295356"/>
    <w:rsid w:val="0029561F"/>
    <w:rsid w:val="00295841"/>
    <w:rsid w:val="00295CE0"/>
    <w:rsid w:val="00296738"/>
    <w:rsid w:val="00296F67"/>
    <w:rsid w:val="0029724A"/>
    <w:rsid w:val="00297583"/>
    <w:rsid w:val="002977AF"/>
    <w:rsid w:val="00297983"/>
    <w:rsid w:val="002979B4"/>
    <w:rsid w:val="00297C7B"/>
    <w:rsid w:val="00297C91"/>
    <w:rsid w:val="00297D06"/>
    <w:rsid w:val="00297E6B"/>
    <w:rsid w:val="002A02E7"/>
    <w:rsid w:val="002A05A2"/>
    <w:rsid w:val="002A063F"/>
    <w:rsid w:val="002A1007"/>
    <w:rsid w:val="002A131C"/>
    <w:rsid w:val="002A166A"/>
    <w:rsid w:val="002A1EC3"/>
    <w:rsid w:val="002A246F"/>
    <w:rsid w:val="002A29DC"/>
    <w:rsid w:val="002A497E"/>
    <w:rsid w:val="002A4B9F"/>
    <w:rsid w:val="002A4F4D"/>
    <w:rsid w:val="002A4FA1"/>
    <w:rsid w:val="002A531B"/>
    <w:rsid w:val="002A5DB8"/>
    <w:rsid w:val="002A6076"/>
    <w:rsid w:val="002A61CA"/>
    <w:rsid w:val="002A68DD"/>
    <w:rsid w:val="002A6996"/>
    <w:rsid w:val="002A6B26"/>
    <w:rsid w:val="002A6B39"/>
    <w:rsid w:val="002A6D4F"/>
    <w:rsid w:val="002A6DC1"/>
    <w:rsid w:val="002A717D"/>
    <w:rsid w:val="002A7472"/>
    <w:rsid w:val="002A76B2"/>
    <w:rsid w:val="002A76FF"/>
    <w:rsid w:val="002A7821"/>
    <w:rsid w:val="002A784D"/>
    <w:rsid w:val="002B01D5"/>
    <w:rsid w:val="002B04D3"/>
    <w:rsid w:val="002B0EC5"/>
    <w:rsid w:val="002B0FF0"/>
    <w:rsid w:val="002B1011"/>
    <w:rsid w:val="002B1082"/>
    <w:rsid w:val="002B11F7"/>
    <w:rsid w:val="002B1343"/>
    <w:rsid w:val="002B13EA"/>
    <w:rsid w:val="002B1557"/>
    <w:rsid w:val="002B15D7"/>
    <w:rsid w:val="002B184F"/>
    <w:rsid w:val="002B1A48"/>
    <w:rsid w:val="002B1F2B"/>
    <w:rsid w:val="002B20C4"/>
    <w:rsid w:val="002B237C"/>
    <w:rsid w:val="002B2433"/>
    <w:rsid w:val="002B319E"/>
    <w:rsid w:val="002B3348"/>
    <w:rsid w:val="002B3603"/>
    <w:rsid w:val="002B3A74"/>
    <w:rsid w:val="002B3AF3"/>
    <w:rsid w:val="002B42D1"/>
    <w:rsid w:val="002B4467"/>
    <w:rsid w:val="002B49F0"/>
    <w:rsid w:val="002B4CB7"/>
    <w:rsid w:val="002B5273"/>
    <w:rsid w:val="002B53AB"/>
    <w:rsid w:val="002B554E"/>
    <w:rsid w:val="002B562F"/>
    <w:rsid w:val="002B5A4C"/>
    <w:rsid w:val="002B5B12"/>
    <w:rsid w:val="002B5D01"/>
    <w:rsid w:val="002B6B4E"/>
    <w:rsid w:val="002B702F"/>
    <w:rsid w:val="002B76C1"/>
    <w:rsid w:val="002B7718"/>
    <w:rsid w:val="002C00C4"/>
    <w:rsid w:val="002C01C8"/>
    <w:rsid w:val="002C049B"/>
    <w:rsid w:val="002C0576"/>
    <w:rsid w:val="002C087B"/>
    <w:rsid w:val="002C09E2"/>
    <w:rsid w:val="002C0C59"/>
    <w:rsid w:val="002C1518"/>
    <w:rsid w:val="002C15CF"/>
    <w:rsid w:val="002C1EA7"/>
    <w:rsid w:val="002C2145"/>
    <w:rsid w:val="002C23B8"/>
    <w:rsid w:val="002C25BC"/>
    <w:rsid w:val="002C25BF"/>
    <w:rsid w:val="002C26CD"/>
    <w:rsid w:val="002C2A0D"/>
    <w:rsid w:val="002C2AB3"/>
    <w:rsid w:val="002C3257"/>
    <w:rsid w:val="002C329A"/>
    <w:rsid w:val="002C334E"/>
    <w:rsid w:val="002C3547"/>
    <w:rsid w:val="002C3C8E"/>
    <w:rsid w:val="002C3CA8"/>
    <w:rsid w:val="002C3FE5"/>
    <w:rsid w:val="002C4363"/>
    <w:rsid w:val="002C438A"/>
    <w:rsid w:val="002C461A"/>
    <w:rsid w:val="002C4898"/>
    <w:rsid w:val="002C4C1D"/>
    <w:rsid w:val="002C4C43"/>
    <w:rsid w:val="002C56C2"/>
    <w:rsid w:val="002C57C8"/>
    <w:rsid w:val="002C5816"/>
    <w:rsid w:val="002C5B0A"/>
    <w:rsid w:val="002C5C11"/>
    <w:rsid w:val="002C6B29"/>
    <w:rsid w:val="002C6BC3"/>
    <w:rsid w:val="002C6D82"/>
    <w:rsid w:val="002C7108"/>
    <w:rsid w:val="002D0115"/>
    <w:rsid w:val="002D0CA9"/>
    <w:rsid w:val="002D0D00"/>
    <w:rsid w:val="002D0E9D"/>
    <w:rsid w:val="002D103C"/>
    <w:rsid w:val="002D13AA"/>
    <w:rsid w:val="002D17A9"/>
    <w:rsid w:val="002D1CA3"/>
    <w:rsid w:val="002D1D80"/>
    <w:rsid w:val="002D1DC8"/>
    <w:rsid w:val="002D202E"/>
    <w:rsid w:val="002D205D"/>
    <w:rsid w:val="002D24B9"/>
    <w:rsid w:val="002D278F"/>
    <w:rsid w:val="002D2AC3"/>
    <w:rsid w:val="002D3048"/>
    <w:rsid w:val="002D391E"/>
    <w:rsid w:val="002D3AD0"/>
    <w:rsid w:val="002D3DF4"/>
    <w:rsid w:val="002D3F25"/>
    <w:rsid w:val="002D3F27"/>
    <w:rsid w:val="002D42F2"/>
    <w:rsid w:val="002D44C1"/>
    <w:rsid w:val="002D46DD"/>
    <w:rsid w:val="002D4B6E"/>
    <w:rsid w:val="002D4BC2"/>
    <w:rsid w:val="002D4BD7"/>
    <w:rsid w:val="002D4BE7"/>
    <w:rsid w:val="002D5006"/>
    <w:rsid w:val="002D56DD"/>
    <w:rsid w:val="002D577B"/>
    <w:rsid w:val="002D598D"/>
    <w:rsid w:val="002D5AF3"/>
    <w:rsid w:val="002D5C50"/>
    <w:rsid w:val="002D5C84"/>
    <w:rsid w:val="002D5EC0"/>
    <w:rsid w:val="002D621A"/>
    <w:rsid w:val="002D62C3"/>
    <w:rsid w:val="002D68E7"/>
    <w:rsid w:val="002D746D"/>
    <w:rsid w:val="002D756C"/>
    <w:rsid w:val="002D7DFD"/>
    <w:rsid w:val="002D7FE6"/>
    <w:rsid w:val="002E03F5"/>
    <w:rsid w:val="002E04DB"/>
    <w:rsid w:val="002E0701"/>
    <w:rsid w:val="002E09AC"/>
    <w:rsid w:val="002E0B68"/>
    <w:rsid w:val="002E10E9"/>
    <w:rsid w:val="002E14C2"/>
    <w:rsid w:val="002E177C"/>
    <w:rsid w:val="002E19AA"/>
    <w:rsid w:val="002E19D4"/>
    <w:rsid w:val="002E1A29"/>
    <w:rsid w:val="002E1F67"/>
    <w:rsid w:val="002E2017"/>
    <w:rsid w:val="002E2162"/>
    <w:rsid w:val="002E222E"/>
    <w:rsid w:val="002E2329"/>
    <w:rsid w:val="002E246C"/>
    <w:rsid w:val="002E2D81"/>
    <w:rsid w:val="002E2FC7"/>
    <w:rsid w:val="002E31E4"/>
    <w:rsid w:val="002E3470"/>
    <w:rsid w:val="002E39F3"/>
    <w:rsid w:val="002E3C80"/>
    <w:rsid w:val="002E40F6"/>
    <w:rsid w:val="002E45D0"/>
    <w:rsid w:val="002E460A"/>
    <w:rsid w:val="002E467D"/>
    <w:rsid w:val="002E4A3C"/>
    <w:rsid w:val="002E4BF6"/>
    <w:rsid w:val="002E4E34"/>
    <w:rsid w:val="002E4E5D"/>
    <w:rsid w:val="002E4EFB"/>
    <w:rsid w:val="002E5046"/>
    <w:rsid w:val="002E53A7"/>
    <w:rsid w:val="002E5BFB"/>
    <w:rsid w:val="002E61D2"/>
    <w:rsid w:val="002E623D"/>
    <w:rsid w:val="002E6936"/>
    <w:rsid w:val="002E6E68"/>
    <w:rsid w:val="002E7014"/>
    <w:rsid w:val="002E7061"/>
    <w:rsid w:val="002E70B5"/>
    <w:rsid w:val="002E7262"/>
    <w:rsid w:val="002E7506"/>
    <w:rsid w:val="002E7666"/>
    <w:rsid w:val="002E76E4"/>
    <w:rsid w:val="002E77EC"/>
    <w:rsid w:val="002E7AA7"/>
    <w:rsid w:val="002E7B63"/>
    <w:rsid w:val="002E7C86"/>
    <w:rsid w:val="002F026B"/>
    <w:rsid w:val="002F04E8"/>
    <w:rsid w:val="002F0B7D"/>
    <w:rsid w:val="002F0EA0"/>
    <w:rsid w:val="002F0EA8"/>
    <w:rsid w:val="002F0F92"/>
    <w:rsid w:val="002F11BC"/>
    <w:rsid w:val="002F1447"/>
    <w:rsid w:val="002F17C3"/>
    <w:rsid w:val="002F1AE5"/>
    <w:rsid w:val="002F21CC"/>
    <w:rsid w:val="002F2681"/>
    <w:rsid w:val="002F2BD3"/>
    <w:rsid w:val="002F2E44"/>
    <w:rsid w:val="002F2F5D"/>
    <w:rsid w:val="002F398E"/>
    <w:rsid w:val="002F3E8F"/>
    <w:rsid w:val="002F3F0F"/>
    <w:rsid w:val="002F41C8"/>
    <w:rsid w:val="002F44E2"/>
    <w:rsid w:val="002F466B"/>
    <w:rsid w:val="002F492A"/>
    <w:rsid w:val="002F5144"/>
    <w:rsid w:val="002F55AF"/>
    <w:rsid w:val="002F5609"/>
    <w:rsid w:val="002F5853"/>
    <w:rsid w:val="002F5B35"/>
    <w:rsid w:val="002F5D4C"/>
    <w:rsid w:val="002F5DF1"/>
    <w:rsid w:val="002F65F6"/>
    <w:rsid w:val="002F6635"/>
    <w:rsid w:val="002F6A6D"/>
    <w:rsid w:val="002F6BCD"/>
    <w:rsid w:val="002F6EA7"/>
    <w:rsid w:val="002F73BF"/>
    <w:rsid w:val="002F73D5"/>
    <w:rsid w:val="003006E5"/>
    <w:rsid w:val="00300AFD"/>
    <w:rsid w:val="00300B62"/>
    <w:rsid w:val="003014BD"/>
    <w:rsid w:val="0030157D"/>
    <w:rsid w:val="00301895"/>
    <w:rsid w:val="00301EFE"/>
    <w:rsid w:val="00302108"/>
    <w:rsid w:val="003024DE"/>
    <w:rsid w:val="00302791"/>
    <w:rsid w:val="003027A0"/>
    <w:rsid w:val="003028AE"/>
    <w:rsid w:val="003028D4"/>
    <w:rsid w:val="00302D5E"/>
    <w:rsid w:val="00302D61"/>
    <w:rsid w:val="00302F40"/>
    <w:rsid w:val="00303B70"/>
    <w:rsid w:val="0030427F"/>
    <w:rsid w:val="0030428E"/>
    <w:rsid w:val="003043E6"/>
    <w:rsid w:val="00304A61"/>
    <w:rsid w:val="00304D75"/>
    <w:rsid w:val="00304F67"/>
    <w:rsid w:val="00304FB6"/>
    <w:rsid w:val="00305AAE"/>
    <w:rsid w:val="00305D8D"/>
    <w:rsid w:val="0030619A"/>
    <w:rsid w:val="003062CD"/>
    <w:rsid w:val="00306342"/>
    <w:rsid w:val="00306603"/>
    <w:rsid w:val="00306BFA"/>
    <w:rsid w:val="00306C0E"/>
    <w:rsid w:val="00306F45"/>
    <w:rsid w:val="003070BE"/>
    <w:rsid w:val="003072C5"/>
    <w:rsid w:val="0030748B"/>
    <w:rsid w:val="00307C5B"/>
    <w:rsid w:val="00307D3D"/>
    <w:rsid w:val="00310108"/>
    <w:rsid w:val="0031019C"/>
    <w:rsid w:val="0031067C"/>
    <w:rsid w:val="003106DC"/>
    <w:rsid w:val="00310801"/>
    <w:rsid w:val="003108EC"/>
    <w:rsid w:val="00310BD3"/>
    <w:rsid w:val="00310C06"/>
    <w:rsid w:val="00311085"/>
    <w:rsid w:val="00311360"/>
    <w:rsid w:val="003113C0"/>
    <w:rsid w:val="00311945"/>
    <w:rsid w:val="00311A55"/>
    <w:rsid w:val="00312092"/>
    <w:rsid w:val="003123D5"/>
    <w:rsid w:val="00312405"/>
    <w:rsid w:val="00312412"/>
    <w:rsid w:val="0031271E"/>
    <w:rsid w:val="00312B04"/>
    <w:rsid w:val="00312B39"/>
    <w:rsid w:val="00312BF8"/>
    <w:rsid w:val="00312C94"/>
    <w:rsid w:val="0031329E"/>
    <w:rsid w:val="00313320"/>
    <w:rsid w:val="0031354E"/>
    <w:rsid w:val="00313621"/>
    <w:rsid w:val="00313944"/>
    <w:rsid w:val="00313F5E"/>
    <w:rsid w:val="00314250"/>
    <w:rsid w:val="00314326"/>
    <w:rsid w:val="00314669"/>
    <w:rsid w:val="00314A8D"/>
    <w:rsid w:val="00314C6C"/>
    <w:rsid w:val="00314F8E"/>
    <w:rsid w:val="003151D1"/>
    <w:rsid w:val="003154C0"/>
    <w:rsid w:val="00315982"/>
    <w:rsid w:val="00315B98"/>
    <w:rsid w:val="00315C59"/>
    <w:rsid w:val="00315F34"/>
    <w:rsid w:val="00316095"/>
    <w:rsid w:val="00316502"/>
    <w:rsid w:val="00316734"/>
    <w:rsid w:val="0031686F"/>
    <w:rsid w:val="0031749E"/>
    <w:rsid w:val="0031750D"/>
    <w:rsid w:val="003177CE"/>
    <w:rsid w:val="00317820"/>
    <w:rsid w:val="003178A8"/>
    <w:rsid w:val="003178E0"/>
    <w:rsid w:val="003179CF"/>
    <w:rsid w:val="003200B5"/>
    <w:rsid w:val="00320553"/>
    <w:rsid w:val="00320794"/>
    <w:rsid w:val="00320915"/>
    <w:rsid w:val="00320AA6"/>
    <w:rsid w:val="00320C18"/>
    <w:rsid w:val="00320DB1"/>
    <w:rsid w:val="00320F64"/>
    <w:rsid w:val="0032103F"/>
    <w:rsid w:val="003214D1"/>
    <w:rsid w:val="00321E5C"/>
    <w:rsid w:val="0032237A"/>
    <w:rsid w:val="00322801"/>
    <w:rsid w:val="003229A2"/>
    <w:rsid w:val="00322AAB"/>
    <w:rsid w:val="00322AEE"/>
    <w:rsid w:val="00322C04"/>
    <w:rsid w:val="00322D2B"/>
    <w:rsid w:val="00322E48"/>
    <w:rsid w:val="00323096"/>
    <w:rsid w:val="0032328F"/>
    <w:rsid w:val="003234F4"/>
    <w:rsid w:val="00323556"/>
    <w:rsid w:val="00323771"/>
    <w:rsid w:val="003237A8"/>
    <w:rsid w:val="00323B5A"/>
    <w:rsid w:val="00323CC3"/>
    <w:rsid w:val="00323EF9"/>
    <w:rsid w:val="00323F61"/>
    <w:rsid w:val="00323F7B"/>
    <w:rsid w:val="00323F7E"/>
    <w:rsid w:val="003242B9"/>
    <w:rsid w:val="003243A3"/>
    <w:rsid w:val="0032469C"/>
    <w:rsid w:val="0032480C"/>
    <w:rsid w:val="00324C00"/>
    <w:rsid w:val="00324C36"/>
    <w:rsid w:val="00324F2F"/>
    <w:rsid w:val="003254A1"/>
    <w:rsid w:val="003254D6"/>
    <w:rsid w:val="00325516"/>
    <w:rsid w:val="00325899"/>
    <w:rsid w:val="00325DBB"/>
    <w:rsid w:val="00326189"/>
    <w:rsid w:val="00326BD3"/>
    <w:rsid w:val="00326DB4"/>
    <w:rsid w:val="00326DF2"/>
    <w:rsid w:val="00327046"/>
    <w:rsid w:val="003270A1"/>
    <w:rsid w:val="0032768E"/>
    <w:rsid w:val="00327939"/>
    <w:rsid w:val="00327A19"/>
    <w:rsid w:val="00327C5B"/>
    <w:rsid w:val="00327EA0"/>
    <w:rsid w:val="00327F92"/>
    <w:rsid w:val="00330277"/>
    <w:rsid w:val="0033039D"/>
    <w:rsid w:val="003306F4"/>
    <w:rsid w:val="003308EB"/>
    <w:rsid w:val="00330D13"/>
    <w:rsid w:val="003315FE"/>
    <w:rsid w:val="00331974"/>
    <w:rsid w:val="003319FE"/>
    <w:rsid w:val="00331C5C"/>
    <w:rsid w:val="0033211C"/>
    <w:rsid w:val="003328E6"/>
    <w:rsid w:val="00332BF3"/>
    <w:rsid w:val="00332C58"/>
    <w:rsid w:val="00332FAB"/>
    <w:rsid w:val="00333209"/>
    <w:rsid w:val="003336AF"/>
    <w:rsid w:val="00334C5D"/>
    <w:rsid w:val="00334C7F"/>
    <w:rsid w:val="003352A6"/>
    <w:rsid w:val="00335577"/>
    <w:rsid w:val="00335968"/>
    <w:rsid w:val="00335F53"/>
    <w:rsid w:val="0033682C"/>
    <w:rsid w:val="00336DC1"/>
    <w:rsid w:val="00337534"/>
    <w:rsid w:val="0033753F"/>
    <w:rsid w:val="0033782A"/>
    <w:rsid w:val="00337B94"/>
    <w:rsid w:val="00340375"/>
    <w:rsid w:val="003404D0"/>
    <w:rsid w:val="0034078C"/>
    <w:rsid w:val="00340EE3"/>
    <w:rsid w:val="00340F52"/>
    <w:rsid w:val="00341229"/>
    <w:rsid w:val="00341291"/>
    <w:rsid w:val="0034139E"/>
    <w:rsid w:val="003415DD"/>
    <w:rsid w:val="00341BE8"/>
    <w:rsid w:val="00341E42"/>
    <w:rsid w:val="00341E4F"/>
    <w:rsid w:val="00342084"/>
    <w:rsid w:val="00342663"/>
    <w:rsid w:val="003426FA"/>
    <w:rsid w:val="003428ED"/>
    <w:rsid w:val="003433D1"/>
    <w:rsid w:val="00343745"/>
    <w:rsid w:val="003437D2"/>
    <w:rsid w:val="00343802"/>
    <w:rsid w:val="00343BF1"/>
    <w:rsid w:val="00343C2C"/>
    <w:rsid w:val="00343CA3"/>
    <w:rsid w:val="00343EE1"/>
    <w:rsid w:val="00343FFD"/>
    <w:rsid w:val="0034410D"/>
    <w:rsid w:val="00344490"/>
    <w:rsid w:val="00344602"/>
    <w:rsid w:val="00344B78"/>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08A"/>
    <w:rsid w:val="003503A5"/>
    <w:rsid w:val="0035068B"/>
    <w:rsid w:val="0035093F"/>
    <w:rsid w:val="00350B17"/>
    <w:rsid w:val="003516D5"/>
    <w:rsid w:val="003516DA"/>
    <w:rsid w:val="003516E8"/>
    <w:rsid w:val="0035191B"/>
    <w:rsid w:val="0035201F"/>
    <w:rsid w:val="0035205C"/>
    <w:rsid w:val="00352144"/>
    <w:rsid w:val="00352271"/>
    <w:rsid w:val="00352625"/>
    <w:rsid w:val="00352995"/>
    <w:rsid w:val="00352E88"/>
    <w:rsid w:val="00352FB1"/>
    <w:rsid w:val="003531B1"/>
    <w:rsid w:val="00353295"/>
    <w:rsid w:val="003536C4"/>
    <w:rsid w:val="003537BD"/>
    <w:rsid w:val="003539D2"/>
    <w:rsid w:val="0035433F"/>
    <w:rsid w:val="003546E7"/>
    <w:rsid w:val="00354735"/>
    <w:rsid w:val="00354AE7"/>
    <w:rsid w:val="00354BA2"/>
    <w:rsid w:val="00354C6A"/>
    <w:rsid w:val="00354C8E"/>
    <w:rsid w:val="00354E9E"/>
    <w:rsid w:val="0035540E"/>
    <w:rsid w:val="003555E7"/>
    <w:rsid w:val="00355790"/>
    <w:rsid w:val="00355C59"/>
    <w:rsid w:val="00355E0C"/>
    <w:rsid w:val="00355E87"/>
    <w:rsid w:val="00355FFA"/>
    <w:rsid w:val="0035607B"/>
    <w:rsid w:val="00356653"/>
    <w:rsid w:val="00356685"/>
    <w:rsid w:val="003568D1"/>
    <w:rsid w:val="00356A78"/>
    <w:rsid w:val="003577A1"/>
    <w:rsid w:val="00357868"/>
    <w:rsid w:val="00357935"/>
    <w:rsid w:val="00357A88"/>
    <w:rsid w:val="003600F3"/>
    <w:rsid w:val="003602B7"/>
    <w:rsid w:val="00360453"/>
    <w:rsid w:val="00360B39"/>
    <w:rsid w:val="00360DCB"/>
    <w:rsid w:val="00360E40"/>
    <w:rsid w:val="00361118"/>
    <w:rsid w:val="00361269"/>
    <w:rsid w:val="0036174B"/>
    <w:rsid w:val="00361B1B"/>
    <w:rsid w:val="00361D05"/>
    <w:rsid w:val="00361DFE"/>
    <w:rsid w:val="00362415"/>
    <w:rsid w:val="00362427"/>
    <w:rsid w:val="003624E2"/>
    <w:rsid w:val="0036274B"/>
    <w:rsid w:val="00362806"/>
    <w:rsid w:val="00362895"/>
    <w:rsid w:val="00362A12"/>
    <w:rsid w:val="00362B53"/>
    <w:rsid w:val="00362F03"/>
    <w:rsid w:val="00363011"/>
    <w:rsid w:val="00363087"/>
    <w:rsid w:val="0036316A"/>
    <w:rsid w:val="0036346B"/>
    <w:rsid w:val="003636C9"/>
    <w:rsid w:val="00363839"/>
    <w:rsid w:val="0036387D"/>
    <w:rsid w:val="00363BB1"/>
    <w:rsid w:val="00363BB9"/>
    <w:rsid w:val="00363C24"/>
    <w:rsid w:val="00363E10"/>
    <w:rsid w:val="00363FA4"/>
    <w:rsid w:val="003640E9"/>
    <w:rsid w:val="00364A58"/>
    <w:rsid w:val="00364C5D"/>
    <w:rsid w:val="00364ECB"/>
    <w:rsid w:val="00364F6E"/>
    <w:rsid w:val="00364F97"/>
    <w:rsid w:val="003650D2"/>
    <w:rsid w:val="00365206"/>
    <w:rsid w:val="0036529D"/>
    <w:rsid w:val="00365353"/>
    <w:rsid w:val="003654D0"/>
    <w:rsid w:val="00365627"/>
    <w:rsid w:val="00365774"/>
    <w:rsid w:val="00365807"/>
    <w:rsid w:val="003658CC"/>
    <w:rsid w:val="00365BD5"/>
    <w:rsid w:val="00365D66"/>
    <w:rsid w:val="00365EEA"/>
    <w:rsid w:val="00366166"/>
    <w:rsid w:val="003663F9"/>
    <w:rsid w:val="00366436"/>
    <w:rsid w:val="0036724D"/>
    <w:rsid w:val="0036742E"/>
    <w:rsid w:val="00367C1D"/>
    <w:rsid w:val="00367C92"/>
    <w:rsid w:val="00367CAC"/>
    <w:rsid w:val="00367E78"/>
    <w:rsid w:val="00367F81"/>
    <w:rsid w:val="00367FAC"/>
    <w:rsid w:val="003707E4"/>
    <w:rsid w:val="00370B7D"/>
    <w:rsid w:val="00370C94"/>
    <w:rsid w:val="003710E6"/>
    <w:rsid w:val="00371E28"/>
    <w:rsid w:val="00371E9F"/>
    <w:rsid w:val="0037232B"/>
    <w:rsid w:val="003728C6"/>
    <w:rsid w:val="00372C78"/>
    <w:rsid w:val="00373251"/>
    <w:rsid w:val="003734B5"/>
    <w:rsid w:val="00373A12"/>
    <w:rsid w:val="00373AAD"/>
    <w:rsid w:val="00373AC3"/>
    <w:rsid w:val="00373E50"/>
    <w:rsid w:val="00373F7F"/>
    <w:rsid w:val="0037487E"/>
    <w:rsid w:val="00374CC6"/>
    <w:rsid w:val="00374E8E"/>
    <w:rsid w:val="00374F09"/>
    <w:rsid w:val="00375103"/>
    <w:rsid w:val="0037524F"/>
    <w:rsid w:val="003754D6"/>
    <w:rsid w:val="00375A09"/>
    <w:rsid w:val="00375DC0"/>
    <w:rsid w:val="00375F4A"/>
    <w:rsid w:val="0037604C"/>
    <w:rsid w:val="0037612B"/>
    <w:rsid w:val="00376403"/>
    <w:rsid w:val="00376732"/>
    <w:rsid w:val="00377301"/>
    <w:rsid w:val="00377484"/>
    <w:rsid w:val="00377A7A"/>
    <w:rsid w:val="00377C21"/>
    <w:rsid w:val="00377D7C"/>
    <w:rsid w:val="003802F3"/>
    <w:rsid w:val="003806DE"/>
    <w:rsid w:val="0038103F"/>
    <w:rsid w:val="00381146"/>
    <w:rsid w:val="00381202"/>
    <w:rsid w:val="00381541"/>
    <w:rsid w:val="00381609"/>
    <w:rsid w:val="00381620"/>
    <w:rsid w:val="0038183B"/>
    <w:rsid w:val="00381891"/>
    <w:rsid w:val="00381981"/>
    <w:rsid w:val="003819D4"/>
    <w:rsid w:val="00381AFB"/>
    <w:rsid w:val="0038207D"/>
    <w:rsid w:val="00382409"/>
    <w:rsid w:val="003824A7"/>
    <w:rsid w:val="003831C3"/>
    <w:rsid w:val="0038343A"/>
    <w:rsid w:val="003837F6"/>
    <w:rsid w:val="00383872"/>
    <w:rsid w:val="00383A90"/>
    <w:rsid w:val="00383B0C"/>
    <w:rsid w:val="0038438D"/>
    <w:rsid w:val="0038476B"/>
    <w:rsid w:val="003848F6"/>
    <w:rsid w:val="00384AF4"/>
    <w:rsid w:val="00384B03"/>
    <w:rsid w:val="00384E95"/>
    <w:rsid w:val="0038509A"/>
    <w:rsid w:val="003853BC"/>
    <w:rsid w:val="00385667"/>
    <w:rsid w:val="00385798"/>
    <w:rsid w:val="00385C37"/>
    <w:rsid w:val="00385E90"/>
    <w:rsid w:val="00385FFC"/>
    <w:rsid w:val="00386441"/>
    <w:rsid w:val="003864EA"/>
    <w:rsid w:val="003869A8"/>
    <w:rsid w:val="00386A6E"/>
    <w:rsid w:val="00386B50"/>
    <w:rsid w:val="00386F05"/>
    <w:rsid w:val="00387557"/>
    <w:rsid w:val="00387665"/>
    <w:rsid w:val="00387755"/>
    <w:rsid w:val="00387CDF"/>
    <w:rsid w:val="00387D69"/>
    <w:rsid w:val="00387EE2"/>
    <w:rsid w:val="0039021C"/>
    <w:rsid w:val="003904F5"/>
    <w:rsid w:val="00390C28"/>
    <w:rsid w:val="00391605"/>
    <w:rsid w:val="00391791"/>
    <w:rsid w:val="00391B22"/>
    <w:rsid w:val="00391D3C"/>
    <w:rsid w:val="003925E0"/>
    <w:rsid w:val="003926E1"/>
    <w:rsid w:val="00392890"/>
    <w:rsid w:val="00392AA3"/>
    <w:rsid w:val="00392E3E"/>
    <w:rsid w:val="003930F1"/>
    <w:rsid w:val="00393257"/>
    <w:rsid w:val="0039338A"/>
    <w:rsid w:val="00393496"/>
    <w:rsid w:val="003936F8"/>
    <w:rsid w:val="0039371E"/>
    <w:rsid w:val="0039381C"/>
    <w:rsid w:val="00393977"/>
    <w:rsid w:val="00393A38"/>
    <w:rsid w:val="00393A71"/>
    <w:rsid w:val="00393AB5"/>
    <w:rsid w:val="003941F1"/>
    <w:rsid w:val="0039433F"/>
    <w:rsid w:val="003944FD"/>
    <w:rsid w:val="00394E29"/>
    <w:rsid w:val="003955FA"/>
    <w:rsid w:val="003958F2"/>
    <w:rsid w:val="00395C73"/>
    <w:rsid w:val="00395C85"/>
    <w:rsid w:val="00395E11"/>
    <w:rsid w:val="003967EF"/>
    <w:rsid w:val="00396851"/>
    <w:rsid w:val="00396B1F"/>
    <w:rsid w:val="00396C9F"/>
    <w:rsid w:val="00396CF5"/>
    <w:rsid w:val="00396F17"/>
    <w:rsid w:val="00396FCF"/>
    <w:rsid w:val="00397535"/>
    <w:rsid w:val="00397873"/>
    <w:rsid w:val="00397A45"/>
    <w:rsid w:val="00397FBF"/>
    <w:rsid w:val="00397FFC"/>
    <w:rsid w:val="003A001A"/>
    <w:rsid w:val="003A01B7"/>
    <w:rsid w:val="003A0325"/>
    <w:rsid w:val="003A0832"/>
    <w:rsid w:val="003A08B5"/>
    <w:rsid w:val="003A0B8E"/>
    <w:rsid w:val="003A0BAA"/>
    <w:rsid w:val="003A0C66"/>
    <w:rsid w:val="003A0D6B"/>
    <w:rsid w:val="003A0E92"/>
    <w:rsid w:val="003A10B2"/>
    <w:rsid w:val="003A1271"/>
    <w:rsid w:val="003A166B"/>
    <w:rsid w:val="003A1D9F"/>
    <w:rsid w:val="003A20DC"/>
    <w:rsid w:val="003A227C"/>
    <w:rsid w:val="003A274F"/>
    <w:rsid w:val="003A2990"/>
    <w:rsid w:val="003A2AC5"/>
    <w:rsid w:val="003A2D99"/>
    <w:rsid w:val="003A2E35"/>
    <w:rsid w:val="003A2F07"/>
    <w:rsid w:val="003A30D9"/>
    <w:rsid w:val="003A31E0"/>
    <w:rsid w:val="003A321D"/>
    <w:rsid w:val="003A33F8"/>
    <w:rsid w:val="003A3426"/>
    <w:rsid w:val="003A410B"/>
    <w:rsid w:val="003A4178"/>
    <w:rsid w:val="003A4970"/>
    <w:rsid w:val="003A4A1D"/>
    <w:rsid w:val="003A4C06"/>
    <w:rsid w:val="003A50D5"/>
    <w:rsid w:val="003A52D2"/>
    <w:rsid w:val="003A5589"/>
    <w:rsid w:val="003A5671"/>
    <w:rsid w:val="003A59EF"/>
    <w:rsid w:val="003A5C26"/>
    <w:rsid w:val="003A5DC7"/>
    <w:rsid w:val="003A6613"/>
    <w:rsid w:val="003A6E60"/>
    <w:rsid w:val="003A765E"/>
    <w:rsid w:val="003A77FE"/>
    <w:rsid w:val="003A77FF"/>
    <w:rsid w:val="003A7A33"/>
    <w:rsid w:val="003A7E6E"/>
    <w:rsid w:val="003B0222"/>
    <w:rsid w:val="003B038A"/>
    <w:rsid w:val="003B0672"/>
    <w:rsid w:val="003B08D6"/>
    <w:rsid w:val="003B0931"/>
    <w:rsid w:val="003B0955"/>
    <w:rsid w:val="003B0D8E"/>
    <w:rsid w:val="003B1019"/>
    <w:rsid w:val="003B178F"/>
    <w:rsid w:val="003B1EF7"/>
    <w:rsid w:val="003B21FC"/>
    <w:rsid w:val="003B2991"/>
    <w:rsid w:val="003B3026"/>
    <w:rsid w:val="003B329B"/>
    <w:rsid w:val="003B36DC"/>
    <w:rsid w:val="003B3A65"/>
    <w:rsid w:val="003B3A69"/>
    <w:rsid w:val="003B3BD2"/>
    <w:rsid w:val="003B3C86"/>
    <w:rsid w:val="003B3E36"/>
    <w:rsid w:val="003B44C3"/>
    <w:rsid w:val="003B476F"/>
    <w:rsid w:val="003B55B8"/>
    <w:rsid w:val="003B5727"/>
    <w:rsid w:val="003B5BF8"/>
    <w:rsid w:val="003B5FA8"/>
    <w:rsid w:val="003B61D3"/>
    <w:rsid w:val="003B639F"/>
    <w:rsid w:val="003B642E"/>
    <w:rsid w:val="003B665C"/>
    <w:rsid w:val="003B6FF7"/>
    <w:rsid w:val="003B7030"/>
    <w:rsid w:val="003B715A"/>
    <w:rsid w:val="003B7372"/>
    <w:rsid w:val="003B7397"/>
    <w:rsid w:val="003B73E3"/>
    <w:rsid w:val="003B743C"/>
    <w:rsid w:val="003B78FE"/>
    <w:rsid w:val="003B7BF6"/>
    <w:rsid w:val="003B7D75"/>
    <w:rsid w:val="003B7FC5"/>
    <w:rsid w:val="003C03A2"/>
    <w:rsid w:val="003C0858"/>
    <w:rsid w:val="003C0889"/>
    <w:rsid w:val="003C090E"/>
    <w:rsid w:val="003C0CEF"/>
    <w:rsid w:val="003C114A"/>
    <w:rsid w:val="003C1187"/>
    <w:rsid w:val="003C145B"/>
    <w:rsid w:val="003C1A13"/>
    <w:rsid w:val="003C1A90"/>
    <w:rsid w:val="003C1B9E"/>
    <w:rsid w:val="003C1C96"/>
    <w:rsid w:val="003C1DF7"/>
    <w:rsid w:val="003C22A8"/>
    <w:rsid w:val="003C25DC"/>
    <w:rsid w:val="003C263F"/>
    <w:rsid w:val="003C26C1"/>
    <w:rsid w:val="003C2D68"/>
    <w:rsid w:val="003C2D7C"/>
    <w:rsid w:val="003C3352"/>
    <w:rsid w:val="003C3539"/>
    <w:rsid w:val="003C36DE"/>
    <w:rsid w:val="003C3BF6"/>
    <w:rsid w:val="003C3CE3"/>
    <w:rsid w:val="003C4063"/>
    <w:rsid w:val="003C4183"/>
    <w:rsid w:val="003C42D2"/>
    <w:rsid w:val="003C43CF"/>
    <w:rsid w:val="003C44D4"/>
    <w:rsid w:val="003C452E"/>
    <w:rsid w:val="003C4709"/>
    <w:rsid w:val="003C4E38"/>
    <w:rsid w:val="003C4F78"/>
    <w:rsid w:val="003C50A2"/>
    <w:rsid w:val="003C53A9"/>
    <w:rsid w:val="003C552C"/>
    <w:rsid w:val="003C5971"/>
    <w:rsid w:val="003C5CD2"/>
    <w:rsid w:val="003C61B9"/>
    <w:rsid w:val="003C6855"/>
    <w:rsid w:val="003C6E28"/>
    <w:rsid w:val="003C6EC7"/>
    <w:rsid w:val="003C72D7"/>
    <w:rsid w:val="003C775D"/>
    <w:rsid w:val="003C780E"/>
    <w:rsid w:val="003C788F"/>
    <w:rsid w:val="003C7CA2"/>
    <w:rsid w:val="003C7E95"/>
    <w:rsid w:val="003C7ED6"/>
    <w:rsid w:val="003D00E9"/>
    <w:rsid w:val="003D081B"/>
    <w:rsid w:val="003D0C3F"/>
    <w:rsid w:val="003D0EE8"/>
    <w:rsid w:val="003D11E4"/>
    <w:rsid w:val="003D13D3"/>
    <w:rsid w:val="003D15ED"/>
    <w:rsid w:val="003D1CDF"/>
    <w:rsid w:val="003D1D08"/>
    <w:rsid w:val="003D1F3C"/>
    <w:rsid w:val="003D2097"/>
    <w:rsid w:val="003D2639"/>
    <w:rsid w:val="003D2739"/>
    <w:rsid w:val="003D27F8"/>
    <w:rsid w:val="003D39E1"/>
    <w:rsid w:val="003D3D80"/>
    <w:rsid w:val="003D3D92"/>
    <w:rsid w:val="003D4057"/>
    <w:rsid w:val="003D40E5"/>
    <w:rsid w:val="003D446A"/>
    <w:rsid w:val="003D4490"/>
    <w:rsid w:val="003D49D1"/>
    <w:rsid w:val="003D4E23"/>
    <w:rsid w:val="003D57E9"/>
    <w:rsid w:val="003D5AC9"/>
    <w:rsid w:val="003D5B0A"/>
    <w:rsid w:val="003D5D04"/>
    <w:rsid w:val="003D6258"/>
    <w:rsid w:val="003D6274"/>
    <w:rsid w:val="003D6634"/>
    <w:rsid w:val="003D68A0"/>
    <w:rsid w:val="003D73B3"/>
    <w:rsid w:val="003D769D"/>
    <w:rsid w:val="003D7A35"/>
    <w:rsid w:val="003D7BEB"/>
    <w:rsid w:val="003D7CEE"/>
    <w:rsid w:val="003D7E06"/>
    <w:rsid w:val="003D7E4C"/>
    <w:rsid w:val="003E044C"/>
    <w:rsid w:val="003E04E5"/>
    <w:rsid w:val="003E05F2"/>
    <w:rsid w:val="003E06BA"/>
    <w:rsid w:val="003E075A"/>
    <w:rsid w:val="003E081A"/>
    <w:rsid w:val="003E09DF"/>
    <w:rsid w:val="003E0B68"/>
    <w:rsid w:val="003E0DD5"/>
    <w:rsid w:val="003E0F08"/>
    <w:rsid w:val="003E16E1"/>
    <w:rsid w:val="003E240D"/>
    <w:rsid w:val="003E2ACD"/>
    <w:rsid w:val="003E2AED"/>
    <w:rsid w:val="003E2CA3"/>
    <w:rsid w:val="003E35E7"/>
    <w:rsid w:val="003E3681"/>
    <w:rsid w:val="003E38FC"/>
    <w:rsid w:val="003E4458"/>
    <w:rsid w:val="003E45CA"/>
    <w:rsid w:val="003E4601"/>
    <w:rsid w:val="003E4B04"/>
    <w:rsid w:val="003E4B27"/>
    <w:rsid w:val="003E4BEE"/>
    <w:rsid w:val="003E4CF0"/>
    <w:rsid w:val="003E4EBC"/>
    <w:rsid w:val="003E53F2"/>
    <w:rsid w:val="003E5981"/>
    <w:rsid w:val="003E59B5"/>
    <w:rsid w:val="003E5CA7"/>
    <w:rsid w:val="003E5F0C"/>
    <w:rsid w:val="003E6AFC"/>
    <w:rsid w:val="003E6E49"/>
    <w:rsid w:val="003E76CB"/>
    <w:rsid w:val="003E7749"/>
    <w:rsid w:val="003E7D25"/>
    <w:rsid w:val="003F018F"/>
    <w:rsid w:val="003F06F3"/>
    <w:rsid w:val="003F07DF"/>
    <w:rsid w:val="003F0912"/>
    <w:rsid w:val="003F0963"/>
    <w:rsid w:val="003F0E53"/>
    <w:rsid w:val="003F1263"/>
    <w:rsid w:val="003F12A1"/>
    <w:rsid w:val="003F12B4"/>
    <w:rsid w:val="003F1605"/>
    <w:rsid w:val="003F1AB7"/>
    <w:rsid w:val="003F1BE6"/>
    <w:rsid w:val="003F1C59"/>
    <w:rsid w:val="003F1D0E"/>
    <w:rsid w:val="003F1FD2"/>
    <w:rsid w:val="003F2149"/>
    <w:rsid w:val="003F230E"/>
    <w:rsid w:val="003F2682"/>
    <w:rsid w:val="003F2B74"/>
    <w:rsid w:val="003F3323"/>
    <w:rsid w:val="003F3736"/>
    <w:rsid w:val="003F378E"/>
    <w:rsid w:val="003F3794"/>
    <w:rsid w:val="003F3AF7"/>
    <w:rsid w:val="003F3C17"/>
    <w:rsid w:val="003F3D64"/>
    <w:rsid w:val="003F3DD1"/>
    <w:rsid w:val="003F41A4"/>
    <w:rsid w:val="003F4850"/>
    <w:rsid w:val="003F48DA"/>
    <w:rsid w:val="003F4A31"/>
    <w:rsid w:val="003F5571"/>
    <w:rsid w:val="003F589F"/>
    <w:rsid w:val="003F5DC3"/>
    <w:rsid w:val="003F6202"/>
    <w:rsid w:val="003F67CC"/>
    <w:rsid w:val="003F69F2"/>
    <w:rsid w:val="003F6C6C"/>
    <w:rsid w:val="003F7359"/>
    <w:rsid w:val="003F799C"/>
    <w:rsid w:val="003F7ACA"/>
    <w:rsid w:val="003F7EA6"/>
    <w:rsid w:val="003F7F23"/>
    <w:rsid w:val="004004D2"/>
    <w:rsid w:val="004008E3"/>
    <w:rsid w:val="00400D2A"/>
    <w:rsid w:val="00401083"/>
    <w:rsid w:val="00401156"/>
    <w:rsid w:val="00401527"/>
    <w:rsid w:val="0040218D"/>
    <w:rsid w:val="004025A2"/>
    <w:rsid w:val="00402774"/>
    <w:rsid w:val="004029F1"/>
    <w:rsid w:val="00402E96"/>
    <w:rsid w:val="00402F23"/>
    <w:rsid w:val="00402F55"/>
    <w:rsid w:val="00403332"/>
    <w:rsid w:val="004034E9"/>
    <w:rsid w:val="00403527"/>
    <w:rsid w:val="00403662"/>
    <w:rsid w:val="004045CB"/>
    <w:rsid w:val="004045CD"/>
    <w:rsid w:val="004045E4"/>
    <w:rsid w:val="00404711"/>
    <w:rsid w:val="0040479D"/>
    <w:rsid w:val="0040492B"/>
    <w:rsid w:val="004049D7"/>
    <w:rsid w:val="00404AEA"/>
    <w:rsid w:val="00404E02"/>
    <w:rsid w:val="00404E24"/>
    <w:rsid w:val="0040501A"/>
    <w:rsid w:val="004054A2"/>
    <w:rsid w:val="00405BED"/>
    <w:rsid w:val="00405D02"/>
    <w:rsid w:val="00405E5F"/>
    <w:rsid w:val="004062D0"/>
    <w:rsid w:val="0040635D"/>
    <w:rsid w:val="00406C39"/>
    <w:rsid w:val="00406F2F"/>
    <w:rsid w:val="004075EC"/>
    <w:rsid w:val="0040764B"/>
    <w:rsid w:val="004077AA"/>
    <w:rsid w:val="004078F6"/>
    <w:rsid w:val="004079AF"/>
    <w:rsid w:val="0041017A"/>
    <w:rsid w:val="0041092C"/>
    <w:rsid w:val="00410E01"/>
    <w:rsid w:val="0041105B"/>
    <w:rsid w:val="0041107B"/>
    <w:rsid w:val="00411189"/>
    <w:rsid w:val="004111E0"/>
    <w:rsid w:val="00411801"/>
    <w:rsid w:val="00411BD1"/>
    <w:rsid w:val="00411CA7"/>
    <w:rsid w:val="00412251"/>
    <w:rsid w:val="00412882"/>
    <w:rsid w:val="004128D7"/>
    <w:rsid w:val="00412A05"/>
    <w:rsid w:val="00412BA3"/>
    <w:rsid w:val="00413042"/>
    <w:rsid w:val="0041319A"/>
    <w:rsid w:val="004132FF"/>
    <w:rsid w:val="00413766"/>
    <w:rsid w:val="0041381F"/>
    <w:rsid w:val="0041389E"/>
    <w:rsid w:val="00413A43"/>
    <w:rsid w:val="004140DA"/>
    <w:rsid w:val="004149B2"/>
    <w:rsid w:val="00414A5B"/>
    <w:rsid w:val="00414B3E"/>
    <w:rsid w:val="0041512D"/>
    <w:rsid w:val="004152F2"/>
    <w:rsid w:val="00415448"/>
    <w:rsid w:val="00415514"/>
    <w:rsid w:val="00415A03"/>
    <w:rsid w:val="00415C34"/>
    <w:rsid w:val="00415ECE"/>
    <w:rsid w:val="00416406"/>
    <w:rsid w:val="00416828"/>
    <w:rsid w:val="00416D6F"/>
    <w:rsid w:val="00416E29"/>
    <w:rsid w:val="00416F4C"/>
    <w:rsid w:val="00417CAC"/>
    <w:rsid w:val="00417F3A"/>
    <w:rsid w:val="004205C5"/>
    <w:rsid w:val="0042069D"/>
    <w:rsid w:val="00420C1E"/>
    <w:rsid w:val="00420C93"/>
    <w:rsid w:val="00421073"/>
    <w:rsid w:val="0042109B"/>
    <w:rsid w:val="00421B66"/>
    <w:rsid w:val="00421B68"/>
    <w:rsid w:val="004226E3"/>
    <w:rsid w:val="0042271F"/>
    <w:rsid w:val="0042279F"/>
    <w:rsid w:val="004229CC"/>
    <w:rsid w:val="00422C6A"/>
    <w:rsid w:val="00422CE5"/>
    <w:rsid w:val="00422D8A"/>
    <w:rsid w:val="00422EA5"/>
    <w:rsid w:val="004230E3"/>
    <w:rsid w:val="00423290"/>
    <w:rsid w:val="004235EA"/>
    <w:rsid w:val="0042406C"/>
    <w:rsid w:val="004243F3"/>
    <w:rsid w:val="004244D2"/>
    <w:rsid w:val="00424556"/>
    <w:rsid w:val="0042539B"/>
    <w:rsid w:val="004253EB"/>
    <w:rsid w:val="0042557B"/>
    <w:rsid w:val="00425588"/>
    <w:rsid w:val="00425732"/>
    <w:rsid w:val="00425C90"/>
    <w:rsid w:val="00425DDB"/>
    <w:rsid w:val="00425E65"/>
    <w:rsid w:val="00426078"/>
    <w:rsid w:val="004261E3"/>
    <w:rsid w:val="0042647E"/>
    <w:rsid w:val="004265FB"/>
    <w:rsid w:val="0042682D"/>
    <w:rsid w:val="00426C39"/>
    <w:rsid w:val="00426DCE"/>
    <w:rsid w:val="004270E9"/>
    <w:rsid w:val="0042719A"/>
    <w:rsid w:val="0042722F"/>
    <w:rsid w:val="004275E8"/>
    <w:rsid w:val="0042769F"/>
    <w:rsid w:val="004276F1"/>
    <w:rsid w:val="00427701"/>
    <w:rsid w:val="00427F03"/>
    <w:rsid w:val="00430384"/>
    <w:rsid w:val="00430957"/>
    <w:rsid w:val="00430B1B"/>
    <w:rsid w:val="00431166"/>
    <w:rsid w:val="0043179D"/>
    <w:rsid w:val="00431D30"/>
    <w:rsid w:val="004320A4"/>
    <w:rsid w:val="00432132"/>
    <w:rsid w:val="0043215B"/>
    <w:rsid w:val="004328CC"/>
    <w:rsid w:val="00432A1A"/>
    <w:rsid w:val="00432D72"/>
    <w:rsid w:val="00432D97"/>
    <w:rsid w:val="00432E24"/>
    <w:rsid w:val="00433646"/>
    <w:rsid w:val="004336E5"/>
    <w:rsid w:val="0043391E"/>
    <w:rsid w:val="00433953"/>
    <w:rsid w:val="00433B79"/>
    <w:rsid w:val="0043437C"/>
    <w:rsid w:val="00434522"/>
    <w:rsid w:val="00434549"/>
    <w:rsid w:val="00434B87"/>
    <w:rsid w:val="00435788"/>
    <w:rsid w:val="00435B0D"/>
    <w:rsid w:val="00435B7F"/>
    <w:rsid w:val="00436025"/>
    <w:rsid w:val="00436104"/>
    <w:rsid w:val="00436107"/>
    <w:rsid w:val="00436393"/>
    <w:rsid w:val="004366E3"/>
    <w:rsid w:val="00436CE4"/>
    <w:rsid w:val="00437690"/>
    <w:rsid w:val="004377C4"/>
    <w:rsid w:val="00437BB1"/>
    <w:rsid w:val="00437BE1"/>
    <w:rsid w:val="00437C9F"/>
    <w:rsid w:val="00440452"/>
    <w:rsid w:val="004406F0"/>
    <w:rsid w:val="00440733"/>
    <w:rsid w:val="004409B3"/>
    <w:rsid w:val="00440A66"/>
    <w:rsid w:val="00440F84"/>
    <w:rsid w:val="004410DB"/>
    <w:rsid w:val="004412A0"/>
    <w:rsid w:val="00441380"/>
    <w:rsid w:val="004414AF"/>
    <w:rsid w:val="004420BA"/>
    <w:rsid w:val="00442572"/>
    <w:rsid w:val="004425F3"/>
    <w:rsid w:val="00442B56"/>
    <w:rsid w:val="00442C76"/>
    <w:rsid w:val="004432C9"/>
    <w:rsid w:val="00443695"/>
    <w:rsid w:val="004438E6"/>
    <w:rsid w:val="00443BF5"/>
    <w:rsid w:val="00443F22"/>
    <w:rsid w:val="00444185"/>
    <w:rsid w:val="00444373"/>
    <w:rsid w:val="004444EF"/>
    <w:rsid w:val="0044488B"/>
    <w:rsid w:val="004448BE"/>
    <w:rsid w:val="00444990"/>
    <w:rsid w:val="00444DA7"/>
    <w:rsid w:val="004450F2"/>
    <w:rsid w:val="004451BF"/>
    <w:rsid w:val="004451D1"/>
    <w:rsid w:val="00445281"/>
    <w:rsid w:val="00445901"/>
    <w:rsid w:val="004459E0"/>
    <w:rsid w:val="00445D05"/>
    <w:rsid w:val="00445F86"/>
    <w:rsid w:val="0044645E"/>
    <w:rsid w:val="004466D0"/>
    <w:rsid w:val="00446892"/>
    <w:rsid w:val="004469C1"/>
    <w:rsid w:val="00446AF7"/>
    <w:rsid w:val="00446B4F"/>
    <w:rsid w:val="00446F61"/>
    <w:rsid w:val="00446F86"/>
    <w:rsid w:val="004472F0"/>
    <w:rsid w:val="00447455"/>
    <w:rsid w:val="004476AD"/>
    <w:rsid w:val="004476EC"/>
    <w:rsid w:val="00447B65"/>
    <w:rsid w:val="00447C75"/>
    <w:rsid w:val="00447DB4"/>
    <w:rsid w:val="004500FE"/>
    <w:rsid w:val="00450441"/>
    <w:rsid w:val="00450509"/>
    <w:rsid w:val="004507CD"/>
    <w:rsid w:val="00450CB3"/>
    <w:rsid w:val="00450DC1"/>
    <w:rsid w:val="00450E4A"/>
    <w:rsid w:val="00451268"/>
    <w:rsid w:val="00451399"/>
    <w:rsid w:val="00451586"/>
    <w:rsid w:val="004517AD"/>
    <w:rsid w:val="00451C97"/>
    <w:rsid w:val="00451EBB"/>
    <w:rsid w:val="0045227C"/>
    <w:rsid w:val="004522C4"/>
    <w:rsid w:val="0045256F"/>
    <w:rsid w:val="00452813"/>
    <w:rsid w:val="00452B76"/>
    <w:rsid w:val="00453EE7"/>
    <w:rsid w:val="00453FDA"/>
    <w:rsid w:val="0045421B"/>
    <w:rsid w:val="004544AB"/>
    <w:rsid w:val="004548BD"/>
    <w:rsid w:val="004549EA"/>
    <w:rsid w:val="00454E98"/>
    <w:rsid w:val="00454FC9"/>
    <w:rsid w:val="004553E1"/>
    <w:rsid w:val="0045547A"/>
    <w:rsid w:val="00455508"/>
    <w:rsid w:val="0045560F"/>
    <w:rsid w:val="00455732"/>
    <w:rsid w:val="00455AE4"/>
    <w:rsid w:val="00455B5E"/>
    <w:rsid w:val="00455BF2"/>
    <w:rsid w:val="00455C5F"/>
    <w:rsid w:val="00455E6B"/>
    <w:rsid w:val="00455EB2"/>
    <w:rsid w:val="00455FD4"/>
    <w:rsid w:val="004560F0"/>
    <w:rsid w:val="00456744"/>
    <w:rsid w:val="00456CF3"/>
    <w:rsid w:val="00456D8C"/>
    <w:rsid w:val="0045706E"/>
    <w:rsid w:val="00457563"/>
    <w:rsid w:val="004577F0"/>
    <w:rsid w:val="00457AF4"/>
    <w:rsid w:val="00457BFC"/>
    <w:rsid w:val="004601A3"/>
    <w:rsid w:val="0046146D"/>
    <w:rsid w:val="004622B5"/>
    <w:rsid w:val="0046247D"/>
    <w:rsid w:val="004624C0"/>
    <w:rsid w:val="00462A98"/>
    <w:rsid w:val="00462B8F"/>
    <w:rsid w:val="0046313C"/>
    <w:rsid w:val="00463429"/>
    <w:rsid w:val="00463DCF"/>
    <w:rsid w:val="00463E1A"/>
    <w:rsid w:val="00463F57"/>
    <w:rsid w:val="00464537"/>
    <w:rsid w:val="00464627"/>
    <w:rsid w:val="00464BE4"/>
    <w:rsid w:val="00464D1B"/>
    <w:rsid w:val="00464F92"/>
    <w:rsid w:val="00465C2C"/>
    <w:rsid w:val="00465CCB"/>
    <w:rsid w:val="00465DCA"/>
    <w:rsid w:val="00466129"/>
    <w:rsid w:val="004661AA"/>
    <w:rsid w:val="004661AD"/>
    <w:rsid w:val="00466231"/>
    <w:rsid w:val="00466316"/>
    <w:rsid w:val="0046632A"/>
    <w:rsid w:val="0046647B"/>
    <w:rsid w:val="00466724"/>
    <w:rsid w:val="004667E8"/>
    <w:rsid w:val="0046687F"/>
    <w:rsid w:val="00466EB8"/>
    <w:rsid w:val="00467124"/>
    <w:rsid w:val="00467191"/>
    <w:rsid w:val="0046739A"/>
    <w:rsid w:val="00467412"/>
    <w:rsid w:val="00467890"/>
    <w:rsid w:val="004679CD"/>
    <w:rsid w:val="00467C77"/>
    <w:rsid w:val="00467D51"/>
    <w:rsid w:val="00470140"/>
    <w:rsid w:val="00470491"/>
    <w:rsid w:val="004709AB"/>
    <w:rsid w:val="00470A3A"/>
    <w:rsid w:val="00470F43"/>
    <w:rsid w:val="00471018"/>
    <w:rsid w:val="004710FC"/>
    <w:rsid w:val="004715D0"/>
    <w:rsid w:val="00471F00"/>
    <w:rsid w:val="00471F49"/>
    <w:rsid w:val="00472769"/>
    <w:rsid w:val="00472AE9"/>
    <w:rsid w:val="004730ED"/>
    <w:rsid w:val="00473569"/>
    <w:rsid w:val="004735D6"/>
    <w:rsid w:val="00473606"/>
    <w:rsid w:val="00473EBB"/>
    <w:rsid w:val="0047409D"/>
    <w:rsid w:val="004744EF"/>
    <w:rsid w:val="0047469E"/>
    <w:rsid w:val="00474883"/>
    <w:rsid w:val="00474B6F"/>
    <w:rsid w:val="00474C06"/>
    <w:rsid w:val="00474E67"/>
    <w:rsid w:val="00475595"/>
    <w:rsid w:val="004756D3"/>
    <w:rsid w:val="00475D63"/>
    <w:rsid w:val="00475F44"/>
    <w:rsid w:val="00475F70"/>
    <w:rsid w:val="00475F7E"/>
    <w:rsid w:val="004761DB"/>
    <w:rsid w:val="00476950"/>
    <w:rsid w:val="004771E3"/>
    <w:rsid w:val="004775FD"/>
    <w:rsid w:val="00477A96"/>
    <w:rsid w:val="004802CB"/>
    <w:rsid w:val="00480664"/>
    <w:rsid w:val="00480884"/>
    <w:rsid w:val="004809FD"/>
    <w:rsid w:val="00480DBE"/>
    <w:rsid w:val="00480F86"/>
    <w:rsid w:val="00481C4D"/>
    <w:rsid w:val="00481C88"/>
    <w:rsid w:val="00481D7B"/>
    <w:rsid w:val="00482078"/>
    <w:rsid w:val="00482638"/>
    <w:rsid w:val="0048265B"/>
    <w:rsid w:val="00482C2D"/>
    <w:rsid w:val="00482E6B"/>
    <w:rsid w:val="00483389"/>
    <w:rsid w:val="00483524"/>
    <w:rsid w:val="004837DA"/>
    <w:rsid w:val="00483A4F"/>
    <w:rsid w:val="00483C46"/>
    <w:rsid w:val="00483D56"/>
    <w:rsid w:val="00483F59"/>
    <w:rsid w:val="0048462D"/>
    <w:rsid w:val="004848B7"/>
    <w:rsid w:val="00484BFC"/>
    <w:rsid w:val="00484CAB"/>
    <w:rsid w:val="00485462"/>
    <w:rsid w:val="0048553A"/>
    <w:rsid w:val="0048562E"/>
    <w:rsid w:val="00485D99"/>
    <w:rsid w:val="0048614B"/>
    <w:rsid w:val="004862A7"/>
    <w:rsid w:val="0048668C"/>
    <w:rsid w:val="004866E1"/>
    <w:rsid w:val="00486711"/>
    <w:rsid w:val="00486734"/>
    <w:rsid w:val="00486CA2"/>
    <w:rsid w:val="00486ED6"/>
    <w:rsid w:val="00486FBD"/>
    <w:rsid w:val="0048754B"/>
    <w:rsid w:val="00487A5F"/>
    <w:rsid w:val="00487DE3"/>
    <w:rsid w:val="00490082"/>
    <w:rsid w:val="004902B1"/>
    <w:rsid w:val="004903C4"/>
    <w:rsid w:val="004904DE"/>
    <w:rsid w:val="00490826"/>
    <w:rsid w:val="00490A8A"/>
    <w:rsid w:val="00490F0C"/>
    <w:rsid w:val="00490F1D"/>
    <w:rsid w:val="00491280"/>
    <w:rsid w:val="00491689"/>
    <w:rsid w:val="00491851"/>
    <w:rsid w:val="00491881"/>
    <w:rsid w:val="00491A1E"/>
    <w:rsid w:val="00491C0F"/>
    <w:rsid w:val="00491E9E"/>
    <w:rsid w:val="0049233C"/>
    <w:rsid w:val="004924CB"/>
    <w:rsid w:val="004927D9"/>
    <w:rsid w:val="00492A7D"/>
    <w:rsid w:val="00492C99"/>
    <w:rsid w:val="00492FC7"/>
    <w:rsid w:val="00493AE1"/>
    <w:rsid w:val="0049410D"/>
    <w:rsid w:val="004941EF"/>
    <w:rsid w:val="004944F2"/>
    <w:rsid w:val="004945FD"/>
    <w:rsid w:val="00494665"/>
    <w:rsid w:val="00494C6A"/>
    <w:rsid w:val="0049527E"/>
    <w:rsid w:val="0049555D"/>
    <w:rsid w:val="00495FBE"/>
    <w:rsid w:val="00496138"/>
    <w:rsid w:val="00496486"/>
    <w:rsid w:val="00496906"/>
    <w:rsid w:val="00496DD2"/>
    <w:rsid w:val="00497007"/>
    <w:rsid w:val="00497B24"/>
    <w:rsid w:val="00497C13"/>
    <w:rsid w:val="00497F56"/>
    <w:rsid w:val="00497FFA"/>
    <w:rsid w:val="004A022F"/>
    <w:rsid w:val="004A03F0"/>
    <w:rsid w:val="004A111F"/>
    <w:rsid w:val="004A1360"/>
    <w:rsid w:val="004A144E"/>
    <w:rsid w:val="004A14AA"/>
    <w:rsid w:val="004A169B"/>
    <w:rsid w:val="004A1B81"/>
    <w:rsid w:val="004A1C70"/>
    <w:rsid w:val="004A243D"/>
    <w:rsid w:val="004A2778"/>
    <w:rsid w:val="004A28E8"/>
    <w:rsid w:val="004A2AE3"/>
    <w:rsid w:val="004A2DD9"/>
    <w:rsid w:val="004A2E50"/>
    <w:rsid w:val="004A3240"/>
    <w:rsid w:val="004A3B1C"/>
    <w:rsid w:val="004A4044"/>
    <w:rsid w:val="004A4091"/>
    <w:rsid w:val="004A4262"/>
    <w:rsid w:val="004A4743"/>
    <w:rsid w:val="004A489B"/>
    <w:rsid w:val="004A4AD5"/>
    <w:rsid w:val="004A4D47"/>
    <w:rsid w:val="004A4FFE"/>
    <w:rsid w:val="004A5050"/>
    <w:rsid w:val="004A5177"/>
    <w:rsid w:val="004A5232"/>
    <w:rsid w:val="004A57A7"/>
    <w:rsid w:val="004A5C87"/>
    <w:rsid w:val="004A5F2D"/>
    <w:rsid w:val="004A6193"/>
    <w:rsid w:val="004A6370"/>
    <w:rsid w:val="004A68AE"/>
    <w:rsid w:val="004A6FBF"/>
    <w:rsid w:val="004A72CD"/>
    <w:rsid w:val="004A72E5"/>
    <w:rsid w:val="004A7639"/>
    <w:rsid w:val="004A782A"/>
    <w:rsid w:val="004A7947"/>
    <w:rsid w:val="004A7B83"/>
    <w:rsid w:val="004A7C16"/>
    <w:rsid w:val="004A7CB2"/>
    <w:rsid w:val="004A7EAB"/>
    <w:rsid w:val="004B01BD"/>
    <w:rsid w:val="004B03EC"/>
    <w:rsid w:val="004B0578"/>
    <w:rsid w:val="004B05DD"/>
    <w:rsid w:val="004B0A6E"/>
    <w:rsid w:val="004B0DA4"/>
    <w:rsid w:val="004B0E94"/>
    <w:rsid w:val="004B0FDB"/>
    <w:rsid w:val="004B101F"/>
    <w:rsid w:val="004B1222"/>
    <w:rsid w:val="004B126B"/>
    <w:rsid w:val="004B12D7"/>
    <w:rsid w:val="004B12FF"/>
    <w:rsid w:val="004B13D9"/>
    <w:rsid w:val="004B168D"/>
    <w:rsid w:val="004B1731"/>
    <w:rsid w:val="004B1CD6"/>
    <w:rsid w:val="004B1DD5"/>
    <w:rsid w:val="004B1FF4"/>
    <w:rsid w:val="004B2068"/>
    <w:rsid w:val="004B27A9"/>
    <w:rsid w:val="004B2AE4"/>
    <w:rsid w:val="004B326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D38"/>
    <w:rsid w:val="004B7E64"/>
    <w:rsid w:val="004B7FB8"/>
    <w:rsid w:val="004B7FD8"/>
    <w:rsid w:val="004C03E0"/>
    <w:rsid w:val="004C0955"/>
    <w:rsid w:val="004C0AD4"/>
    <w:rsid w:val="004C0D21"/>
    <w:rsid w:val="004C10C8"/>
    <w:rsid w:val="004C11AD"/>
    <w:rsid w:val="004C12ED"/>
    <w:rsid w:val="004C15C6"/>
    <w:rsid w:val="004C1754"/>
    <w:rsid w:val="004C2051"/>
    <w:rsid w:val="004C219B"/>
    <w:rsid w:val="004C2786"/>
    <w:rsid w:val="004C2B29"/>
    <w:rsid w:val="004C2BFB"/>
    <w:rsid w:val="004C2C4D"/>
    <w:rsid w:val="004C3298"/>
    <w:rsid w:val="004C3783"/>
    <w:rsid w:val="004C3A9E"/>
    <w:rsid w:val="004C3AE9"/>
    <w:rsid w:val="004C3BB5"/>
    <w:rsid w:val="004C4040"/>
    <w:rsid w:val="004C47EA"/>
    <w:rsid w:val="004C4884"/>
    <w:rsid w:val="004C4B3D"/>
    <w:rsid w:val="004C4D3C"/>
    <w:rsid w:val="004C51B6"/>
    <w:rsid w:val="004C52BD"/>
    <w:rsid w:val="004C536E"/>
    <w:rsid w:val="004C5514"/>
    <w:rsid w:val="004C55D4"/>
    <w:rsid w:val="004C57EB"/>
    <w:rsid w:val="004C5E55"/>
    <w:rsid w:val="004C5F8A"/>
    <w:rsid w:val="004C6038"/>
    <w:rsid w:val="004C666A"/>
    <w:rsid w:val="004C6EF8"/>
    <w:rsid w:val="004C702F"/>
    <w:rsid w:val="004C736F"/>
    <w:rsid w:val="004C74E0"/>
    <w:rsid w:val="004C74E6"/>
    <w:rsid w:val="004C74F0"/>
    <w:rsid w:val="004C7655"/>
    <w:rsid w:val="004C7FD5"/>
    <w:rsid w:val="004D0E12"/>
    <w:rsid w:val="004D13A2"/>
    <w:rsid w:val="004D18DE"/>
    <w:rsid w:val="004D1A1F"/>
    <w:rsid w:val="004D2061"/>
    <w:rsid w:val="004D2514"/>
    <w:rsid w:val="004D2758"/>
    <w:rsid w:val="004D294C"/>
    <w:rsid w:val="004D29C4"/>
    <w:rsid w:val="004D29D6"/>
    <w:rsid w:val="004D2B8B"/>
    <w:rsid w:val="004D2F35"/>
    <w:rsid w:val="004D30DE"/>
    <w:rsid w:val="004D31FE"/>
    <w:rsid w:val="004D330B"/>
    <w:rsid w:val="004D3366"/>
    <w:rsid w:val="004D35B1"/>
    <w:rsid w:val="004D3680"/>
    <w:rsid w:val="004D3988"/>
    <w:rsid w:val="004D39C2"/>
    <w:rsid w:val="004D39D5"/>
    <w:rsid w:val="004D3F02"/>
    <w:rsid w:val="004D4630"/>
    <w:rsid w:val="004D48DC"/>
    <w:rsid w:val="004D490D"/>
    <w:rsid w:val="004D4AA6"/>
    <w:rsid w:val="004D4D3F"/>
    <w:rsid w:val="004D4FBC"/>
    <w:rsid w:val="004D51D7"/>
    <w:rsid w:val="004D5476"/>
    <w:rsid w:val="004D55FD"/>
    <w:rsid w:val="004D560F"/>
    <w:rsid w:val="004D5834"/>
    <w:rsid w:val="004D5B7F"/>
    <w:rsid w:val="004D5C6A"/>
    <w:rsid w:val="004D5C91"/>
    <w:rsid w:val="004D5F5F"/>
    <w:rsid w:val="004D6023"/>
    <w:rsid w:val="004D6237"/>
    <w:rsid w:val="004D64D8"/>
    <w:rsid w:val="004D6925"/>
    <w:rsid w:val="004D6D5F"/>
    <w:rsid w:val="004D72D7"/>
    <w:rsid w:val="004D72F9"/>
    <w:rsid w:val="004D73C5"/>
    <w:rsid w:val="004D7841"/>
    <w:rsid w:val="004D7ACC"/>
    <w:rsid w:val="004D7B6A"/>
    <w:rsid w:val="004E00F7"/>
    <w:rsid w:val="004E0351"/>
    <w:rsid w:val="004E0593"/>
    <w:rsid w:val="004E07A7"/>
    <w:rsid w:val="004E07D2"/>
    <w:rsid w:val="004E0980"/>
    <w:rsid w:val="004E0FB9"/>
    <w:rsid w:val="004E11C7"/>
    <w:rsid w:val="004E1585"/>
    <w:rsid w:val="004E15AA"/>
    <w:rsid w:val="004E1AFA"/>
    <w:rsid w:val="004E1B1C"/>
    <w:rsid w:val="004E24FF"/>
    <w:rsid w:val="004E310C"/>
    <w:rsid w:val="004E3348"/>
    <w:rsid w:val="004E36B1"/>
    <w:rsid w:val="004E38CA"/>
    <w:rsid w:val="004E39E5"/>
    <w:rsid w:val="004E3BCA"/>
    <w:rsid w:val="004E3C1A"/>
    <w:rsid w:val="004E3EC4"/>
    <w:rsid w:val="004E3F0A"/>
    <w:rsid w:val="004E3FD6"/>
    <w:rsid w:val="004E44C7"/>
    <w:rsid w:val="004E48F2"/>
    <w:rsid w:val="004E49BC"/>
    <w:rsid w:val="004E4A15"/>
    <w:rsid w:val="004E4A52"/>
    <w:rsid w:val="004E4CEF"/>
    <w:rsid w:val="004E4E98"/>
    <w:rsid w:val="004E50B4"/>
    <w:rsid w:val="004E5433"/>
    <w:rsid w:val="004E543C"/>
    <w:rsid w:val="004E54BB"/>
    <w:rsid w:val="004E54E4"/>
    <w:rsid w:val="004E58C2"/>
    <w:rsid w:val="004E5DD6"/>
    <w:rsid w:val="004E60AB"/>
    <w:rsid w:val="004E62A5"/>
    <w:rsid w:val="004E6383"/>
    <w:rsid w:val="004E63C4"/>
    <w:rsid w:val="004E65AE"/>
    <w:rsid w:val="004E666B"/>
    <w:rsid w:val="004E69FC"/>
    <w:rsid w:val="004E6AF3"/>
    <w:rsid w:val="004E6E32"/>
    <w:rsid w:val="004E7219"/>
    <w:rsid w:val="004E7682"/>
    <w:rsid w:val="004E7CDC"/>
    <w:rsid w:val="004E7D20"/>
    <w:rsid w:val="004E7D2E"/>
    <w:rsid w:val="004F03F8"/>
    <w:rsid w:val="004F053F"/>
    <w:rsid w:val="004F0DB3"/>
    <w:rsid w:val="004F0FAE"/>
    <w:rsid w:val="004F1B2E"/>
    <w:rsid w:val="004F1E6A"/>
    <w:rsid w:val="004F2426"/>
    <w:rsid w:val="004F25D4"/>
    <w:rsid w:val="004F2A38"/>
    <w:rsid w:val="004F2AA7"/>
    <w:rsid w:val="004F32AA"/>
    <w:rsid w:val="004F3CB3"/>
    <w:rsid w:val="004F3FF4"/>
    <w:rsid w:val="004F44E8"/>
    <w:rsid w:val="004F4637"/>
    <w:rsid w:val="004F49A4"/>
    <w:rsid w:val="004F4AB3"/>
    <w:rsid w:val="004F5014"/>
    <w:rsid w:val="004F505E"/>
    <w:rsid w:val="004F58B6"/>
    <w:rsid w:val="004F5D47"/>
    <w:rsid w:val="004F656F"/>
    <w:rsid w:val="004F669D"/>
    <w:rsid w:val="004F6F8D"/>
    <w:rsid w:val="004F720C"/>
    <w:rsid w:val="004F72A0"/>
    <w:rsid w:val="004F7312"/>
    <w:rsid w:val="004F7454"/>
    <w:rsid w:val="004F7768"/>
    <w:rsid w:val="004F783F"/>
    <w:rsid w:val="005002E0"/>
    <w:rsid w:val="005004D9"/>
    <w:rsid w:val="005004E7"/>
    <w:rsid w:val="00500961"/>
    <w:rsid w:val="00500E4C"/>
    <w:rsid w:val="005013D9"/>
    <w:rsid w:val="005017CA"/>
    <w:rsid w:val="00501BF6"/>
    <w:rsid w:val="00501E76"/>
    <w:rsid w:val="00502140"/>
    <w:rsid w:val="00502F09"/>
    <w:rsid w:val="005030D5"/>
    <w:rsid w:val="005031D5"/>
    <w:rsid w:val="0050380D"/>
    <w:rsid w:val="005038F5"/>
    <w:rsid w:val="00503921"/>
    <w:rsid w:val="00503DF0"/>
    <w:rsid w:val="00504566"/>
    <w:rsid w:val="005045E6"/>
    <w:rsid w:val="005046DC"/>
    <w:rsid w:val="005047BC"/>
    <w:rsid w:val="00504BFB"/>
    <w:rsid w:val="00504C58"/>
    <w:rsid w:val="00504E88"/>
    <w:rsid w:val="005054A4"/>
    <w:rsid w:val="005056F5"/>
    <w:rsid w:val="00505815"/>
    <w:rsid w:val="00505AA4"/>
    <w:rsid w:val="00505B6D"/>
    <w:rsid w:val="00505C8C"/>
    <w:rsid w:val="00505F4A"/>
    <w:rsid w:val="0050622B"/>
    <w:rsid w:val="005065D7"/>
    <w:rsid w:val="005068EC"/>
    <w:rsid w:val="00506DB8"/>
    <w:rsid w:val="005071B6"/>
    <w:rsid w:val="005074C1"/>
    <w:rsid w:val="0050765E"/>
    <w:rsid w:val="005077EE"/>
    <w:rsid w:val="00507A1B"/>
    <w:rsid w:val="00507B01"/>
    <w:rsid w:val="00510038"/>
    <w:rsid w:val="0051026C"/>
    <w:rsid w:val="005102C7"/>
    <w:rsid w:val="005106EF"/>
    <w:rsid w:val="00510743"/>
    <w:rsid w:val="005109DC"/>
    <w:rsid w:val="005109FE"/>
    <w:rsid w:val="00510E46"/>
    <w:rsid w:val="0051140A"/>
    <w:rsid w:val="00511582"/>
    <w:rsid w:val="00511589"/>
    <w:rsid w:val="005115AE"/>
    <w:rsid w:val="00511673"/>
    <w:rsid w:val="00511B07"/>
    <w:rsid w:val="00511B1A"/>
    <w:rsid w:val="00511F2B"/>
    <w:rsid w:val="00511FD7"/>
    <w:rsid w:val="0051270C"/>
    <w:rsid w:val="00512A3D"/>
    <w:rsid w:val="00512C11"/>
    <w:rsid w:val="00512C3B"/>
    <w:rsid w:val="005131A4"/>
    <w:rsid w:val="005133F8"/>
    <w:rsid w:val="00513750"/>
    <w:rsid w:val="00514031"/>
    <w:rsid w:val="0051455C"/>
    <w:rsid w:val="00514C09"/>
    <w:rsid w:val="00514D5E"/>
    <w:rsid w:val="00514F44"/>
    <w:rsid w:val="005153E7"/>
    <w:rsid w:val="00515614"/>
    <w:rsid w:val="005158F5"/>
    <w:rsid w:val="00515EDB"/>
    <w:rsid w:val="00515F0A"/>
    <w:rsid w:val="00516103"/>
    <w:rsid w:val="005161CB"/>
    <w:rsid w:val="005162BC"/>
    <w:rsid w:val="0051630C"/>
    <w:rsid w:val="00516501"/>
    <w:rsid w:val="00516FBB"/>
    <w:rsid w:val="005173CB"/>
    <w:rsid w:val="00517BC5"/>
    <w:rsid w:val="00517E13"/>
    <w:rsid w:val="00520501"/>
    <w:rsid w:val="005207D7"/>
    <w:rsid w:val="0052097A"/>
    <w:rsid w:val="00520A79"/>
    <w:rsid w:val="00520FE5"/>
    <w:rsid w:val="00521095"/>
    <w:rsid w:val="00521363"/>
    <w:rsid w:val="00521AEA"/>
    <w:rsid w:val="00522B90"/>
    <w:rsid w:val="00522D01"/>
    <w:rsid w:val="00522E9D"/>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7DE"/>
    <w:rsid w:val="005257EC"/>
    <w:rsid w:val="00525BB5"/>
    <w:rsid w:val="00525C59"/>
    <w:rsid w:val="00525EF0"/>
    <w:rsid w:val="00526033"/>
    <w:rsid w:val="005261E7"/>
    <w:rsid w:val="005263F5"/>
    <w:rsid w:val="005263F8"/>
    <w:rsid w:val="00526B67"/>
    <w:rsid w:val="00526BCC"/>
    <w:rsid w:val="00526C4D"/>
    <w:rsid w:val="00526F6C"/>
    <w:rsid w:val="00527337"/>
    <w:rsid w:val="00527403"/>
    <w:rsid w:val="005274E4"/>
    <w:rsid w:val="00527632"/>
    <w:rsid w:val="00527CD3"/>
    <w:rsid w:val="00527D82"/>
    <w:rsid w:val="00527DD6"/>
    <w:rsid w:val="00527DE4"/>
    <w:rsid w:val="00527F95"/>
    <w:rsid w:val="005302D2"/>
    <w:rsid w:val="005306A3"/>
    <w:rsid w:val="00530745"/>
    <w:rsid w:val="00530793"/>
    <w:rsid w:val="005307E7"/>
    <w:rsid w:val="0053084C"/>
    <w:rsid w:val="00530A52"/>
    <w:rsid w:val="00530B42"/>
    <w:rsid w:val="00530D72"/>
    <w:rsid w:val="00530E7B"/>
    <w:rsid w:val="00531040"/>
    <w:rsid w:val="005310D9"/>
    <w:rsid w:val="00531F51"/>
    <w:rsid w:val="005324FF"/>
    <w:rsid w:val="00532E64"/>
    <w:rsid w:val="005333EC"/>
    <w:rsid w:val="005336F9"/>
    <w:rsid w:val="005338BA"/>
    <w:rsid w:val="00533EEC"/>
    <w:rsid w:val="005349EB"/>
    <w:rsid w:val="00534BB1"/>
    <w:rsid w:val="00534C23"/>
    <w:rsid w:val="00535762"/>
    <w:rsid w:val="00535796"/>
    <w:rsid w:val="00535A6B"/>
    <w:rsid w:val="00536176"/>
    <w:rsid w:val="0053617C"/>
    <w:rsid w:val="005362D0"/>
    <w:rsid w:val="00536C1F"/>
    <w:rsid w:val="00537423"/>
    <w:rsid w:val="00537676"/>
    <w:rsid w:val="00537AD9"/>
    <w:rsid w:val="00537DBA"/>
    <w:rsid w:val="0054001E"/>
    <w:rsid w:val="005401F9"/>
    <w:rsid w:val="005402F6"/>
    <w:rsid w:val="0054036A"/>
    <w:rsid w:val="00540759"/>
    <w:rsid w:val="00540EBD"/>
    <w:rsid w:val="00541103"/>
    <w:rsid w:val="0054173C"/>
    <w:rsid w:val="00542013"/>
    <w:rsid w:val="00542091"/>
    <w:rsid w:val="00542476"/>
    <w:rsid w:val="005428CE"/>
    <w:rsid w:val="00542A42"/>
    <w:rsid w:val="00542A4E"/>
    <w:rsid w:val="00542FFC"/>
    <w:rsid w:val="00543363"/>
    <w:rsid w:val="005437B9"/>
    <w:rsid w:val="00543C3A"/>
    <w:rsid w:val="005441B0"/>
    <w:rsid w:val="00544322"/>
    <w:rsid w:val="0054435C"/>
    <w:rsid w:val="0054447B"/>
    <w:rsid w:val="005446ED"/>
    <w:rsid w:val="0054492E"/>
    <w:rsid w:val="00544BC0"/>
    <w:rsid w:val="00544C1A"/>
    <w:rsid w:val="00544CDC"/>
    <w:rsid w:val="00544DB8"/>
    <w:rsid w:val="005450CF"/>
    <w:rsid w:val="00545491"/>
    <w:rsid w:val="005455F9"/>
    <w:rsid w:val="005456A3"/>
    <w:rsid w:val="005456CC"/>
    <w:rsid w:val="00545A0D"/>
    <w:rsid w:val="00545CEE"/>
    <w:rsid w:val="00545EC1"/>
    <w:rsid w:val="00546368"/>
    <w:rsid w:val="005468BA"/>
    <w:rsid w:val="005469DC"/>
    <w:rsid w:val="00546DA1"/>
    <w:rsid w:val="00546DF4"/>
    <w:rsid w:val="00546ED2"/>
    <w:rsid w:val="00547024"/>
    <w:rsid w:val="005472B7"/>
    <w:rsid w:val="005477F1"/>
    <w:rsid w:val="00547863"/>
    <w:rsid w:val="00550046"/>
    <w:rsid w:val="005500EE"/>
    <w:rsid w:val="00550C4E"/>
    <w:rsid w:val="00551037"/>
    <w:rsid w:val="005514EC"/>
    <w:rsid w:val="005516B7"/>
    <w:rsid w:val="005519D5"/>
    <w:rsid w:val="00551CCB"/>
    <w:rsid w:val="0055210B"/>
    <w:rsid w:val="005522A2"/>
    <w:rsid w:val="0055255B"/>
    <w:rsid w:val="005526C7"/>
    <w:rsid w:val="00552A44"/>
    <w:rsid w:val="00552A6C"/>
    <w:rsid w:val="00552E4C"/>
    <w:rsid w:val="00553094"/>
    <w:rsid w:val="005531D1"/>
    <w:rsid w:val="00553497"/>
    <w:rsid w:val="005534B3"/>
    <w:rsid w:val="00553765"/>
    <w:rsid w:val="00553872"/>
    <w:rsid w:val="00553FF2"/>
    <w:rsid w:val="005540D0"/>
    <w:rsid w:val="005550EB"/>
    <w:rsid w:val="005554BD"/>
    <w:rsid w:val="005559D5"/>
    <w:rsid w:val="00555BAE"/>
    <w:rsid w:val="00555CC4"/>
    <w:rsid w:val="00555F21"/>
    <w:rsid w:val="0055604D"/>
    <w:rsid w:val="00556359"/>
    <w:rsid w:val="0055766F"/>
    <w:rsid w:val="00557C26"/>
    <w:rsid w:val="00560268"/>
    <w:rsid w:val="005603C6"/>
    <w:rsid w:val="0056043F"/>
    <w:rsid w:val="0056068E"/>
    <w:rsid w:val="0056075C"/>
    <w:rsid w:val="005609C4"/>
    <w:rsid w:val="00560AF3"/>
    <w:rsid w:val="00561001"/>
    <w:rsid w:val="005613A0"/>
    <w:rsid w:val="00561737"/>
    <w:rsid w:val="00561C7E"/>
    <w:rsid w:val="00562969"/>
    <w:rsid w:val="00563135"/>
    <w:rsid w:val="0056337F"/>
    <w:rsid w:val="00563A73"/>
    <w:rsid w:val="00563B68"/>
    <w:rsid w:val="00563E2E"/>
    <w:rsid w:val="00564352"/>
    <w:rsid w:val="00564488"/>
    <w:rsid w:val="00564A4B"/>
    <w:rsid w:val="00564BD6"/>
    <w:rsid w:val="00564C34"/>
    <w:rsid w:val="00565024"/>
    <w:rsid w:val="005650CA"/>
    <w:rsid w:val="0056525E"/>
    <w:rsid w:val="005652BE"/>
    <w:rsid w:val="0056588C"/>
    <w:rsid w:val="00565DC9"/>
    <w:rsid w:val="005660ED"/>
    <w:rsid w:val="00566285"/>
    <w:rsid w:val="00566529"/>
    <w:rsid w:val="0056682B"/>
    <w:rsid w:val="00566858"/>
    <w:rsid w:val="00566877"/>
    <w:rsid w:val="00566A2F"/>
    <w:rsid w:val="00566BF6"/>
    <w:rsid w:val="00566CF2"/>
    <w:rsid w:val="00566E9E"/>
    <w:rsid w:val="00567005"/>
    <w:rsid w:val="00567015"/>
    <w:rsid w:val="00567A61"/>
    <w:rsid w:val="00567E5C"/>
    <w:rsid w:val="00570158"/>
    <w:rsid w:val="00570294"/>
    <w:rsid w:val="00570A2E"/>
    <w:rsid w:val="00570BA2"/>
    <w:rsid w:val="00570C2A"/>
    <w:rsid w:val="00570D71"/>
    <w:rsid w:val="005710A6"/>
    <w:rsid w:val="005712D3"/>
    <w:rsid w:val="0057140E"/>
    <w:rsid w:val="005715CF"/>
    <w:rsid w:val="00571B69"/>
    <w:rsid w:val="00571F14"/>
    <w:rsid w:val="005722DF"/>
    <w:rsid w:val="005726B5"/>
    <w:rsid w:val="005727C0"/>
    <w:rsid w:val="00572CCF"/>
    <w:rsid w:val="00572CED"/>
    <w:rsid w:val="00572CF4"/>
    <w:rsid w:val="00572DA5"/>
    <w:rsid w:val="00572F6E"/>
    <w:rsid w:val="00573118"/>
    <w:rsid w:val="00573287"/>
    <w:rsid w:val="005733FE"/>
    <w:rsid w:val="005736AF"/>
    <w:rsid w:val="00573B47"/>
    <w:rsid w:val="0057404C"/>
    <w:rsid w:val="00574095"/>
    <w:rsid w:val="005743B2"/>
    <w:rsid w:val="0057448B"/>
    <w:rsid w:val="005744F6"/>
    <w:rsid w:val="00574720"/>
    <w:rsid w:val="00574FCF"/>
    <w:rsid w:val="00575454"/>
    <w:rsid w:val="005755EF"/>
    <w:rsid w:val="00575889"/>
    <w:rsid w:val="00575A19"/>
    <w:rsid w:val="00575A41"/>
    <w:rsid w:val="00575CD7"/>
    <w:rsid w:val="00576299"/>
    <w:rsid w:val="00576677"/>
    <w:rsid w:val="005766F7"/>
    <w:rsid w:val="00576878"/>
    <w:rsid w:val="00576DF1"/>
    <w:rsid w:val="00577430"/>
    <w:rsid w:val="0057797B"/>
    <w:rsid w:val="00577A67"/>
    <w:rsid w:val="00577BA6"/>
    <w:rsid w:val="00580A09"/>
    <w:rsid w:val="00580ECD"/>
    <w:rsid w:val="005816B9"/>
    <w:rsid w:val="00581AB6"/>
    <w:rsid w:val="00581E96"/>
    <w:rsid w:val="00581FB3"/>
    <w:rsid w:val="005822AD"/>
    <w:rsid w:val="00582563"/>
    <w:rsid w:val="005829BB"/>
    <w:rsid w:val="00582BF3"/>
    <w:rsid w:val="00582F40"/>
    <w:rsid w:val="005836CA"/>
    <w:rsid w:val="00583870"/>
    <w:rsid w:val="005839B5"/>
    <w:rsid w:val="00583C9B"/>
    <w:rsid w:val="00583D84"/>
    <w:rsid w:val="005844E4"/>
    <w:rsid w:val="00584690"/>
    <w:rsid w:val="005848B3"/>
    <w:rsid w:val="00584B7A"/>
    <w:rsid w:val="00584D16"/>
    <w:rsid w:val="00584DA8"/>
    <w:rsid w:val="0058501F"/>
    <w:rsid w:val="00585134"/>
    <w:rsid w:val="005853AD"/>
    <w:rsid w:val="00585D44"/>
    <w:rsid w:val="00585E2D"/>
    <w:rsid w:val="0058608D"/>
    <w:rsid w:val="005862FC"/>
    <w:rsid w:val="00586930"/>
    <w:rsid w:val="00586E33"/>
    <w:rsid w:val="005871D7"/>
    <w:rsid w:val="005872C3"/>
    <w:rsid w:val="00587331"/>
    <w:rsid w:val="005876C7"/>
    <w:rsid w:val="0058774F"/>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195"/>
    <w:rsid w:val="005941DD"/>
    <w:rsid w:val="0059420A"/>
    <w:rsid w:val="0059443E"/>
    <w:rsid w:val="00594A88"/>
    <w:rsid w:val="00594B7B"/>
    <w:rsid w:val="00594BCD"/>
    <w:rsid w:val="00594BEF"/>
    <w:rsid w:val="00595033"/>
    <w:rsid w:val="00595240"/>
    <w:rsid w:val="0059532D"/>
    <w:rsid w:val="005959C6"/>
    <w:rsid w:val="00595E45"/>
    <w:rsid w:val="00595E70"/>
    <w:rsid w:val="0059640C"/>
    <w:rsid w:val="00596510"/>
    <w:rsid w:val="00596B35"/>
    <w:rsid w:val="00596C30"/>
    <w:rsid w:val="00597066"/>
    <w:rsid w:val="00597285"/>
    <w:rsid w:val="00597347"/>
    <w:rsid w:val="00597A9B"/>
    <w:rsid w:val="00597AAF"/>
    <w:rsid w:val="00597E4D"/>
    <w:rsid w:val="005A01F2"/>
    <w:rsid w:val="005A0252"/>
    <w:rsid w:val="005A02B5"/>
    <w:rsid w:val="005A048E"/>
    <w:rsid w:val="005A0691"/>
    <w:rsid w:val="005A0807"/>
    <w:rsid w:val="005A0D10"/>
    <w:rsid w:val="005A0E5D"/>
    <w:rsid w:val="005A0E7B"/>
    <w:rsid w:val="005A1028"/>
    <w:rsid w:val="005A10F2"/>
    <w:rsid w:val="005A1165"/>
    <w:rsid w:val="005A14E2"/>
    <w:rsid w:val="005A15F1"/>
    <w:rsid w:val="005A1699"/>
    <w:rsid w:val="005A1786"/>
    <w:rsid w:val="005A1884"/>
    <w:rsid w:val="005A1AE7"/>
    <w:rsid w:val="005A1BA0"/>
    <w:rsid w:val="005A1DFD"/>
    <w:rsid w:val="005A28FE"/>
    <w:rsid w:val="005A2983"/>
    <w:rsid w:val="005A29FB"/>
    <w:rsid w:val="005A2A96"/>
    <w:rsid w:val="005A2D73"/>
    <w:rsid w:val="005A3300"/>
    <w:rsid w:val="005A363D"/>
    <w:rsid w:val="005A3ACC"/>
    <w:rsid w:val="005A40AA"/>
    <w:rsid w:val="005A4664"/>
    <w:rsid w:val="005A47EB"/>
    <w:rsid w:val="005A4C4E"/>
    <w:rsid w:val="005A5040"/>
    <w:rsid w:val="005A513D"/>
    <w:rsid w:val="005A5204"/>
    <w:rsid w:val="005A54E4"/>
    <w:rsid w:val="005A57BC"/>
    <w:rsid w:val="005A5BA5"/>
    <w:rsid w:val="005A5E5B"/>
    <w:rsid w:val="005A5E63"/>
    <w:rsid w:val="005A5F5E"/>
    <w:rsid w:val="005A5FD4"/>
    <w:rsid w:val="005A6093"/>
    <w:rsid w:val="005A6278"/>
    <w:rsid w:val="005A6AEE"/>
    <w:rsid w:val="005A7292"/>
    <w:rsid w:val="005A7478"/>
    <w:rsid w:val="005A790B"/>
    <w:rsid w:val="005A7D5B"/>
    <w:rsid w:val="005B072E"/>
    <w:rsid w:val="005B07F5"/>
    <w:rsid w:val="005B090A"/>
    <w:rsid w:val="005B0C7B"/>
    <w:rsid w:val="005B0D26"/>
    <w:rsid w:val="005B0E53"/>
    <w:rsid w:val="005B1306"/>
    <w:rsid w:val="005B15E6"/>
    <w:rsid w:val="005B17A8"/>
    <w:rsid w:val="005B1AFA"/>
    <w:rsid w:val="005B1CC5"/>
    <w:rsid w:val="005B1D6F"/>
    <w:rsid w:val="005B216F"/>
    <w:rsid w:val="005B2634"/>
    <w:rsid w:val="005B29C8"/>
    <w:rsid w:val="005B2A0B"/>
    <w:rsid w:val="005B31CB"/>
    <w:rsid w:val="005B36EA"/>
    <w:rsid w:val="005B39E5"/>
    <w:rsid w:val="005B39EA"/>
    <w:rsid w:val="005B3ED7"/>
    <w:rsid w:val="005B3EFF"/>
    <w:rsid w:val="005B3F63"/>
    <w:rsid w:val="005B3FD5"/>
    <w:rsid w:val="005B4316"/>
    <w:rsid w:val="005B4635"/>
    <w:rsid w:val="005B46BE"/>
    <w:rsid w:val="005B4832"/>
    <w:rsid w:val="005B4A10"/>
    <w:rsid w:val="005B4A60"/>
    <w:rsid w:val="005B4A84"/>
    <w:rsid w:val="005B4C7B"/>
    <w:rsid w:val="005B4E11"/>
    <w:rsid w:val="005B50D2"/>
    <w:rsid w:val="005B5393"/>
    <w:rsid w:val="005B5650"/>
    <w:rsid w:val="005B56DF"/>
    <w:rsid w:val="005B59FB"/>
    <w:rsid w:val="005B5AA3"/>
    <w:rsid w:val="005B5C68"/>
    <w:rsid w:val="005B6293"/>
    <w:rsid w:val="005B6639"/>
    <w:rsid w:val="005B6A98"/>
    <w:rsid w:val="005B6E9F"/>
    <w:rsid w:val="005B72B2"/>
    <w:rsid w:val="005B7330"/>
    <w:rsid w:val="005B7367"/>
    <w:rsid w:val="005B756D"/>
    <w:rsid w:val="005B7678"/>
    <w:rsid w:val="005B78D6"/>
    <w:rsid w:val="005B7C5F"/>
    <w:rsid w:val="005B7DCC"/>
    <w:rsid w:val="005B7FBA"/>
    <w:rsid w:val="005C0493"/>
    <w:rsid w:val="005C05AE"/>
    <w:rsid w:val="005C0F5A"/>
    <w:rsid w:val="005C1268"/>
    <w:rsid w:val="005C1427"/>
    <w:rsid w:val="005C1567"/>
    <w:rsid w:val="005C166D"/>
    <w:rsid w:val="005C182F"/>
    <w:rsid w:val="005C18FD"/>
    <w:rsid w:val="005C1D0E"/>
    <w:rsid w:val="005C1E75"/>
    <w:rsid w:val="005C2A11"/>
    <w:rsid w:val="005C2D2D"/>
    <w:rsid w:val="005C3055"/>
    <w:rsid w:val="005C30E9"/>
    <w:rsid w:val="005C372E"/>
    <w:rsid w:val="005C3842"/>
    <w:rsid w:val="005C3AAB"/>
    <w:rsid w:val="005C3B8C"/>
    <w:rsid w:val="005C3E34"/>
    <w:rsid w:val="005C4259"/>
    <w:rsid w:val="005C43BB"/>
    <w:rsid w:val="005C470D"/>
    <w:rsid w:val="005C4E06"/>
    <w:rsid w:val="005C533A"/>
    <w:rsid w:val="005C5395"/>
    <w:rsid w:val="005C539D"/>
    <w:rsid w:val="005C5684"/>
    <w:rsid w:val="005C5C16"/>
    <w:rsid w:val="005C5CE1"/>
    <w:rsid w:val="005C5EA6"/>
    <w:rsid w:val="005C5F39"/>
    <w:rsid w:val="005C62FF"/>
    <w:rsid w:val="005C641B"/>
    <w:rsid w:val="005C65BA"/>
    <w:rsid w:val="005C691D"/>
    <w:rsid w:val="005C6972"/>
    <w:rsid w:val="005C69DF"/>
    <w:rsid w:val="005C6A8A"/>
    <w:rsid w:val="005C6CF9"/>
    <w:rsid w:val="005C718E"/>
    <w:rsid w:val="005C7784"/>
    <w:rsid w:val="005C78C2"/>
    <w:rsid w:val="005C7B7C"/>
    <w:rsid w:val="005C7C4F"/>
    <w:rsid w:val="005C7CA4"/>
    <w:rsid w:val="005D056E"/>
    <w:rsid w:val="005D0A64"/>
    <w:rsid w:val="005D0B0A"/>
    <w:rsid w:val="005D0BE6"/>
    <w:rsid w:val="005D0D6F"/>
    <w:rsid w:val="005D1198"/>
    <w:rsid w:val="005D12FC"/>
    <w:rsid w:val="005D1876"/>
    <w:rsid w:val="005D18C7"/>
    <w:rsid w:val="005D19C9"/>
    <w:rsid w:val="005D2276"/>
    <w:rsid w:val="005D237D"/>
    <w:rsid w:val="005D308D"/>
    <w:rsid w:val="005D35BE"/>
    <w:rsid w:val="005D3B43"/>
    <w:rsid w:val="005D3EB1"/>
    <w:rsid w:val="005D3FBE"/>
    <w:rsid w:val="005D40DC"/>
    <w:rsid w:val="005D46D3"/>
    <w:rsid w:val="005D5154"/>
    <w:rsid w:val="005D5353"/>
    <w:rsid w:val="005D5477"/>
    <w:rsid w:val="005D5BAC"/>
    <w:rsid w:val="005D5C72"/>
    <w:rsid w:val="005D5DBD"/>
    <w:rsid w:val="005D5E98"/>
    <w:rsid w:val="005D5F0B"/>
    <w:rsid w:val="005D633E"/>
    <w:rsid w:val="005D6BE2"/>
    <w:rsid w:val="005D6D1C"/>
    <w:rsid w:val="005D6DDA"/>
    <w:rsid w:val="005D72A7"/>
    <w:rsid w:val="005D7729"/>
    <w:rsid w:val="005D790E"/>
    <w:rsid w:val="005D7C22"/>
    <w:rsid w:val="005E03E1"/>
    <w:rsid w:val="005E05E5"/>
    <w:rsid w:val="005E065C"/>
    <w:rsid w:val="005E0A23"/>
    <w:rsid w:val="005E0C53"/>
    <w:rsid w:val="005E0DA0"/>
    <w:rsid w:val="005E118B"/>
    <w:rsid w:val="005E1721"/>
    <w:rsid w:val="005E1A9C"/>
    <w:rsid w:val="005E1FD9"/>
    <w:rsid w:val="005E2060"/>
    <w:rsid w:val="005E245A"/>
    <w:rsid w:val="005E25D0"/>
    <w:rsid w:val="005E2631"/>
    <w:rsid w:val="005E2815"/>
    <w:rsid w:val="005E2D40"/>
    <w:rsid w:val="005E2F81"/>
    <w:rsid w:val="005E3CBE"/>
    <w:rsid w:val="005E3D13"/>
    <w:rsid w:val="005E3D90"/>
    <w:rsid w:val="005E3DA9"/>
    <w:rsid w:val="005E3E0D"/>
    <w:rsid w:val="005E40B4"/>
    <w:rsid w:val="005E4467"/>
    <w:rsid w:val="005E49CA"/>
    <w:rsid w:val="005E4DC1"/>
    <w:rsid w:val="005E4E7D"/>
    <w:rsid w:val="005E506B"/>
    <w:rsid w:val="005E5306"/>
    <w:rsid w:val="005E541B"/>
    <w:rsid w:val="005E554A"/>
    <w:rsid w:val="005E5B16"/>
    <w:rsid w:val="005E5B38"/>
    <w:rsid w:val="005E5F52"/>
    <w:rsid w:val="005E60F9"/>
    <w:rsid w:val="005E6311"/>
    <w:rsid w:val="005E65D7"/>
    <w:rsid w:val="005E677E"/>
    <w:rsid w:val="005E6895"/>
    <w:rsid w:val="005E6A71"/>
    <w:rsid w:val="005E767B"/>
    <w:rsid w:val="005E76C6"/>
    <w:rsid w:val="005E7917"/>
    <w:rsid w:val="005E79F2"/>
    <w:rsid w:val="005E7A15"/>
    <w:rsid w:val="005E7BF0"/>
    <w:rsid w:val="005E7DEA"/>
    <w:rsid w:val="005F0258"/>
    <w:rsid w:val="005F0433"/>
    <w:rsid w:val="005F0451"/>
    <w:rsid w:val="005F080A"/>
    <w:rsid w:val="005F0DE1"/>
    <w:rsid w:val="005F1108"/>
    <w:rsid w:val="005F1335"/>
    <w:rsid w:val="005F1843"/>
    <w:rsid w:val="005F18CA"/>
    <w:rsid w:val="005F1C52"/>
    <w:rsid w:val="005F1FE2"/>
    <w:rsid w:val="005F2169"/>
    <w:rsid w:val="005F21AE"/>
    <w:rsid w:val="005F2254"/>
    <w:rsid w:val="005F227E"/>
    <w:rsid w:val="005F2BBD"/>
    <w:rsid w:val="005F3248"/>
    <w:rsid w:val="005F34F3"/>
    <w:rsid w:val="005F35D9"/>
    <w:rsid w:val="005F4211"/>
    <w:rsid w:val="005F4382"/>
    <w:rsid w:val="005F46E7"/>
    <w:rsid w:val="005F4731"/>
    <w:rsid w:val="005F4775"/>
    <w:rsid w:val="005F4B94"/>
    <w:rsid w:val="005F4ED7"/>
    <w:rsid w:val="005F512C"/>
    <w:rsid w:val="005F5152"/>
    <w:rsid w:val="005F516E"/>
    <w:rsid w:val="005F5A56"/>
    <w:rsid w:val="005F6014"/>
    <w:rsid w:val="005F6089"/>
    <w:rsid w:val="005F60DE"/>
    <w:rsid w:val="005F665C"/>
    <w:rsid w:val="005F6B54"/>
    <w:rsid w:val="005F6D95"/>
    <w:rsid w:val="005F70BD"/>
    <w:rsid w:val="005F738C"/>
    <w:rsid w:val="005F74AB"/>
    <w:rsid w:val="005F773F"/>
    <w:rsid w:val="005F7850"/>
    <w:rsid w:val="005F7A86"/>
    <w:rsid w:val="005F7DA2"/>
    <w:rsid w:val="0060047E"/>
    <w:rsid w:val="006009A0"/>
    <w:rsid w:val="00600B7C"/>
    <w:rsid w:val="00600FAB"/>
    <w:rsid w:val="00601370"/>
    <w:rsid w:val="0060146C"/>
    <w:rsid w:val="00601524"/>
    <w:rsid w:val="00601701"/>
    <w:rsid w:val="00601B9A"/>
    <w:rsid w:val="006020C5"/>
    <w:rsid w:val="006024A6"/>
    <w:rsid w:val="006026B1"/>
    <w:rsid w:val="00602F4E"/>
    <w:rsid w:val="00603097"/>
    <w:rsid w:val="00603158"/>
    <w:rsid w:val="00603342"/>
    <w:rsid w:val="006042A2"/>
    <w:rsid w:val="00604515"/>
    <w:rsid w:val="00604A81"/>
    <w:rsid w:val="00604A86"/>
    <w:rsid w:val="00604A88"/>
    <w:rsid w:val="00604BC2"/>
    <w:rsid w:val="00604ED1"/>
    <w:rsid w:val="006052FE"/>
    <w:rsid w:val="006054DF"/>
    <w:rsid w:val="00605715"/>
    <w:rsid w:val="00605A14"/>
    <w:rsid w:val="0060609A"/>
    <w:rsid w:val="0060614A"/>
    <w:rsid w:val="006062BA"/>
    <w:rsid w:val="0060657A"/>
    <w:rsid w:val="006065FA"/>
    <w:rsid w:val="00606AEA"/>
    <w:rsid w:val="00606AF9"/>
    <w:rsid w:val="00606D99"/>
    <w:rsid w:val="006070D1"/>
    <w:rsid w:val="006076B9"/>
    <w:rsid w:val="006077D9"/>
    <w:rsid w:val="00607DF0"/>
    <w:rsid w:val="00607ECA"/>
    <w:rsid w:val="006103F2"/>
    <w:rsid w:val="006105D3"/>
    <w:rsid w:val="0061063D"/>
    <w:rsid w:val="00610646"/>
    <w:rsid w:val="00610CE8"/>
    <w:rsid w:val="00610DA4"/>
    <w:rsid w:val="00611099"/>
    <w:rsid w:val="00611A44"/>
    <w:rsid w:val="00611BBE"/>
    <w:rsid w:val="00611EA9"/>
    <w:rsid w:val="0061242A"/>
    <w:rsid w:val="006124EF"/>
    <w:rsid w:val="00612788"/>
    <w:rsid w:val="0061331C"/>
    <w:rsid w:val="00613DDE"/>
    <w:rsid w:val="00614029"/>
    <w:rsid w:val="00614115"/>
    <w:rsid w:val="0061414B"/>
    <w:rsid w:val="0061427C"/>
    <w:rsid w:val="00614306"/>
    <w:rsid w:val="0061451E"/>
    <w:rsid w:val="006148DB"/>
    <w:rsid w:val="00614A63"/>
    <w:rsid w:val="006153BD"/>
    <w:rsid w:val="0061565F"/>
    <w:rsid w:val="006157E3"/>
    <w:rsid w:val="0061590B"/>
    <w:rsid w:val="00615A65"/>
    <w:rsid w:val="00615C93"/>
    <w:rsid w:val="0061606D"/>
    <w:rsid w:val="00616A88"/>
    <w:rsid w:val="00616E41"/>
    <w:rsid w:val="0061715D"/>
    <w:rsid w:val="00617330"/>
    <w:rsid w:val="00617B26"/>
    <w:rsid w:val="00617F64"/>
    <w:rsid w:val="006201A8"/>
    <w:rsid w:val="0062056B"/>
    <w:rsid w:val="00620623"/>
    <w:rsid w:val="00620806"/>
    <w:rsid w:val="00620B1F"/>
    <w:rsid w:val="00620C02"/>
    <w:rsid w:val="0062146F"/>
    <w:rsid w:val="00621AAE"/>
    <w:rsid w:val="00621CF5"/>
    <w:rsid w:val="00621E4F"/>
    <w:rsid w:val="00622355"/>
    <w:rsid w:val="0062243B"/>
    <w:rsid w:val="0062271A"/>
    <w:rsid w:val="006229A1"/>
    <w:rsid w:val="006232CA"/>
    <w:rsid w:val="00623536"/>
    <w:rsid w:val="006239AB"/>
    <w:rsid w:val="00623FD1"/>
    <w:rsid w:val="00623FD3"/>
    <w:rsid w:val="00623FEB"/>
    <w:rsid w:val="00624223"/>
    <w:rsid w:val="006243E5"/>
    <w:rsid w:val="00624674"/>
    <w:rsid w:val="00624A5B"/>
    <w:rsid w:val="00624B08"/>
    <w:rsid w:val="00624E98"/>
    <w:rsid w:val="006254A9"/>
    <w:rsid w:val="00625556"/>
    <w:rsid w:val="00625686"/>
    <w:rsid w:val="00625751"/>
    <w:rsid w:val="006259F8"/>
    <w:rsid w:val="00625AF4"/>
    <w:rsid w:val="00625B27"/>
    <w:rsid w:val="00625C99"/>
    <w:rsid w:val="0062636F"/>
    <w:rsid w:val="00626D61"/>
    <w:rsid w:val="0062710A"/>
    <w:rsid w:val="0062723A"/>
    <w:rsid w:val="006276D0"/>
    <w:rsid w:val="00627773"/>
    <w:rsid w:val="006279DE"/>
    <w:rsid w:val="00627ABE"/>
    <w:rsid w:val="00627F96"/>
    <w:rsid w:val="006300FC"/>
    <w:rsid w:val="006300FF"/>
    <w:rsid w:val="006301C7"/>
    <w:rsid w:val="006303BF"/>
    <w:rsid w:val="00630519"/>
    <w:rsid w:val="0063121A"/>
    <w:rsid w:val="00631414"/>
    <w:rsid w:val="006315E7"/>
    <w:rsid w:val="0063212F"/>
    <w:rsid w:val="0063230A"/>
    <w:rsid w:val="0063241C"/>
    <w:rsid w:val="00632591"/>
    <w:rsid w:val="0063266C"/>
    <w:rsid w:val="0063271C"/>
    <w:rsid w:val="00632732"/>
    <w:rsid w:val="0063282F"/>
    <w:rsid w:val="00632CA7"/>
    <w:rsid w:val="00633004"/>
    <w:rsid w:val="0063307C"/>
    <w:rsid w:val="006331DF"/>
    <w:rsid w:val="0063321D"/>
    <w:rsid w:val="006332EE"/>
    <w:rsid w:val="0063343E"/>
    <w:rsid w:val="0063398C"/>
    <w:rsid w:val="00633C5C"/>
    <w:rsid w:val="00633E7C"/>
    <w:rsid w:val="0063449E"/>
    <w:rsid w:val="00634562"/>
    <w:rsid w:val="006346F8"/>
    <w:rsid w:val="00634CB6"/>
    <w:rsid w:val="00634DBC"/>
    <w:rsid w:val="00635031"/>
    <w:rsid w:val="006350BD"/>
    <w:rsid w:val="0063519A"/>
    <w:rsid w:val="006357AD"/>
    <w:rsid w:val="00635A96"/>
    <w:rsid w:val="00635AD3"/>
    <w:rsid w:val="00635AEC"/>
    <w:rsid w:val="0063695A"/>
    <w:rsid w:val="00636A8E"/>
    <w:rsid w:val="00636ACC"/>
    <w:rsid w:val="00636B7A"/>
    <w:rsid w:val="00637380"/>
    <w:rsid w:val="006377B4"/>
    <w:rsid w:val="006379B7"/>
    <w:rsid w:val="006379EF"/>
    <w:rsid w:val="00637AFD"/>
    <w:rsid w:val="00640262"/>
    <w:rsid w:val="00640703"/>
    <w:rsid w:val="0064100B"/>
    <w:rsid w:val="00641036"/>
    <w:rsid w:val="00641092"/>
    <w:rsid w:val="006410D4"/>
    <w:rsid w:val="00641101"/>
    <w:rsid w:val="00641359"/>
    <w:rsid w:val="00641365"/>
    <w:rsid w:val="00641370"/>
    <w:rsid w:val="0064157F"/>
    <w:rsid w:val="006417C8"/>
    <w:rsid w:val="006417E1"/>
    <w:rsid w:val="00641C5A"/>
    <w:rsid w:val="00642172"/>
    <w:rsid w:val="00642400"/>
    <w:rsid w:val="0064255E"/>
    <w:rsid w:val="006426C8"/>
    <w:rsid w:val="00642991"/>
    <w:rsid w:val="00642AAF"/>
    <w:rsid w:val="00642AC3"/>
    <w:rsid w:val="006431AF"/>
    <w:rsid w:val="006433C5"/>
    <w:rsid w:val="00643565"/>
    <w:rsid w:val="006436AE"/>
    <w:rsid w:val="00643943"/>
    <w:rsid w:val="00643A37"/>
    <w:rsid w:val="00643A8A"/>
    <w:rsid w:val="00643BC3"/>
    <w:rsid w:val="00643CF6"/>
    <w:rsid w:val="00643D2E"/>
    <w:rsid w:val="00643DE1"/>
    <w:rsid w:val="00643DE6"/>
    <w:rsid w:val="0064426D"/>
    <w:rsid w:val="00644415"/>
    <w:rsid w:val="006444B8"/>
    <w:rsid w:val="00644A55"/>
    <w:rsid w:val="006453F7"/>
    <w:rsid w:val="00645581"/>
    <w:rsid w:val="00645A49"/>
    <w:rsid w:val="00645C58"/>
    <w:rsid w:val="00645F9B"/>
    <w:rsid w:val="006463A6"/>
    <w:rsid w:val="006469C9"/>
    <w:rsid w:val="00646F8C"/>
    <w:rsid w:val="00647147"/>
    <w:rsid w:val="0064739A"/>
    <w:rsid w:val="00647D51"/>
    <w:rsid w:val="006500F6"/>
    <w:rsid w:val="00650436"/>
    <w:rsid w:val="006505E8"/>
    <w:rsid w:val="00650729"/>
    <w:rsid w:val="00650871"/>
    <w:rsid w:val="00650AD4"/>
    <w:rsid w:val="00650C68"/>
    <w:rsid w:val="00650F3E"/>
    <w:rsid w:val="006510BF"/>
    <w:rsid w:val="006510D1"/>
    <w:rsid w:val="00651176"/>
    <w:rsid w:val="0065143B"/>
    <w:rsid w:val="006515DC"/>
    <w:rsid w:val="00651649"/>
    <w:rsid w:val="0065183D"/>
    <w:rsid w:val="006518AC"/>
    <w:rsid w:val="00651B37"/>
    <w:rsid w:val="00651D5E"/>
    <w:rsid w:val="00652394"/>
    <w:rsid w:val="0065241F"/>
    <w:rsid w:val="00652463"/>
    <w:rsid w:val="006524FA"/>
    <w:rsid w:val="00652785"/>
    <w:rsid w:val="0065282A"/>
    <w:rsid w:val="00652867"/>
    <w:rsid w:val="006529D3"/>
    <w:rsid w:val="00652B24"/>
    <w:rsid w:val="00652B8B"/>
    <w:rsid w:val="00652D77"/>
    <w:rsid w:val="00652F1C"/>
    <w:rsid w:val="00652F4B"/>
    <w:rsid w:val="00652FA5"/>
    <w:rsid w:val="006531FB"/>
    <w:rsid w:val="00653BBB"/>
    <w:rsid w:val="00653E08"/>
    <w:rsid w:val="006541A2"/>
    <w:rsid w:val="00654482"/>
    <w:rsid w:val="0065484F"/>
    <w:rsid w:val="00654FCF"/>
    <w:rsid w:val="00655236"/>
    <w:rsid w:val="006553C9"/>
    <w:rsid w:val="006554EB"/>
    <w:rsid w:val="006556B5"/>
    <w:rsid w:val="006559F7"/>
    <w:rsid w:val="00655DB3"/>
    <w:rsid w:val="00655DEC"/>
    <w:rsid w:val="0065621A"/>
    <w:rsid w:val="00656229"/>
    <w:rsid w:val="0065639B"/>
    <w:rsid w:val="006563A7"/>
    <w:rsid w:val="0065673B"/>
    <w:rsid w:val="00656AFC"/>
    <w:rsid w:val="00656D1B"/>
    <w:rsid w:val="006577DF"/>
    <w:rsid w:val="0065780D"/>
    <w:rsid w:val="00657E53"/>
    <w:rsid w:val="00657EA9"/>
    <w:rsid w:val="0066003A"/>
    <w:rsid w:val="00660235"/>
    <w:rsid w:val="00660638"/>
    <w:rsid w:val="0066085A"/>
    <w:rsid w:val="00660984"/>
    <w:rsid w:val="00660A2E"/>
    <w:rsid w:val="00660B6E"/>
    <w:rsid w:val="00660BA0"/>
    <w:rsid w:val="00660F50"/>
    <w:rsid w:val="00660F9F"/>
    <w:rsid w:val="006610DD"/>
    <w:rsid w:val="006610FD"/>
    <w:rsid w:val="00661116"/>
    <w:rsid w:val="00661382"/>
    <w:rsid w:val="00661435"/>
    <w:rsid w:val="00661757"/>
    <w:rsid w:val="006618A7"/>
    <w:rsid w:val="00661E41"/>
    <w:rsid w:val="00661E8B"/>
    <w:rsid w:val="006621DB"/>
    <w:rsid w:val="006623AC"/>
    <w:rsid w:val="006624FE"/>
    <w:rsid w:val="00662676"/>
    <w:rsid w:val="006626D8"/>
    <w:rsid w:val="00662956"/>
    <w:rsid w:val="00662DB1"/>
    <w:rsid w:val="00663060"/>
    <w:rsid w:val="00663D11"/>
    <w:rsid w:val="00663E31"/>
    <w:rsid w:val="00663F4C"/>
    <w:rsid w:val="00664042"/>
    <w:rsid w:val="006640D6"/>
    <w:rsid w:val="00664290"/>
    <w:rsid w:val="0066433F"/>
    <w:rsid w:val="00664493"/>
    <w:rsid w:val="00664568"/>
    <w:rsid w:val="00664DAC"/>
    <w:rsid w:val="00664ECC"/>
    <w:rsid w:val="00664FA3"/>
    <w:rsid w:val="00665961"/>
    <w:rsid w:val="0066599E"/>
    <w:rsid w:val="00665EF8"/>
    <w:rsid w:val="006669DD"/>
    <w:rsid w:val="00666AA0"/>
    <w:rsid w:val="00666D62"/>
    <w:rsid w:val="00666E2D"/>
    <w:rsid w:val="0066711A"/>
    <w:rsid w:val="00667241"/>
    <w:rsid w:val="0066737A"/>
    <w:rsid w:val="006674F2"/>
    <w:rsid w:val="00667ABD"/>
    <w:rsid w:val="00667D9D"/>
    <w:rsid w:val="00667F55"/>
    <w:rsid w:val="00670025"/>
    <w:rsid w:val="00670308"/>
    <w:rsid w:val="00670771"/>
    <w:rsid w:val="006709EC"/>
    <w:rsid w:val="00670BFE"/>
    <w:rsid w:val="00670CB1"/>
    <w:rsid w:val="00670EAE"/>
    <w:rsid w:val="006711F7"/>
    <w:rsid w:val="00671C7B"/>
    <w:rsid w:val="00671FF8"/>
    <w:rsid w:val="0067236E"/>
    <w:rsid w:val="0067254A"/>
    <w:rsid w:val="00672D19"/>
    <w:rsid w:val="00672D8F"/>
    <w:rsid w:val="00673061"/>
    <w:rsid w:val="006730F8"/>
    <w:rsid w:val="00673104"/>
    <w:rsid w:val="0067328E"/>
    <w:rsid w:val="0067339D"/>
    <w:rsid w:val="006733CC"/>
    <w:rsid w:val="006733D2"/>
    <w:rsid w:val="00673FF8"/>
    <w:rsid w:val="00674286"/>
    <w:rsid w:val="006742E0"/>
    <w:rsid w:val="006742FF"/>
    <w:rsid w:val="00674B02"/>
    <w:rsid w:val="00675650"/>
    <w:rsid w:val="00675853"/>
    <w:rsid w:val="00675E41"/>
    <w:rsid w:val="006761BD"/>
    <w:rsid w:val="00676562"/>
    <w:rsid w:val="00676849"/>
    <w:rsid w:val="00676B45"/>
    <w:rsid w:val="00676CAF"/>
    <w:rsid w:val="006772B9"/>
    <w:rsid w:val="00677552"/>
    <w:rsid w:val="00677918"/>
    <w:rsid w:val="00677A00"/>
    <w:rsid w:val="00677A92"/>
    <w:rsid w:val="00677BBD"/>
    <w:rsid w:val="006804B6"/>
    <w:rsid w:val="006806E1"/>
    <w:rsid w:val="00680DB8"/>
    <w:rsid w:val="00680ECE"/>
    <w:rsid w:val="00681022"/>
    <w:rsid w:val="00681418"/>
    <w:rsid w:val="00681684"/>
    <w:rsid w:val="0068172E"/>
    <w:rsid w:val="00681749"/>
    <w:rsid w:val="00681787"/>
    <w:rsid w:val="00681833"/>
    <w:rsid w:val="00681848"/>
    <w:rsid w:val="00681EFF"/>
    <w:rsid w:val="00681FAB"/>
    <w:rsid w:val="00681FDC"/>
    <w:rsid w:val="00682379"/>
    <w:rsid w:val="006823CB"/>
    <w:rsid w:val="0068277C"/>
    <w:rsid w:val="00682A23"/>
    <w:rsid w:val="00682A8F"/>
    <w:rsid w:val="0068315B"/>
    <w:rsid w:val="0068367F"/>
    <w:rsid w:val="00683AFE"/>
    <w:rsid w:val="0068459B"/>
    <w:rsid w:val="006846F4"/>
    <w:rsid w:val="00684AA6"/>
    <w:rsid w:val="00684F3A"/>
    <w:rsid w:val="006850F6"/>
    <w:rsid w:val="00685230"/>
    <w:rsid w:val="00685579"/>
    <w:rsid w:val="00686142"/>
    <w:rsid w:val="0068673B"/>
    <w:rsid w:val="00686A77"/>
    <w:rsid w:val="00686ABA"/>
    <w:rsid w:val="00686E60"/>
    <w:rsid w:val="00686F3C"/>
    <w:rsid w:val="006871FF"/>
    <w:rsid w:val="00687290"/>
    <w:rsid w:val="0068758F"/>
    <w:rsid w:val="006875F4"/>
    <w:rsid w:val="006879E3"/>
    <w:rsid w:val="00687AC9"/>
    <w:rsid w:val="00687C45"/>
    <w:rsid w:val="00687F0E"/>
    <w:rsid w:val="0069050B"/>
    <w:rsid w:val="00690572"/>
    <w:rsid w:val="00690730"/>
    <w:rsid w:val="00690B4E"/>
    <w:rsid w:val="00690DFA"/>
    <w:rsid w:val="00690EBF"/>
    <w:rsid w:val="00691604"/>
    <w:rsid w:val="0069175D"/>
    <w:rsid w:val="00691C7A"/>
    <w:rsid w:val="00691EA4"/>
    <w:rsid w:val="00692612"/>
    <w:rsid w:val="00692652"/>
    <w:rsid w:val="00692815"/>
    <w:rsid w:val="006928E4"/>
    <w:rsid w:val="00692B34"/>
    <w:rsid w:val="00692B55"/>
    <w:rsid w:val="006938EE"/>
    <w:rsid w:val="006940F9"/>
    <w:rsid w:val="006944AF"/>
    <w:rsid w:val="006946EC"/>
    <w:rsid w:val="00694A4D"/>
    <w:rsid w:val="00695089"/>
    <w:rsid w:val="006950D7"/>
    <w:rsid w:val="00695147"/>
    <w:rsid w:val="00695517"/>
    <w:rsid w:val="00695782"/>
    <w:rsid w:val="00695BA6"/>
    <w:rsid w:val="00695CFA"/>
    <w:rsid w:val="006962D6"/>
    <w:rsid w:val="00696484"/>
    <w:rsid w:val="006966E8"/>
    <w:rsid w:val="00696B8E"/>
    <w:rsid w:val="00696EE3"/>
    <w:rsid w:val="00696F13"/>
    <w:rsid w:val="0069714C"/>
    <w:rsid w:val="00697301"/>
    <w:rsid w:val="0069767A"/>
    <w:rsid w:val="00697794"/>
    <w:rsid w:val="00697817"/>
    <w:rsid w:val="00697CAD"/>
    <w:rsid w:val="00697CFF"/>
    <w:rsid w:val="006A0136"/>
    <w:rsid w:val="006A01B6"/>
    <w:rsid w:val="006A0759"/>
    <w:rsid w:val="006A0A5D"/>
    <w:rsid w:val="006A0F57"/>
    <w:rsid w:val="006A1094"/>
    <w:rsid w:val="006A1155"/>
    <w:rsid w:val="006A1467"/>
    <w:rsid w:val="006A14DF"/>
    <w:rsid w:val="006A162A"/>
    <w:rsid w:val="006A171E"/>
    <w:rsid w:val="006A1BDA"/>
    <w:rsid w:val="006A1CDA"/>
    <w:rsid w:val="006A1DE2"/>
    <w:rsid w:val="006A1EAB"/>
    <w:rsid w:val="006A2A71"/>
    <w:rsid w:val="006A2CDC"/>
    <w:rsid w:val="006A3080"/>
    <w:rsid w:val="006A3210"/>
    <w:rsid w:val="006A3495"/>
    <w:rsid w:val="006A35F0"/>
    <w:rsid w:val="006A3A46"/>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04CF"/>
    <w:rsid w:val="006B1B23"/>
    <w:rsid w:val="006B1D33"/>
    <w:rsid w:val="006B201A"/>
    <w:rsid w:val="006B27C2"/>
    <w:rsid w:val="006B2BAA"/>
    <w:rsid w:val="006B2D63"/>
    <w:rsid w:val="006B300C"/>
    <w:rsid w:val="006B3122"/>
    <w:rsid w:val="006B3232"/>
    <w:rsid w:val="006B360F"/>
    <w:rsid w:val="006B3656"/>
    <w:rsid w:val="006B3C0B"/>
    <w:rsid w:val="006B3EC2"/>
    <w:rsid w:val="006B426F"/>
    <w:rsid w:val="006B4D7E"/>
    <w:rsid w:val="006B504C"/>
    <w:rsid w:val="006B5475"/>
    <w:rsid w:val="006B56D5"/>
    <w:rsid w:val="006B57D2"/>
    <w:rsid w:val="006B5C44"/>
    <w:rsid w:val="006B61AF"/>
    <w:rsid w:val="006B6CBA"/>
    <w:rsid w:val="006B7175"/>
    <w:rsid w:val="006B7387"/>
    <w:rsid w:val="006B787F"/>
    <w:rsid w:val="006B7D96"/>
    <w:rsid w:val="006C008E"/>
    <w:rsid w:val="006C00A1"/>
    <w:rsid w:val="006C042A"/>
    <w:rsid w:val="006C0831"/>
    <w:rsid w:val="006C09AD"/>
    <w:rsid w:val="006C0DA5"/>
    <w:rsid w:val="006C0FE6"/>
    <w:rsid w:val="006C171E"/>
    <w:rsid w:val="006C17A4"/>
    <w:rsid w:val="006C1D6C"/>
    <w:rsid w:val="006C1D84"/>
    <w:rsid w:val="006C235F"/>
    <w:rsid w:val="006C268A"/>
    <w:rsid w:val="006C2790"/>
    <w:rsid w:val="006C2867"/>
    <w:rsid w:val="006C28EC"/>
    <w:rsid w:val="006C3071"/>
    <w:rsid w:val="006C3685"/>
    <w:rsid w:val="006C3738"/>
    <w:rsid w:val="006C3A7C"/>
    <w:rsid w:val="006C4489"/>
    <w:rsid w:val="006C467C"/>
    <w:rsid w:val="006C47AC"/>
    <w:rsid w:val="006C48A6"/>
    <w:rsid w:val="006C49E0"/>
    <w:rsid w:val="006C4A33"/>
    <w:rsid w:val="006C4DE5"/>
    <w:rsid w:val="006C4E54"/>
    <w:rsid w:val="006C525C"/>
    <w:rsid w:val="006C52E2"/>
    <w:rsid w:val="006C530A"/>
    <w:rsid w:val="006C598A"/>
    <w:rsid w:val="006C5AFE"/>
    <w:rsid w:val="006C5B5D"/>
    <w:rsid w:val="006C5EC7"/>
    <w:rsid w:val="006C5EFC"/>
    <w:rsid w:val="006C5F2B"/>
    <w:rsid w:val="006C600D"/>
    <w:rsid w:val="006C6037"/>
    <w:rsid w:val="006C623D"/>
    <w:rsid w:val="006C6486"/>
    <w:rsid w:val="006C65E0"/>
    <w:rsid w:val="006C677D"/>
    <w:rsid w:val="006C67B3"/>
    <w:rsid w:val="006C6E64"/>
    <w:rsid w:val="006C7046"/>
    <w:rsid w:val="006C734B"/>
    <w:rsid w:val="006C783D"/>
    <w:rsid w:val="006C796A"/>
    <w:rsid w:val="006C79E4"/>
    <w:rsid w:val="006C7C00"/>
    <w:rsid w:val="006C7C27"/>
    <w:rsid w:val="006C7CCD"/>
    <w:rsid w:val="006C7D24"/>
    <w:rsid w:val="006D01DC"/>
    <w:rsid w:val="006D02A3"/>
    <w:rsid w:val="006D0306"/>
    <w:rsid w:val="006D03AD"/>
    <w:rsid w:val="006D0518"/>
    <w:rsid w:val="006D062A"/>
    <w:rsid w:val="006D088B"/>
    <w:rsid w:val="006D09A6"/>
    <w:rsid w:val="006D12EE"/>
    <w:rsid w:val="006D178C"/>
    <w:rsid w:val="006D18E6"/>
    <w:rsid w:val="006D1B10"/>
    <w:rsid w:val="006D1E58"/>
    <w:rsid w:val="006D1EB4"/>
    <w:rsid w:val="006D23ED"/>
    <w:rsid w:val="006D24F8"/>
    <w:rsid w:val="006D2635"/>
    <w:rsid w:val="006D28B4"/>
    <w:rsid w:val="006D2A64"/>
    <w:rsid w:val="006D2C7B"/>
    <w:rsid w:val="006D2DA6"/>
    <w:rsid w:val="006D2EFC"/>
    <w:rsid w:val="006D30F1"/>
    <w:rsid w:val="006D3858"/>
    <w:rsid w:val="006D39AC"/>
    <w:rsid w:val="006D3A9C"/>
    <w:rsid w:val="006D43DC"/>
    <w:rsid w:val="006D45A3"/>
    <w:rsid w:val="006D499D"/>
    <w:rsid w:val="006D4A9B"/>
    <w:rsid w:val="006D4BBA"/>
    <w:rsid w:val="006D4E2A"/>
    <w:rsid w:val="006D5275"/>
    <w:rsid w:val="006D53E0"/>
    <w:rsid w:val="006D561A"/>
    <w:rsid w:val="006D56FD"/>
    <w:rsid w:val="006D5A4F"/>
    <w:rsid w:val="006D5B76"/>
    <w:rsid w:val="006D5CE7"/>
    <w:rsid w:val="006D5D19"/>
    <w:rsid w:val="006D5D1C"/>
    <w:rsid w:val="006D5DD6"/>
    <w:rsid w:val="006D66C4"/>
    <w:rsid w:val="006D676D"/>
    <w:rsid w:val="006D6784"/>
    <w:rsid w:val="006D693D"/>
    <w:rsid w:val="006D69AD"/>
    <w:rsid w:val="006D69E4"/>
    <w:rsid w:val="006D7246"/>
    <w:rsid w:val="006D7334"/>
    <w:rsid w:val="006D736C"/>
    <w:rsid w:val="006D748A"/>
    <w:rsid w:val="006D795D"/>
    <w:rsid w:val="006E01D7"/>
    <w:rsid w:val="006E0582"/>
    <w:rsid w:val="006E0803"/>
    <w:rsid w:val="006E0881"/>
    <w:rsid w:val="006E0EF8"/>
    <w:rsid w:val="006E1061"/>
    <w:rsid w:val="006E11ED"/>
    <w:rsid w:val="006E141D"/>
    <w:rsid w:val="006E141F"/>
    <w:rsid w:val="006E16EB"/>
    <w:rsid w:val="006E1D56"/>
    <w:rsid w:val="006E258B"/>
    <w:rsid w:val="006E26BF"/>
    <w:rsid w:val="006E26E2"/>
    <w:rsid w:val="006E27DC"/>
    <w:rsid w:val="006E28D2"/>
    <w:rsid w:val="006E3479"/>
    <w:rsid w:val="006E366C"/>
    <w:rsid w:val="006E3DFB"/>
    <w:rsid w:val="006E3E37"/>
    <w:rsid w:val="006E3E6D"/>
    <w:rsid w:val="006E3EA5"/>
    <w:rsid w:val="006E3F65"/>
    <w:rsid w:val="006E41F0"/>
    <w:rsid w:val="006E4416"/>
    <w:rsid w:val="006E44C5"/>
    <w:rsid w:val="006E47C6"/>
    <w:rsid w:val="006E4AF8"/>
    <w:rsid w:val="006E4EA4"/>
    <w:rsid w:val="006E5050"/>
    <w:rsid w:val="006E51B5"/>
    <w:rsid w:val="006E5376"/>
    <w:rsid w:val="006E589B"/>
    <w:rsid w:val="006E60F1"/>
    <w:rsid w:val="006E645E"/>
    <w:rsid w:val="006E647C"/>
    <w:rsid w:val="006E654C"/>
    <w:rsid w:val="006E6999"/>
    <w:rsid w:val="006E6B05"/>
    <w:rsid w:val="006E6DB3"/>
    <w:rsid w:val="006E6F61"/>
    <w:rsid w:val="006E6F8E"/>
    <w:rsid w:val="006E7288"/>
    <w:rsid w:val="006E771F"/>
    <w:rsid w:val="006E7814"/>
    <w:rsid w:val="006E79B7"/>
    <w:rsid w:val="006E7D41"/>
    <w:rsid w:val="006E7D5B"/>
    <w:rsid w:val="006F0492"/>
    <w:rsid w:val="006F06BB"/>
    <w:rsid w:val="006F07FC"/>
    <w:rsid w:val="006F096B"/>
    <w:rsid w:val="006F13E3"/>
    <w:rsid w:val="006F1415"/>
    <w:rsid w:val="006F1884"/>
    <w:rsid w:val="006F1984"/>
    <w:rsid w:val="006F1A0E"/>
    <w:rsid w:val="006F1E80"/>
    <w:rsid w:val="006F1F5B"/>
    <w:rsid w:val="006F23BB"/>
    <w:rsid w:val="006F2468"/>
    <w:rsid w:val="006F2D41"/>
    <w:rsid w:val="006F2DAB"/>
    <w:rsid w:val="006F2DFA"/>
    <w:rsid w:val="006F34DF"/>
    <w:rsid w:val="006F3F74"/>
    <w:rsid w:val="006F4130"/>
    <w:rsid w:val="006F4989"/>
    <w:rsid w:val="006F4A66"/>
    <w:rsid w:val="006F4AEF"/>
    <w:rsid w:val="006F4B84"/>
    <w:rsid w:val="006F580D"/>
    <w:rsid w:val="006F5F52"/>
    <w:rsid w:val="006F6665"/>
    <w:rsid w:val="006F6844"/>
    <w:rsid w:val="006F688C"/>
    <w:rsid w:val="006F6939"/>
    <w:rsid w:val="006F6C69"/>
    <w:rsid w:val="006F6C9A"/>
    <w:rsid w:val="006F6CA0"/>
    <w:rsid w:val="006F6D79"/>
    <w:rsid w:val="006F7036"/>
    <w:rsid w:val="006F7393"/>
    <w:rsid w:val="006F76DF"/>
    <w:rsid w:val="006F76EA"/>
    <w:rsid w:val="006F777C"/>
    <w:rsid w:val="006F78D9"/>
    <w:rsid w:val="006F7931"/>
    <w:rsid w:val="006F7AD1"/>
    <w:rsid w:val="006F7C6F"/>
    <w:rsid w:val="006F7D51"/>
    <w:rsid w:val="00700B9D"/>
    <w:rsid w:val="00700BCA"/>
    <w:rsid w:val="00700CD5"/>
    <w:rsid w:val="00700CE7"/>
    <w:rsid w:val="007015DB"/>
    <w:rsid w:val="007017AC"/>
    <w:rsid w:val="00701C42"/>
    <w:rsid w:val="0070259B"/>
    <w:rsid w:val="00702F5B"/>
    <w:rsid w:val="00703018"/>
    <w:rsid w:val="00703321"/>
    <w:rsid w:val="007035BD"/>
    <w:rsid w:val="0070385C"/>
    <w:rsid w:val="00703AA2"/>
    <w:rsid w:val="00704256"/>
    <w:rsid w:val="007044CD"/>
    <w:rsid w:val="00704DB9"/>
    <w:rsid w:val="00704DE4"/>
    <w:rsid w:val="007050B0"/>
    <w:rsid w:val="00705429"/>
    <w:rsid w:val="007058B7"/>
    <w:rsid w:val="0070643D"/>
    <w:rsid w:val="007067BB"/>
    <w:rsid w:val="00706ADC"/>
    <w:rsid w:val="00706AF8"/>
    <w:rsid w:val="0070757C"/>
    <w:rsid w:val="00707D37"/>
    <w:rsid w:val="00710296"/>
    <w:rsid w:val="00710E4A"/>
    <w:rsid w:val="00710FEC"/>
    <w:rsid w:val="0071175A"/>
    <w:rsid w:val="00711D71"/>
    <w:rsid w:val="0071227E"/>
    <w:rsid w:val="007122AE"/>
    <w:rsid w:val="0071233A"/>
    <w:rsid w:val="0071297D"/>
    <w:rsid w:val="00712B84"/>
    <w:rsid w:val="007134B2"/>
    <w:rsid w:val="0071353E"/>
    <w:rsid w:val="00713656"/>
    <w:rsid w:val="00713831"/>
    <w:rsid w:val="00713D99"/>
    <w:rsid w:val="00713DCD"/>
    <w:rsid w:val="00714093"/>
    <w:rsid w:val="007141C4"/>
    <w:rsid w:val="007142E0"/>
    <w:rsid w:val="007145FB"/>
    <w:rsid w:val="007146D8"/>
    <w:rsid w:val="00714B52"/>
    <w:rsid w:val="00714CDD"/>
    <w:rsid w:val="00715037"/>
    <w:rsid w:val="007153F7"/>
    <w:rsid w:val="0071624E"/>
    <w:rsid w:val="007162A9"/>
    <w:rsid w:val="00716B03"/>
    <w:rsid w:val="00716B4F"/>
    <w:rsid w:val="007170DD"/>
    <w:rsid w:val="007173F4"/>
    <w:rsid w:val="00717414"/>
    <w:rsid w:val="00717447"/>
    <w:rsid w:val="00720247"/>
    <w:rsid w:val="00720483"/>
    <w:rsid w:val="0072069C"/>
    <w:rsid w:val="00720725"/>
    <w:rsid w:val="007218E7"/>
    <w:rsid w:val="00721BA6"/>
    <w:rsid w:val="00721E4A"/>
    <w:rsid w:val="00722048"/>
    <w:rsid w:val="007221A2"/>
    <w:rsid w:val="0072244E"/>
    <w:rsid w:val="0072282F"/>
    <w:rsid w:val="00722855"/>
    <w:rsid w:val="00722C6C"/>
    <w:rsid w:val="00722DB8"/>
    <w:rsid w:val="00722DC7"/>
    <w:rsid w:val="00722F51"/>
    <w:rsid w:val="0072314F"/>
    <w:rsid w:val="0072349A"/>
    <w:rsid w:val="007239F5"/>
    <w:rsid w:val="00723A6F"/>
    <w:rsid w:val="00723C1D"/>
    <w:rsid w:val="00724B02"/>
    <w:rsid w:val="00724F21"/>
    <w:rsid w:val="0072512D"/>
    <w:rsid w:val="00725CB4"/>
    <w:rsid w:val="00725CF6"/>
    <w:rsid w:val="00726153"/>
    <w:rsid w:val="00726558"/>
    <w:rsid w:val="0072664B"/>
    <w:rsid w:val="007266B8"/>
    <w:rsid w:val="007266C2"/>
    <w:rsid w:val="00726A40"/>
    <w:rsid w:val="00726B42"/>
    <w:rsid w:val="00726DAF"/>
    <w:rsid w:val="00726F88"/>
    <w:rsid w:val="007277EE"/>
    <w:rsid w:val="007278E1"/>
    <w:rsid w:val="00727902"/>
    <w:rsid w:val="00727A4D"/>
    <w:rsid w:val="00727FA5"/>
    <w:rsid w:val="0073006E"/>
    <w:rsid w:val="0073012E"/>
    <w:rsid w:val="007308C6"/>
    <w:rsid w:val="00730C14"/>
    <w:rsid w:val="007315EB"/>
    <w:rsid w:val="007319D8"/>
    <w:rsid w:val="00731FEE"/>
    <w:rsid w:val="007324F6"/>
    <w:rsid w:val="007327C6"/>
    <w:rsid w:val="00732A62"/>
    <w:rsid w:val="00732DC1"/>
    <w:rsid w:val="00732E82"/>
    <w:rsid w:val="007332F2"/>
    <w:rsid w:val="007333C7"/>
    <w:rsid w:val="007335C2"/>
    <w:rsid w:val="007336EB"/>
    <w:rsid w:val="007339F5"/>
    <w:rsid w:val="00733CF8"/>
    <w:rsid w:val="0073407A"/>
    <w:rsid w:val="007340EC"/>
    <w:rsid w:val="00734D1F"/>
    <w:rsid w:val="00734FBA"/>
    <w:rsid w:val="00736687"/>
    <w:rsid w:val="007368AE"/>
    <w:rsid w:val="007369FD"/>
    <w:rsid w:val="00736CE5"/>
    <w:rsid w:val="0073713B"/>
    <w:rsid w:val="00737893"/>
    <w:rsid w:val="00737A98"/>
    <w:rsid w:val="00737D4B"/>
    <w:rsid w:val="00737F4B"/>
    <w:rsid w:val="007400EF"/>
    <w:rsid w:val="0074052D"/>
    <w:rsid w:val="0074054D"/>
    <w:rsid w:val="007408CE"/>
    <w:rsid w:val="00740B73"/>
    <w:rsid w:val="00740E25"/>
    <w:rsid w:val="00740FA3"/>
    <w:rsid w:val="00741A80"/>
    <w:rsid w:val="00741AC4"/>
    <w:rsid w:val="00741AE0"/>
    <w:rsid w:val="00741AF9"/>
    <w:rsid w:val="00741B22"/>
    <w:rsid w:val="00741BEC"/>
    <w:rsid w:val="00741E25"/>
    <w:rsid w:val="00742AD0"/>
    <w:rsid w:val="00742E24"/>
    <w:rsid w:val="00743203"/>
    <w:rsid w:val="00743288"/>
    <w:rsid w:val="007434DA"/>
    <w:rsid w:val="00743556"/>
    <w:rsid w:val="00743627"/>
    <w:rsid w:val="00743D03"/>
    <w:rsid w:val="00743E93"/>
    <w:rsid w:val="00744063"/>
    <w:rsid w:val="0074406F"/>
    <w:rsid w:val="007442FF"/>
    <w:rsid w:val="00744CE6"/>
    <w:rsid w:val="00744E3C"/>
    <w:rsid w:val="00745591"/>
    <w:rsid w:val="00745838"/>
    <w:rsid w:val="007459D5"/>
    <w:rsid w:val="00745EE5"/>
    <w:rsid w:val="0074638A"/>
    <w:rsid w:val="00746C87"/>
    <w:rsid w:val="00746F95"/>
    <w:rsid w:val="007477CA"/>
    <w:rsid w:val="00747BB2"/>
    <w:rsid w:val="00747FC1"/>
    <w:rsid w:val="00750021"/>
    <w:rsid w:val="007504A8"/>
    <w:rsid w:val="0075085B"/>
    <w:rsid w:val="007508DE"/>
    <w:rsid w:val="007509AB"/>
    <w:rsid w:val="007510A7"/>
    <w:rsid w:val="00751216"/>
    <w:rsid w:val="0075180C"/>
    <w:rsid w:val="00751A20"/>
    <w:rsid w:val="00751B1B"/>
    <w:rsid w:val="00751FA1"/>
    <w:rsid w:val="00751FBE"/>
    <w:rsid w:val="00752128"/>
    <w:rsid w:val="0075224B"/>
    <w:rsid w:val="007522D6"/>
    <w:rsid w:val="00752821"/>
    <w:rsid w:val="00752B0F"/>
    <w:rsid w:val="00752B54"/>
    <w:rsid w:val="00752F7E"/>
    <w:rsid w:val="007530FF"/>
    <w:rsid w:val="00753104"/>
    <w:rsid w:val="00753FA0"/>
    <w:rsid w:val="007544F8"/>
    <w:rsid w:val="0075472C"/>
    <w:rsid w:val="00754920"/>
    <w:rsid w:val="00754DCC"/>
    <w:rsid w:val="00754E31"/>
    <w:rsid w:val="00754EAF"/>
    <w:rsid w:val="0075515A"/>
    <w:rsid w:val="007553FB"/>
    <w:rsid w:val="007558E9"/>
    <w:rsid w:val="00755E27"/>
    <w:rsid w:val="007565FC"/>
    <w:rsid w:val="007566C9"/>
    <w:rsid w:val="00756F85"/>
    <w:rsid w:val="00757277"/>
    <w:rsid w:val="0075743E"/>
    <w:rsid w:val="007574CF"/>
    <w:rsid w:val="0075772C"/>
    <w:rsid w:val="00757892"/>
    <w:rsid w:val="00760100"/>
    <w:rsid w:val="007604BE"/>
    <w:rsid w:val="007606C6"/>
    <w:rsid w:val="00760C96"/>
    <w:rsid w:val="00760E1B"/>
    <w:rsid w:val="00760F8E"/>
    <w:rsid w:val="00761038"/>
    <w:rsid w:val="0076137F"/>
    <w:rsid w:val="00761C44"/>
    <w:rsid w:val="00762248"/>
    <w:rsid w:val="00762773"/>
    <w:rsid w:val="007629B7"/>
    <w:rsid w:val="007629F7"/>
    <w:rsid w:val="00762A44"/>
    <w:rsid w:val="00762A9E"/>
    <w:rsid w:val="0076318C"/>
    <w:rsid w:val="007631CE"/>
    <w:rsid w:val="00763F22"/>
    <w:rsid w:val="00764059"/>
    <w:rsid w:val="007640DF"/>
    <w:rsid w:val="00764128"/>
    <w:rsid w:val="00764486"/>
    <w:rsid w:val="00764510"/>
    <w:rsid w:val="0076469A"/>
    <w:rsid w:val="007647D6"/>
    <w:rsid w:val="0076499A"/>
    <w:rsid w:val="00764D5C"/>
    <w:rsid w:val="00764F14"/>
    <w:rsid w:val="00765074"/>
    <w:rsid w:val="007652B4"/>
    <w:rsid w:val="00765C3C"/>
    <w:rsid w:val="00766136"/>
    <w:rsid w:val="007661CF"/>
    <w:rsid w:val="00766324"/>
    <w:rsid w:val="00766995"/>
    <w:rsid w:val="00766ABB"/>
    <w:rsid w:val="00766FB6"/>
    <w:rsid w:val="00767466"/>
    <w:rsid w:val="007675CA"/>
    <w:rsid w:val="00767670"/>
    <w:rsid w:val="0076777A"/>
    <w:rsid w:val="007678D9"/>
    <w:rsid w:val="007679A6"/>
    <w:rsid w:val="00767B5C"/>
    <w:rsid w:val="00767B5D"/>
    <w:rsid w:val="00767C30"/>
    <w:rsid w:val="00767C90"/>
    <w:rsid w:val="00767EA2"/>
    <w:rsid w:val="00767ECF"/>
    <w:rsid w:val="007701B9"/>
    <w:rsid w:val="00770552"/>
    <w:rsid w:val="00770765"/>
    <w:rsid w:val="00770ED7"/>
    <w:rsid w:val="00770F24"/>
    <w:rsid w:val="00771355"/>
    <w:rsid w:val="0077161F"/>
    <w:rsid w:val="00771D23"/>
    <w:rsid w:val="00772124"/>
    <w:rsid w:val="0077213C"/>
    <w:rsid w:val="0077227D"/>
    <w:rsid w:val="007723D5"/>
    <w:rsid w:val="00772418"/>
    <w:rsid w:val="00772497"/>
    <w:rsid w:val="007724E3"/>
    <w:rsid w:val="007725D7"/>
    <w:rsid w:val="00772681"/>
    <w:rsid w:val="0077273D"/>
    <w:rsid w:val="007727EF"/>
    <w:rsid w:val="0077289F"/>
    <w:rsid w:val="007728B6"/>
    <w:rsid w:val="00772DBC"/>
    <w:rsid w:val="00772ED1"/>
    <w:rsid w:val="007730DD"/>
    <w:rsid w:val="00773614"/>
    <w:rsid w:val="00773617"/>
    <w:rsid w:val="0077391D"/>
    <w:rsid w:val="0077398C"/>
    <w:rsid w:val="00773AE1"/>
    <w:rsid w:val="00773FC6"/>
    <w:rsid w:val="00773FDF"/>
    <w:rsid w:val="00774133"/>
    <w:rsid w:val="007743EB"/>
    <w:rsid w:val="0077456D"/>
    <w:rsid w:val="00774796"/>
    <w:rsid w:val="00774BE2"/>
    <w:rsid w:val="00775423"/>
    <w:rsid w:val="00775520"/>
    <w:rsid w:val="007757AE"/>
    <w:rsid w:val="0077598C"/>
    <w:rsid w:val="00775E58"/>
    <w:rsid w:val="0077602A"/>
    <w:rsid w:val="00776070"/>
    <w:rsid w:val="00776346"/>
    <w:rsid w:val="00776380"/>
    <w:rsid w:val="007763C8"/>
    <w:rsid w:val="00776476"/>
    <w:rsid w:val="0077652A"/>
    <w:rsid w:val="0077684E"/>
    <w:rsid w:val="007768E7"/>
    <w:rsid w:val="00776940"/>
    <w:rsid w:val="00777135"/>
    <w:rsid w:val="00777192"/>
    <w:rsid w:val="007779AF"/>
    <w:rsid w:val="00777A04"/>
    <w:rsid w:val="00777BE3"/>
    <w:rsid w:val="00777CD8"/>
    <w:rsid w:val="00777DF8"/>
    <w:rsid w:val="00780412"/>
    <w:rsid w:val="007805AC"/>
    <w:rsid w:val="007805CF"/>
    <w:rsid w:val="00780AEA"/>
    <w:rsid w:val="00780B86"/>
    <w:rsid w:val="00780DA6"/>
    <w:rsid w:val="00780F79"/>
    <w:rsid w:val="00781860"/>
    <w:rsid w:val="007818CF"/>
    <w:rsid w:val="0078197B"/>
    <w:rsid w:val="00781EC9"/>
    <w:rsid w:val="0078204B"/>
    <w:rsid w:val="00782185"/>
    <w:rsid w:val="0078235C"/>
    <w:rsid w:val="00782755"/>
    <w:rsid w:val="00782933"/>
    <w:rsid w:val="00782B8E"/>
    <w:rsid w:val="00782D1C"/>
    <w:rsid w:val="007831D7"/>
    <w:rsid w:val="007834A6"/>
    <w:rsid w:val="0078359E"/>
    <w:rsid w:val="00783715"/>
    <w:rsid w:val="00783871"/>
    <w:rsid w:val="00783A49"/>
    <w:rsid w:val="00783EC3"/>
    <w:rsid w:val="0078414A"/>
    <w:rsid w:val="007842CB"/>
    <w:rsid w:val="00784655"/>
    <w:rsid w:val="0078471A"/>
    <w:rsid w:val="00784895"/>
    <w:rsid w:val="00784ABF"/>
    <w:rsid w:val="007851AE"/>
    <w:rsid w:val="00785444"/>
    <w:rsid w:val="007855F3"/>
    <w:rsid w:val="00785E42"/>
    <w:rsid w:val="00786981"/>
    <w:rsid w:val="00786A41"/>
    <w:rsid w:val="00786D61"/>
    <w:rsid w:val="00786FC8"/>
    <w:rsid w:val="007870BF"/>
    <w:rsid w:val="00787118"/>
    <w:rsid w:val="00787241"/>
    <w:rsid w:val="0078750C"/>
    <w:rsid w:val="00787760"/>
    <w:rsid w:val="007877A6"/>
    <w:rsid w:val="00787D2D"/>
    <w:rsid w:val="007902D4"/>
    <w:rsid w:val="007908FA"/>
    <w:rsid w:val="0079090C"/>
    <w:rsid w:val="007909C8"/>
    <w:rsid w:val="00790D48"/>
    <w:rsid w:val="0079127F"/>
    <w:rsid w:val="00791CD9"/>
    <w:rsid w:val="00792190"/>
    <w:rsid w:val="007925A9"/>
    <w:rsid w:val="007925EE"/>
    <w:rsid w:val="00792699"/>
    <w:rsid w:val="00792AC0"/>
    <w:rsid w:val="00792BB5"/>
    <w:rsid w:val="00792D87"/>
    <w:rsid w:val="00792EC5"/>
    <w:rsid w:val="00793410"/>
    <w:rsid w:val="007936F1"/>
    <w:rsid w:val="0079382D"/>
    <w:rsid w:val="00793C13"/>
    <w:rsid w:val="007942B9"/>
    <w:rsid w:val="007951FF"/>
    <w:rsid w:val="00795315"/>
    <w:rsid w:val="00795EA5"/>
    <w:rsid w:val="007961A4"/>
    <w:rsid w:val="00796722"/>
    <w:rsid w:val="00796918"/>
    <w:rsid w:val="007969C5"/>
    <w:rsid w:val="00796B79"/>
    <w:rsid w:val="00796B7F"/>
    <w:rsid w:val="00796CAA"/>
    <w:rsid w:val="00796DBB"/>
    <w:rsid w:val="00797660"/>
    <w:rsid w:val="00797991"/>
    <w:rsid w:val="00797DE3"/>
    <w:rsid w:val="00797E2B"/>
    <w:rsid w:val="00797F1E"/>
    <w:rsid w:val="007A01E3"/>
    <w:rsid w:val="007A0208"/>
    <w:rsid w:val="007A024E"/>
    <w:rsid w:val="007A029E"/>
    <w:rsid w:val="007A043A"/>
    <w:rsid w:val="007A06B0"/>
    <w:rsid w:val="007A08CC"/>
    <w:rsid w:val="007A0BD0"/>
    <w:rsid w:val="007A0C6E"/>
    <w:rsid w:val="007A0F38"/>
    <w:rsid w:val="007A1345"/>
    <w:rsid w:val="007A152A"/>
    <w:rsid w:val="007A1845"/>
    <w:rsid w:val="007A1C42"/>
    <w:rsid w:val="007A1D5A"/>
    <w:rsid w:val="007A1F8C"/>
    <w:rsid w:val="007A1FD8"/>
    <w:rsid w:val="007A2A43"/>
    <w:rsid w:val="007A3000"/>
    <w:rsid w:val="007A30A8"/>
    <w:rsid w:val="007A30F7"/>
    <w:rsid w:val="007A36F1"/>
    <w:rsid w:val="007A37B1"/>
    <w:rsid w:val="007A3AAA"/>
    <w:rsid w:val="007A3F47"/>
    <w:rsid w:val="007A3F4B"/>
    <w:rsid w:val="007A4296"/>
    <w:rsid w:val="007A47A2"/>
    <w:rsid w:val="007A47F6"/>
    <w:rsid w:val="007A4A38"/>
    <w:rsid w:val="007A4B86"/>
    <w:rsid w:val="007A5446"/>
    <w:rsid w:val="007A54AD"/>
    <w:rsid w:val="007A56B0"/>
    <w:rsid w:val="007A5868"/>
    <w:rsid w:val="007A5BDB"/>
    <w:rsid w:val="007A5EA2"/>
    <w:rsid w:val="007A5EC4"/>
    <w:rsid w:val="007A5FE9"/>
    <w:rsid w:val="007A6740"/>
    <w:rsid w:val="007A6960"/>
    <w:rsid w:val="007A6AC7"/>
    <w:rsid w:val="007A6E34"/>
    <w:rsid w:val="007A72AC"/>
    <w:rsid w:val="007A778F"/>
    <w:rsid w:val="007A7825"/>
    <w:rsid w:val="007A7BA5"/>
    <w:rsid w:val="007A7BF5"/>
    <w:rsid w:val="007A7D67"/>
    <w:rsid w:val="007A7DC5"/>
    <w:rsid w:val="007A7F93"/>
    <w:rsid w:val="007B00F0"/>
    <w:rsid w:val="007B06F3"/>
    <w:rsid w:val="007B0871"/>
    <w:rsid w:val="007B0B40"/>
    <w:rsid w:val="007B0F5C"/>
    <w:rsid w:val="007B0F99"/>
    <w:rsid w:val="007B120F"/>
    <w:rsid w:val="007B134D"/>
    <w:rsid w:val="007B1442"/>
    <w:rsid w:val="007B1A3C"/>
    <w:rsid w:val="007B1EA3"/>
    <w:rsid w:val="007B259D"/>
    <w:rsid w:val="007B291E"/>
    <w:rsid w:val="007B2B23"/>
    <w:rsid w:val="007B2E82"/>
    <w:rsid w:val="007B2F12"/>
    <w:rsid w:val="007B36D4"/>
    <w:rsid w:val="007B3CEC"/>
    <w:rsid w:val="007B3D92"/>
    <w:rsid w:val="007B3E31"/>
    <w:rsid w:val="007B4106"/>
    <w:rsid w:val="007B4264"/>
    <w:rsid w:val="007B470B"/>
    <w:rsid w:val="007B4762"/>
    <w:rsid w:val="007B50E7"/>
    <w:rsid w:val="007B51B5"/>
    <w:rsid w:val="007B5865"/>
    <w:rsid w:val="007B5B45"/>
    <w:rsid w:val="007B5CBF"/>
    <w:rsid w:val="007B60BC"/>
    <w:rsid w:val="007B63DF"/>
    <w:rsid w:val="007B64D5"/>
    <w:rsid w:val="007B6725"/>
    <w:rsid w:val="007B6780"/>
    <w:rsid w:val="007B693A"/>
    <w:rsid w:val="007B7031"/>
    <w:rsid w:val="007B7085"/>
    <w:rsid w:val="007B719C"/>
    <w:rsid w:val="007B745D"/>
    <w:rsid w:val="007B74DD"/>
    <w:rsid w:val="007B75D0"/>
    <w:rsid w:val="007B771B"/>
    <w:rsid w:val="007B799A"/>
    <w:rsid w:val="007B7B17"/>
    <w:rsid w:val="007B7CE9"/>
    <w:rsid w:val="007B7E39"/>
    <w:rsid w:val="007C0221"/>
    <w:rsid w:val="007C09D6"/>
    <w:rsid w:val="007C0C9D"/>
    <w:rsid w:val="007C0DCD"/>
    <w:rsid w:val="007C0E1E"/>
    <w:rsid w:val="007C0E9E"/>
    <w:rsid w:val="007C13D5"/>
    <w:rsid w:val="007C15AD"/>
    <w:rsid w:val="007C16CB"/>
    <w:rsid w:val="007C181A"/>
    <w:rsid w:val="007C183D"/>
    <w:rsid w:val="007C1912"/>
    <w:rsid w:val="007C209F"/>
    <w:rsid w:val="007C23B8"/>
    <w:rsid w:val="007C2462"/>
    <w:rsid w:val="007C280F"/>
    <w:rsid w:val="007C2AC2"/>
    <w:rsid w:val="007C2C50"/>
    <w:rsid w:val="007C2CF1"/>
    <w:rsid w:val="007C301D"/>
    <w:rsid w:val="007C37CE"/>
    <w:rsid w:val="007C397E"/>
    <w:rsid w:val="007C3A40"/>
    <w:rsid w:val="007C3BCB"/>
    <w:rsid w:val="007C3C6C"/>
    <w:rsid w:val="007C46CC"/>
    <w:rsid w:val="007C4701"/>
    <w:rsid w:val="007C47DE"/>
    <w:rsid w:val="007C4A78"/>
    <w:rsid w:val="007C4D34"/>
    <w:rsid w:val="007C5380"/>
    <w:rsid w:val="007C575C"/>
    <w:rsid w:val="007C577B"/>
    <w:rsid w:val="007C5ACB"/>
    <w:rsid w:val="007C5CAC"/>
    <w:rsid w:val="007C5DBE"/>
    <w:rsid w:val="007C6085"/>
    <w:rsid w:val="007C62C0"/>
    <w:rsid w:val="007C633E"/>
    <w:rsid w:val="007C63CB"/>
    <w:rsid w:val="007C680D"/>
    <w:rsid w:val="007C6EAB"/>
    <w:rsid w:val="007C6EFB"/>
    <w:rsid w:val="007C71F0"/>
    <w:rsid w:val="007C74ED"/>
    <w:rsid w:val="007C75E7"/>
    <w:rsid w:val="007C7CB9"/>
    <w:rsid w:val="007C7D91"/>
    <w:rsid w:val="007D04C9"/>
    <w:rsid w:val="007D0749"/>
    <w:rsid w:val="007D0B47"/>
    <w:rsid w:val="007D17C6"/>
    <w:rsid w:val="007D1847"/>
    <w:rsid w:val="007D19E0"/>
    <w:rsid w:val="007D1D45"/>
    <w:rsid w:val="007D2004"/>
    <w:rsid w:val="007D228B"/>
    <w:rsid w:val="007D2467"/>
    <w:rsid w:val="007D2670"/>
    <w:rsid w:val="007D29AA"/>
    <w:rsid w:val="007D2D4C"/>
    <w:rsid w:val="007D32C2"/>
    <w:rsid w:val="007D341D"/>
    <w:rsid w:val="007D372C"/>
    <w:rsid w:val="007D379D"/>
    <w:rsid w:val="007D3C62"/>
    <w:rsid w:val="007D4028"/>
    <w:rsid w:val="007D5153"/>
    <w:rsid w:val="007D5E44"/>
    <w:rsid w:val="007D629D"/>
    <w:rsid w:val="007D658F"/>
    <w:rsid w:val="007D6651"/>
    <w:rsid w:val="007D69F9"/>
    <w:rsid w:val="007D6A08"/>
    <w:rsid w:val="007D6A7D"/>
    <w:rsid w:val="007D7179"/>
    <w:rsid w:val="007D77BD"/>
    <w:rsid w:val="007D7DFA"/>
    <w:rsid w:val="007E0642"/>
    <w:rsid w:val="007E079E"/>
    <w:rsid w:val="007E09AE"/>
    <w:rsid w:val="007E0A3C"/>
    <w:rsid w:val="007E0A7D"/>
    <w:rsid w:val="007E0D73"/>
    <w:rsid w:val="007E1637"/>
    <w:rsid w:val="007E196F"/>
    <w:rsid w:val="007E1D78"/>
    <w:rsid w:val="007E1D90"/>
    <w:rsid w:val="007E1E93"/>
    <w:rsid w:val="007E202B"/>
    <w:rsid w:val="007E213F"/>
    <w:rsid w:val="007E25F9"/>
    <w:rsid w:val="007E2709"/>
    <w:rsid w:val="007E2AA3"/>
    <w:rsid w:val="007E2EE6"/>
    <w:rsid w:val="007E2F19"/>
    <w:rsid w:val="007E3063"/>
    <w:rsid w:val="007E3070"/>
    <w:rsid w:val="007E3135"/>
    <w:rsid w:val="007E31D0"/>
    <w:rsid w:val="007E35B3"/>
    <w:rsid w:val="007E42D6"/>
    <w:rsid w:val="007E460F"/>
    <w:rsid w:val="007E4614"/>
    <w:rsid w:val="007E4A40"/>
    <w:rsid w:val="007E4CAD"/>
    <w:rsid w:val="007E50E7"/>
    <w:rsid w:val="007E5311"/>
    <w:rsid w:val="007E55B2"/>
    <w:rsid w:val="007E5933"/>
    <w:rsid w:val="007E59B6"/>
    <w:rsid w:val="007E5B87"/>
    <w:rsid w:val="007E5DF9"/>
    <w:rsid w:val="007E707F"/>
    <w:rsid w:val="007E7342"/>
    <w:rsid w:val="007E735A"/>
    <w:rsid w:val="007E74B3"/>
    <w:rsid w:val="007E74F1"/>
    <w:rsid w:val="007E77D1"/>
    <w:rsid w:val="007E791F"/>
    <w:rsid w:val="007E79BA"/>
    <w:rsid w:val="007E7B40"/>
    <w:rsid w:val="007E7B47"/>
    <w:rsid w:val="007E7DE6"/>
    <w:rsid w:val="007E7DF7"/>
    <w:rsid w:val="007F00B0"/>
    <w:rsid w:val="007F00B1"/>
    <w:rsid w:val="007F063F"/>
    <w:rsid w:val="007F0666"/>
    <w:rsid w:val="007F0752"/>
    <w:rsid w:val="007F0949"/>
    <w:rsid w:val="007F099A"/>
    <w:rsid w:val="007F0D6A"/>
    <w:rsid w:val="007F108A"/>
    <w:rsid w:val="007F10C3"/>
    <w:rsid w:val="007F1198"/>
    <w:rsid w:val="007F132F"/>
    <w:rsid w:val="007F137A"/>
    <w:rsid w:val="007F140B"/>
    <w:rsid w:val="007F241F"/>
    <w:rsid w:val="007F2D0D"/>
    <w:rsid w:val="007F30FF"/>
    <w:rsid w:val="007F3294"/>
    <w:rsid w:val="007F32F4"/>
    <w:rsid w:val="007F33BD"/>
    <w:rsid w:val="007F37E6"/>
    <w:rsid w:val="007F397A"/>
    <w:rsid w:val="007F3A67"/>
    <w:rsid w:val="007F3C40"/>
    <w:rsid w:val="007F4187"/>
    <w:rsid w:val="007F4472"/>
    <w:rsid w:val="007F50A0"/>
    <w:rsid w:val="007F50ED"/>
    <w:rsid w:val="007F525E"/>
    <w:rsid w:val="007F53E8"/>
    <w:rsid w:val="007F55D3"/>
    <w:rsid w:val="007F56F9"/>
    <w:rsid w:val="007F5A85"/>
    <w:rsid w:val="007F5F42"/>
    <w:rsid w:val="007F6236"/>
    <w:rsid w:val="007F62F9"/>
    <w:rsid w:val="007F64F7"/>
    <w:rsid w:val="007F65B6"/>
    <w:rsid w:val="007F675C"/>
    <w:rsid w:val="007F69EA"/>
    <w:rsid w:val="007F6B2C"/>
    <w:rsid w:val="007F6BC6"/>
    <w:rsid w:val="007F6DFC"/>
    <w:rsid w:val="007F6E46"/>
    <w:rsid w:val="007F6FAF"/>
    <w:rsid w:val="007F71BF"/>
    <w:rsid w:val="007F779D"/>
    <w:rsid w:val="008000AC"/>
    <w:rsid w:val="0080061C"/>
    <w:rsid w:val="008007C5"/>
    <w:rsid w:val="00800F65"/>
    <w:rsid w:val="008023D4"/>
    <w:rsid w:val="00802994"/>
    <w:rsid w:val="00802998"/>
    <w:rsid w:val="008029F4"/>
    <w:rsid w:val="00802FFF"/>
    <w:rsid w:val="00803546"/>
    <w:rsid w:val="008035CF"/>
    <w:rsid w:val="00803943"/>
    <w:rsid w:val="00803A09"/>
    <w:rsid w:val="00803FE0"/>
    <w:rsid w:val="008044A7"/>
    <w:rsid w:val="00804781"/>
    <w:rsid w:val="008047A1"/>
    <w:rsid w:val="00804823"/>
    <w:rsid w:val="00804B67"/>
    <w:rsid w:val="00804C80"/>
    <w:rsid w:val="00804E0A"/>
    <w:rsid w:val="00804EC5"/>
    <w:rsid w:val="008050D7"/>
    <w:rsid w:val="00805106"/>
    <w:rsid w:val="008054CA"/>
    <w:rsid w:val="00805521"/>
    <w:rsid w:val="00805685"/>
    <w:rsid w:val="00805A30"/>
    <w:rsid w:val="00805A78"/>
    <w:rsid w:val="00805F02"/>
    <w:rsid w:val="008061B2"/>
    <w:rsid w:val="00806486"/>
    <w:rsid w:val="00806770"/>
    <w:rsid w:val="00806B5B"/>
    <w:rsid w:val="00807428"/>
    <w:rsid w:val="00807BD8"/>
    <w:rsid w:val="00807F57"/>
    <w:rsid w:val="00807FCC"/>
    <w:rsid w:val="00810177"/>
    <w:rsid w:val="008103A6"/>
    <w:rsid w:val="00810931"/>
    <w:rsid w:val="00810A7D"/>
    <w:rsid w:val="00810C22"/>
    <w:rsid w:val="00810D4D"/>
    <w:rsid w:val="00810D51"/>
    <w:rsid w:val="00810D6D"/>
    <w:rsid w:val="00810EEF"/>
    <w:rsid w:val="008110DF"/>
    <w:rsid w:val="0081130A"/>
    <w:rsid w:val="00811424"/>
    <w:rsid w:val="008118A8"/>
    <w:rsid w:val="0081195D"/>
    <w:rsid w:val="008119B1"/>
    <w:rsid w:val="00811F1E"/>
    <w:rsid w:val="008124D0"/>
    <w:rsid w:val="0081275A"/>
    <w:rsid w:val="00812A11"/>
    <w:rsid w:val="00812AB2"/>
    <w:rsid w:val="00812B07"/>
    <w:rsid w:val="00812E92"/>
    <w:rsid w:val="00812EB8"/>
    <w:rsid w:val="008130A7"/>
    <w:rsid w:val="0081323D"/>
    <w:rsid w:val="0081329D"/>
    <w:rsid w:val="008132BC"/>
    <w:rsid w:val="00813496"/>
    <w:rsid w:val="00813731"/>
    <w:rsid w:val="008137DB"/>
    <w:rsid w:val="00813B30"/>
    <w:rsid w:val="00813D08"/>
    <w:rsid w:val="00814516"/>
    <w:rsid w:val="008148B8"/>
    <w:rsid w:val="00814B10"/>
    <w:rsid w:val="00814CA6"/>
    <w:rsid w:val="00814DBA"/>
    <w:rsid w:val="00814F00"/>
    <w:rsid w:val="00815088"/>
    <w:rsid w:val="008153BE"/>
    <w:rsid w:val="008153F4"/>
    <w:rsid w:val="0081573A"/>
    <w:rsid w:val="00816534"/>
    <w:rsid w:val="008165E4"/>
    <w:rsid w:val="00816933"/>
    <w:rsid w:val="00816B7D"/>
    <w:rsid w:val="00816C98"/>
    <w:rsid w:val="00816D02"/>
    <w:rsid w:val="00816EC3"/>
    <w:rsid w:val="00817588"/>
    <w:rsid w:val="008176D8"/>
    <w:rsid w:val="00817BF6"/>
    <w:rsid w:val="00817C92"/>
    <w:rsid w:val="00817D5B"/>
    <w:rsid w:val="008202A8"/>
    <w:rsid w:val="0082081A"/>
    <w:rsid w:val="00820E02"/>
    <w:rsid w:val="00820FA4"/>
    <w:rsid w:val="0082106E"/>
    <w:rsid w:val="008214E8"/>
    <w:rsid w:val="00821A82"/>
    <w:rsid w:val="00821E29"/>
    <w:rsid w:val="008220BB"/>
    <w:rsid w:val="0082263E"/>
    <w:rsid w:val="00822D6F"/>
    <w:rsid w:val="0082309E"/>
    <w:rsid w:val="008232D7"/>
    <w:rsid w:val="00823349"/>
    <w:rsid w:val="00823D5F"/>
    <w:rsid w:val="008241BC"/>
    <w:rsid w:val="00824575"/>
    <w:rsid w:val="00824AA5"/>
    <w:rsid w:val="00824CC5"/>
    <w:rsid w:val="0082563D"/>
    <w:rsid w:val="008258E2"/>
    <w:rsid w:val="00825903"/>
    <w:rsid w:val="00826BD5"/>
    <w:rsid w:val="00826DE6"/>
    <w:rsid w:val="008271E2"/>
    <w:rsid w:val="0082758B"/>
    <w:rsid w:val="008279DE"/>
    <w:rsid w:val="00827A32"/>
    <w:rsid w:val="00827B69"/>
    <w:rsid w:val="00827C71"/>
    <w:rsid w:val="0083002C"/>
    <w:rsid w:val="00830158"/>
    <w:rsid w:val="00830214"/>
    <w:rsid w:val="008304C5"/>
    <w:rsid w:val="008304DB"/>
    <w:rsid w:val="0083070F"/>
    <w:rsid w:val="00830770"/>
    <w:rsid w:val="00830991"/>
    <w:rsid w:val="00830AA9"/>
    <w:rsid w:val="00830F7C"/>
    <w:rsid w:val="00830FE0"/>
    <w:rsid w:val="00831186"/>
    <w:rsid w:val="008314A6"/>
    <w:rsid w:val="008317A3"/>
    <w:rsid w:val="00831A89"/>
    <w:rsid w:val="00831B8E"/>
    <w:rsid w:val="00831B99"/>
    <w:rsid w:val="00831BD3"/>
    <w:rsid w:val="00832068"/>
    <w:rsid w:val="0083206B"/>
    <w:rsid w:val="00832189"/>
    <w:rsid w:val="0083225E"/>
    <w:rsid w:val="00832720"/>
    <w:rsid w:val="008328B3"/>
    <w:rsid w:val="00832A30"/>
    <w:rsid w:val="00832CC3"/>
    <w:rsid w:val="00832CE3"/>
    <w:rsid w:val="00832DB8"/>
    <w:rsid w:val="00833479"/>
    <w:rsid w:val="00833A96"/>
    <w:rsid w:val="00833ECC"/>
    <w:rsid w:val="008341A4"/>
    <w:rsid w:val="008343AA"/>
    <w:rsid w:val="0083449C"/>
    <w:rsid w:val="008344C7"/>
    <w:rsid w:val="008345A4"/>
    <w:rsid w:val="00834659"/>
    <w:rsid w:val="008346C7"/>
    <w:rsid w:val="0083476E"/>
    <w:rsid w:val="0083486F"/>
    <w:rsid w:val="00834A41"/>
    <w:rsid w:val="00834DC3"/>
    <w:rsid w:val="00834E57"/>
    <w:rsid w:val="00834E7F"/>
    <w:rsid w:val="00834F7C"/>
    <w:rsid w:val="008350CC"/>
    <w:rsid w:val="008355BB"/>
    <w:rsid w:val="0083596C"/>
    <w:rsid w:val="00835A99"/>
    <w:rsid w:val="00835AC1"/>
    <w:rsid w:val="00835D00"/>
    <w:rsid w:val="00835DB2"/>
    <w:rsid w:val="00836431"/>
    <w:rsid w:val="008364C7"/>
    <w:rsid w:val="0083676B"/>
    <w:rsid w:val="008367F4"/>
    <w:rsid w:val="00836A6D"/>
    <w:rsid w:val="008371B8"/>
    <w:rsid w:val="008371C5"/>
    <w:rsid w:val="008374B7"/>
    <w:rsid w:val="008378A1"/>
    <w:rsid w:val="008378F6"/>
    <w:rsid w:val="00837E26"/>
    <w:rsid w:val="00840555"/>
    <w:rsid w:val="00840F19"/>
    <w:rsid w:val="00841418"/>
    <w:rsid w:val="0084144A"/>
    <w:rsid w:val="008415DB"/>
    <w:rsid w:val="008418CA"/>
    <w:rsid w:val="0084196E"/>
    <w:rsid w:val="00841B35"/>
    <w:rsid w:val="00842762"/>
    <w:rsid w:val="008427D0"/>
    <w:rsid w:val="008427D6"/>
    <w:rsid w:val="00842964"/>
    <w:rsid w:val="00842C8A"/>
    <w:rsid w:val="00843354"/>
    <w:rsid w:val="008435BA"/>
    <w:rsid w:val="00843B45"/>
    <w:rsid w:val="00843CC0"/>
    <w:rsid w:val="0084403C"/>
    <w:rsid w:val="00844093"/>
    <w:rsid w:val="008442AE"/>
    <w:rsid w:val="0084448A"/>
    <w:rsid w:val="0084456D"/>
    <w:rsid w:val="00844720"/>
    <w:rsid w:val="00844739"/>
    <w:rsid w:val="00844965"/>
    <w:rsid w:val="00844C79"/>
    <w:rsid w:val="00844CD7"/>
    <w:rsid w:val="00844DB0"/>
    <w:rsid w:val="008450D1"/>
    <w:rsid w:val="008453CE"/>
    <w:rsid w:val="008456F5"/>
    <w:rsid w:val="00845751"/>
    <w:rsid w:val="00845871"/>
    <w:rsid w:val="00845AE8"/>
    <w:rsid w:val="00845D18"/>
    <w:rsid w:val="00845F5A"/>
    <w:rsid w:val="008463A8"/>
    <w:rsid w:val="008466AD"/>
    <w:rsid w:val="00847083"/>
    <w:rsid w:val="00847343"/>
    <w:rsid w:val="0084753E"/>
    <w:rsid w:val="00847560"/>
    <w:rsid w:val="00847C80"/>
    <w:rsid w:val="00850658"/>
    <w:rsid w:val="00850745"/>
    <w:rsid w:val="0085112B"/>
    <w:rsid w:val="008514E9"/>
    <w:rsid w:val="00851895"/>
    <w:rsid w:val="00851A48"/>
    <w:rsid w:val="00851AD5"/>
    <w:rsid w:val="00851B13"/>
    <w:rsid w:val="0085237A"/>
    <w:rsid w:val="00852EBB"/>
    <w:rsid w:val="008530AD"/>
    <w:rsid w:val="008537FB"/>
    <w:rsid w:val="00853B53"/>
    <w:rsid w:val="00853C25"/>
    <w:rsid w:val="00853CF2"/>
    <w:rsid w:val="00854649"/>
    <w:rsid w:val="00854898"/>
    <w:rsid w:val="00854E3F"/>
    <w:rsid w:val="008550EE"/>
    <w:rsid w:val="008556E5"/>
    <w:rsid w:val="00855B72"/>
    <w:rsid w:val="00855CBB"/>
    <w:rsid w:val="00855E1A"/>
    <w:rsid w:val="008562EC"/>
    <w:rsid w:val="008562F8"/>
    <w:rsid w:val="00856602"/>
    <w:rsid w:val="0085664B"/>
    <w:rsid w:val="008566ED"/>
    <w:rsid w:val="00856939"/>
    <w:rsid w:val="00856AE8"/>
    <w:rsid w:val="0085747B"/>
    <w:rsid w:val="008576C0"/>
    <w:rsid w:val="00857798"/>
    <w:rsid w:val="0085780E"/>
    <w:rsid w:val="008579F4"/>
    <w:rsid w:val="00857B5F"/>
    <w:rsid w:val="00857EFE"/>
    <w:rsid w:val="00860100"/>
    <w:rsid w:val="008604C7"/>
    <w:rsid w:val="00860617"/>
    <w:rsid w:val="00860BDE"/>
    <w:rsid w:val="00860C17"/>
    <w:rsid w:val="0086129D"/>
    <w:rsid w:val="00861A97"/>
    <w:rsid w:val="00861C88"/>
    <w:rsid w:val="00862859"/>
    <w:rsid w:val="00862882"/>
    <w:rsid w:val="008629AD"/>
    <w:rsid w:val="008629D3"/>
    <w:rsid w:val="008637EA"/>
    <w:rsid w:val="00863C1E"/>
    <w:rsid w:val="00863DED"/>
    <w:rsid w:val="00864101"/>
    <w:rsid w:val="00864484"/>
    <w:rsid w:val="008647DB"/>
    <w:rsid w:val="008649D9"/>
    <w:rsid w:val="00864ACB"/>
    <w:rsid w:val="0086574C"/>
    <w:rsid w:val="008657D3"/>
    <w:rsid w:val="008659C8"/>
    <w:rsid w:val="00865B08"/>
    <w:rsid w:val="00865B2A"/>
    <w:rsid w:val="00865E8E"/>
    <w:rsid w:val="00865FCE"/>
    <w:rsid w:val="0086611B"/>
    <w:rsid w:val="008661F3"/>
    <w:rsid w:val="008666CF"/>
    <w:rsid w:val="00866789"/>
    <w:rsid w:val="00866A5F"/>
    <w:rsid w:val="00866B2D"/>
    <w:rsid w:val="00866CE2"/>
    <w:rsid w:val="00866F78"/>
    <w:rsid w:val="00867110"/>
    <w:rsid w:val="008671C6"/>
    <w:rsid w:val="0086765C"/>
    <w:rsid w:val="008678A2"/>
    <w:rsid w:val="00867DFD"/>
    <w:rsid w:val="008700A7"/>
    <w:rsid w:val="008702D5"/>
    <w:rsid w:val="0087043A"/>
    <w:rsid w:val="0087132D"/>
    <w:rsid w:val="00871592"/>
    <w:rsid w:val="00872291"/>
    <w:rsid w:val="008724E7"/>
    <w:rsid w:val="0087251A"/>
    <w:rsid w:val="00872546"/>
    <w:rsid w:val="00872C4D"/>
    <w:rsid w:val="008731D4"/>
    <w:rsid w:val="008732A7"/>
    <w:rsid w:val="00873493"/>
    <w:rsid w:val="008735B4"/>
    <w:rsid w:val="0087389E"/>
    <w:rsid w:val="00873993"/>
    <w:rsid w:val="00874009"/>
    <w:rsid w:val="008741AF"/>
    <w:rsid w:val="00874484"/>
    <w:rsid w:val="00874AFD"/>
    <w:rsid w:val="00874EA8"/>
    <w:rsid w:val="00874ED0"/>
    <w:rsid w:val="0087509C"/>
    <w:rsid w:val="00875416"/>
    <w:rsid w:val="00875839"/>
    <w:rsid w:val="00875B50"/>
    <w:rsid w:val="00875C47"/>
    <w:rsid w:val="00875D54"/>
    <w:rsid w:val="00875F1E"/>
    <w:rsid w:val="00876134"/>
    <w:rsid w:val="008765F6"/>
    <w:rsid w:val="00876953"/>
    <w:rsid w:val="00876A73"/>
    <w:rsid w:val="00877142"/>
    <w:rsid w:val="0087765A"/>
    <w:rsid w:val="0087776B"/>
    <w:rsid w:val="008779B5"/>
    <w:rsid w:val="00877A5B"/>
    <w:rsid w:val="008801BA"/>
    <w:rsid w:val="008802D3"/>
    <w:rsid w:val="008805EC"/>
    <w:rsid w:val="00880604"/>
    <w:rsid w:val="00880723"/>
    <w:rsid w:val="0088099A"/>
    <w:rsid w:val="00880BB0"/>
    <w:rsid w:val="00880CFF"/>
    <w:rsid w:val="00881179"/>
    <w:rsid w:val="008813DB"/>
    <w:rsid w:val="008817FA"/>
    <w:rsid w:val="008818A8"/>
    <w:rsid w:val="0088191E"/>
    <w:rsid w:val="00881A29"/>
    <w:rsid w:val="0088243B"/>
    <w:rsid w:val="00882FA8"/>
    <w:rsid w:val="008833DB"/>
    <w:rsid w:val="00883491"/>
    <w:rsid w:val="00883A1A"/>
    <w:rsid w:val="00883EDC"/>
    <w:rsid w:val="00884028"/>
    <w:rsid w:val="00884093"/>
    <w:rsid w:val="00884D1E"/>
    <w:rsid w:val="00885193"/>
    <w:rsid w:val="0088531E"/>
    <w:rsid w:val="00885667"/>
    <w:rsid w:val="00885900"/>
    <w:rsid w:val="00885B16"/>
    <w:rsid w:val="00885F56"/>
    <w:rsid w:val="00886095"/>
    <w:rsid w:val="0088657F"/>
    <w:rsid w:val="008867D9"/>
    <w:rsid w:val="00886AC3"/>
    <w:rsid w:val="00886EA3"/>
    <w:rsid w:val="00887155"/>
    <w:rsid w:val="00887282"/>
    <w:rsid w:val="00887817"/>
    <w:rsid w:val="008878F3"/>
    <w:rsid w:val="00887BC1"/>
    <w:rsid w:val="00887C58"/>
    <w:rsid w:val="00887D23"/>
    <w:rsid w:val="00887D55"/>
    <w:rsid w:val="00887DE9"/>
    <w:rsid w:val="00887F5E"/>
    <w:rsid w:val="00890356"/>
    <w:rsid w:val="00890362"/>
    <w:rsid w:val="00890718"/>
    <w:rsid w:val="00891259"/>
    <w:rsid w:val="008915C6"/>
    <w:rsid w:val="0089179F"/>
    <w:rsid w:val="00891DA2"/>
    <w:rsid w:val="00892007"/>
    <w:rsid w:val="00892165"/>
    <w:rsid w:val="00892611"/>
    <w:rsid w:val="00892B7A"/>
    <w:rsid w:val="00892E16"/>
    <w:rsid w:val="0089362B"/>
    <w:rsid w:val="00893635"/>
    <w:rsid w:val="0089369D"/>
    <w:rsid w:val="00893700"/>
    <w:rsid w:val="00893BA8"/>
    <w:rsid w:val="00893E03"/>
    <w:rsid w:val="00893F65"/>
    <w:rsid w:val="00893FBA"/>
    <w:rsid w:val="0089412D"/>
    <w:rsid w:val="00894247"/>
    <w:rsid w:val="008944D8"/>
    <w:rsid w:val="00894A46"/>
    <w:rsid w:val="00894A99"/>
    <w:rsid w:val="00894D98"/>
    <w:rsid w:val="008957A5"/>
    <w:rsid w:val="00895B27"/>
    <w:rsid w:val="00895C4F"/>
    <w:rsid w:val="00895DAB"/>
    <w:rsid w:val="00895E36"/>
    <w:rsid w:val="0089661E"/>
    <w:rsid w:val="00896882"/>
    <w:rsid w:val="00896951"/>
    <w:rsid w:val="00896D3C"/>
    <w:rsid w:val="00897484"/>
    <w:rsid w:val="0089757E"/>
    <w:rsid w:val="008975DE"/>
    <w:rsid w:val="00897C5E"/>
    <w:rsid w:val="008A01E9"/>
    <w:rsid w:val="008A056C"/>
    <w:rsid w:val="008A08D6"/>
    <w:rsid w:val="008A0B71"/>
    <w:rsid w:val="008A0E6B"/>
    <w:rsid w:val="008A0EB6"/>
    <w:rsid w:val="008A0ECB"/>
    <w:rsid w:val="008A0F8F"/>
    <w:rsid w:val="008A156A"/>
    <w:rsid w:val="008A1726"/>
    <w:rsid w:val="008A17BB"/>
    <w:rsid w:val="008A1C7B"/>
    <w:rsid w:val="008A1E79"/>
    <w:rsid w:val="008A2015"/>
    <w:rsid w:val="008A20E7"/>
    <w:rsid w:val="008A23DD"/>
    <w:rsid w:val="008A2C23"/>
    <w:rsid w:val="008A3273"/>
    <w:rsid w:val="008A342A"/>
    <w:rsid w:val="008A36A3"/>
    <w:rsid w:val="008A373D"/>
    <w:rsid w:val="008A3741"/>
    <w:rsid w:val="008A38C8"/>
    <w:rsid w:val="008A3978"/>
    <w:rsid w:val="008A3A39"/>
    <w:rsid w:val="008A3A6F"/>
    <w:rsid w:val="008A3C33"/>
    <w:rsid w:val="008A3CCC"/>
    <w:rsid w:val="008A3EF1"/>
    <w:rsid w:val="008A3FDC"/>
    <w:rsid w:val="008A418B"/>
    <w:rsid w:val="008A422A"/>
    <w:rsid w:val="008A452F"/>
    <w:rsid w:val="008A4D7A"/>
    <w:rsid w:val="008A4E51"/>
    <w:rsid w:val="008A4FC9"/>
    <w:rsid w:val="008A5267"/>
    <w:rsid w:val="008A557A"/>
    <w:rsid w:val="008A5590"/>
    <w:rsid w:val="008A57A5"/>
    <w:rsid w:val="008A5A32"/>
    <w:rsid w:val="008A6073"/>
    <w:rsid w:val="008A64DD"/>
    <w:rsid w:val="008A651D"/>
    <w:rsid w:val="008A656A"/>
    <w:rsid w:val="008A6606"/>
    <w:rsid w:val="008A67D0"/>
    <w:rsid w:val="008A6906"/>
    <w:rsid w:val="008A6940"/>
    <w:rsid w:val="008A6B72"/>
    <w:rsid w:val="008A7145"/>
    <w:rsid w:val="008A73B4"/>
    <w:rsid w:val="008A73D4"/>
    <w:rsid w:val="008A758C"/>
    <w:rsid w:val="008A7768"/>
    <w:rsid w:val="008A79BC"/>
    <w:rsid w:val="008A7BD1"/>
    <w:rsid w:val="008A7D0D"/>
    <w:rsid w:val="008B00F5"/>
    <w:rsid w:val="008B01E8"/>
    <w:rsid w:val="008B041F"/>
    <w:rsid w:val="008B0BA2"/>
    <w:rsid w:val="008B0BDE"/>
    <w:rsid w:val="008B148C"/>
    <w:rsid w:val="008B14C7"/>
    <w:rsid w:val="008B155A"/>
    <w:rsid w:val="008B1765"/>
    <w:rsid w:val="008B27A9"/>
    <w:rsid w:val="008B2834"/>
    <w:rsid w:val="008B28E6"/>
    <w:rsid w:val="008B291E"/>
    <w:rsid w:val="008B343D"/>
    <w:rsid w:val="008B34AD"/>
    <w:rsid w:val="008B356B"/>
    <w:rsid w:val="008B387C"/>
    <w:rsid w:val="008B41D0"/>
    <w:rsid w:val="008B43BC"/>
    <w:rsid w:val="008B44E0"/>
    <w:rsid w:val="008B4753"/>
    <w:rsid w:val="008B4775"/>
    <w:rsid w:val="008B479B"/>
    <w:rsid w:val="008B4994"/>
    <w:rsid w:val="008B4AB2"/>
    <w:rsid w:val="008B4B3A"/>
    <w:rsid w:val="008B4BFC"/>
    <w:rsid w:val="008B5A6D"/>
    <w:rsid w:val="008B5BDA"/>
    <w:rsid w:val="008B5ECF"/>
    <w:rsid w:val="008B6169"/>
    <w:rsid w:val="008B66FA"/>
    <w:rsid w:val="008B6BBE"/>
    <w:rsid w:val="008B7050"/>
    <w:rsid w:val="008B7235"/>
    <w:rsid w:val="008B7237"/>
    <w:rsid w:val="008B738A"/>
    <w:rsid w:val="008B73B5"/>
    <w:rsid w:val="008B74FB"/>
    <w:rsid w:val="008B7CB3"/>
    <w:rsid w:val="008B7DED"/>
    <w:rsid w:val="008B7FF0"/>
    <w:rsid w:val="008C0359"/>
    <w:rsid w:val="008C07E7"/>
    <w:rsid w:val="008C111D"/>
    <w:rsid w:val="008C18B9"/>
    <w:rsid w:val="008C2285"/>
    <w:rsid w:val="008C24C2"/>
    <w:rsid w:val="008C290E"/>
    <w:rsid w:val="008C2BFA"/>
    <w:rsid w:val="008C2DC3"/>
    <w:rsid w:val="008C36D7"/>
    <w:rsid w:val="008C3C79"/>
    <w:rsid w:val="008C3E5C"/>
    <w:rsid w:val="008C41AE"/>
    <w:rsid w:val="008C4799"/>
    <w:rsid w:val="008C4940"/>
    <w:rsid w:val="008C4C61"/>
    <w:rsid w:val="008C549B"/>
    <w:rsid w:val="008C5B5F"/>
    <w:rsid w:val="008C5C15"/>
    <w:rsid w:val="008C60D8"/>
    <w:rsid w:val="008C6498"/>
    <w:rsid w:val="008C6A84"/>
    <w:rsid w:val="008C6BA6"/>
    <w:rsid w:val="008C6D17"/>
    <w:rsid w:val="008C6E1F"/>
    <w:rsid w:val="008C72BD"/>
    <w:rsid w:val="008C7767"/>
    <w:rsid w:val="008C7930"/>
    <w:rsid w:val="008D02EB"/>
    <w:rsid w:val="008D047D"/>
    <w:rsid w:val="008D085E"/>
    <w:rsid w:val="008D0E58"/>
    <w:rsid w:val="008D0EA0"/>
    <w:rsid w:val="008D0F4C"/>
    <w:rsid w:val="008D0F79"/>
    <w:rsid w:val="008D1110"/>
    <w:rsid w:val="008D125D"/>
    <w:rsid w:val="008D138A"/>
    <w:rsid w:val="008D1641"/>
    <w:rsid w:val="008D2428"/>
    <w:rsid w:val="008D2653"/>
    <w:rsid w:val="008D265A"/>
    <w:rsid w:val="008D28B3"/>
    <w:rsid w:val="008D2AEC"/>
    <w:rsid w:val="008D2BDB"/>
    <w:rsid w:val="008D315C"/>
    <w:rsid w:val="008D3215"/>
    <w:rsid w:val="008D3392"/>
    <w:rsid w:val="008D3B32"/>
    <w:rsid w:val="008D41F3"/>
    <w:rsid w:val="008D43B2"/>
    <w:rsid w:val="008D45D3"/>
    <w:rsid w:val="008D45E0"/>
    <w:rsid w:val="008D4709"/>
    <w:rsid w:val="008D4BDB"/>
    <w:rsid w:val="008D52AD"/>
    <w:rsid w:val="008D5420"/>
    <w:rsid w:val="008D54C2"/>
    <w:rsid w:val="008D5678"/>
    <w:rsid w:val="008D5787"/>
    <w:rsid w:val="008D5AC7"/>
    <w:rsid w:val="008D5B4C"/>
    <w:rsid w:val="008D6239"/>
    <w:rsid w:val="008D64A2"/>
    <w:rsid w:val="008D6801"/>
    <w:rsid w:val="008D6F6B"/>
    <w:rsid w:val="008D71D1"/>
    <w:rsid w:val="008D7317"/>
    <w:rsid w:val="008D77F0"/>
    <w:rsid w:val="008D79B5"/>
    <w:rsid w:val="008E0600"/>
    <w:rsid w:val="008E0895"/>
    <w:rsid w:val="008E0BFD"/>
    <w:rsid w:val="008E114C"/>
    <w:rsid w:val="008E1834"/>
    <w:rsid w:val="008E1ECE"/>
    <w:rsid w:val="008E251B"/>
    <w:rsid w:val="008E25B5"/>
    <w:rsid w:val="008E2A4B"/>
    <w:rsid w:val="008E2DCA"/>
    <w:rsid w:val="008E2E27"/>
    <w:rsid w:val="008E2EE3"/>
    <w:rsid w:val="008E3033"/>
    <w:rsid w:val="008E3ADA"/>
    <w:rsid w:val="008E3C25"/>
    <w:rsid w:val="008E3EB6"/>
    <w:rsid w:val="008E4566"/>
    <w:rsid w:val="008E47F8"/>
    <w:rsid w:val="008E49E5"/>
    <w:rsid w:val="008E4B82"/>
    <w:rsid w:val="008E4F7C"/>
    <w:rsid w:val="008E548E"/>
    <w:rsid w:val="008E5756"/>
    <w:rsid w:val="008E5EF7"/>
    <w:rsid w:val="008E5F4F"/>
    <w:rsid w:val="008E6183"/>
    <w:rsid w:val="008E6B65"/>
    <w:rsid w:val="008E6DD3"/>
    <w:rsid w:val="008E6E44"/>
    <w:rsid w:val="008E7236"/>
    <w:rsid w:val="008E753B"/>
    <w:rsid w:val="008F039C"/>
    <w:rsid w:val="008F040E"/>
    <w:rsid w:val="008F050B"/>
    <w:rsid w:val="008F0609"/>
    <w:rsid w:val="008F0881"/>
    <w:rsid w:val="008F0A67"/>
    <w:rsid w:val="008F0B4D"/>
    <w:rsid w:val="008F0E13"/>
    <w:rsid w:val="008F1186"/>
    <w:rsid w:val="008F140A"/>
    <w:rsid w:val="008F2061"/>
    <w:rsid w:val="008F22D3"/>
    <w:rsid w:val="008F2561"/>
    <w:rsid w:val="008F25B3"/>
    <w:rsid w:val="008F2738"/>
    <w:rsid w:val="008F28B7"/>
    <w:rsid w:val="008F2BB7"/>
    <w:rsid w:val="008F2C88"/>
    <w:rsid w:val="008F2F6A"/>
    <w:rsid w:val="008F3099"/>
    <w:rsid w:val="008F347C"/>
    <w:rsid w:val="008F37CB"/>
    <w:rsid w:val="008F3920"/>
    <w:rsid w:val="008F3B19"/>
    <w:rsid w:val="008F3F47"/>
    <w:rsid w:val="008F42CF"/>
    <w:rsid w:val="008F43F8"/>
    <w:rsid w:val="008F4686"/>
    <w:rsid w:val="008F4725"/>
    <w:rsid w:val="008F485C"/>
    <w:rsid w:val="008F5382"/>
    <w:rsid w:val="008F5398"/>
    <w:rsid w:val="008F54E8"/>
    <w:rsid w:val="008F55A4"/>
    <w:rsid w:val="008F58FC"/>
    <w:rsid w:val="008F5C00"/>
    <w:rsid w:val="008F6674"/>
    <w:rsid w:val="008F6749"/>
    <w:rsid w:val="008F690B"/>
    <w:rsid w:val="008F6936"/>
    <w:rsid w:val="008F6B23"/>
    <w:rsid w:val="008F6D52"/>
    <w:rsid w:val="008F743A"/>
    <w:rsid w:val="008F7582"/>
    <w:rsid w:val="008F7AD7"/>
    <w:rsid w:val="008F7B7C"/>
    <w:rsid w:val="008F7BC1"/>
    <w:rsid w:val="008F7BFC"/>
    <w:rsid w:val="008F7CA1"/>
    <w:rsid w:val="008F7F68"/>
    <w:rsid w:val="009006FA"/>
    <w:rsid w:val="00900789"/>
    <w:rsid w:val="0090082B"/>
    <w:rsid w:val="009009A8"/>
    <w:rsid w:val="00900E00"/>
    <w:rsid w:val="00900EC5"/>
    <w:rsid w:val="00900F33"/>
    <w:rsid w:val="00901CBF"/>
    <w:rsid w:val="00901CE1"/>
    <w:rsid w:val="00902212"/>
    <w:rsid w:val="009023DA"/>
    <w:rsid w:val="0090288C"/>
    <w:rsid w:val="00902D7D"/>
    <w:rsid w:val="00902F07"/>
    <w:rsid w:val="0090358A"/>
    <w:rsid w:val="0090367B"/>
    <w:rsid w:val="009036B7"/>
    <w:rsid w:val="0090399B"/>
    <w:rsid w:val="00903BC3"/>
    <w:rsid w:val="00903C24"/>
    <w:rsid w:val="00903D85"/>
    <w:rsid w:val="00903FF5"/>
    <w:rsid w:val="00904326"/>
    <w:rsid w:val="0090463C"/>
    <w:rsid w:val="009047DA"/>
    <w:rsid w:val="00904892"/>
    <w:rsid w:val="00904F68"/>
    <w:rsid w:val="0090523A"/>
    <w:rsid w:val="00905325"/>
    <w:rsid w:val="00905348"/>
    <w:rsid w:val="0090567F"/>
    <w:rsid w:val="009059A1"/>
    <w:rsid w:val="00905AA5"/>
    <w:rsid w:val="00906402"/>
    <w:rsid w:val="009064A3"/>
    <w:rsid w:val="009064FB"/>
    <w:rsid w:val="00906821"/>
    <w:rsid w:val="00906A05"/>
    <w:rsid w:val="00906A3D"/>
    <w:rsid w:val="00906C3F"/>
    <w:rsid w:val="00906C41"/>
    <w:rsid w:val="00906CE0"/>
    <w:rsid w:val="00906D64"/>
    <w:rsid w:val="0090716A"/>
    <w:rsid w:val="0090785D"/>
    <w:rsid w:val="00907AB5"/>
    <w:rsid w:val="00907BE0"/>
    <w:rsid w:val="00907C06"/>
    <w:rsid w:val="00907F57"/>
    <w:rsid w:val="00910393"/>
    <w:rsid w:val="009104D8"/>
    <w:rsid w:val="0091057D"/>
    <w:rsid w:val="0091099C"/>
    <w:rsid w:val="00910E12"/>
    <w:rsid w:val="00911733"/>
    <w:rsid w:val="0091192A"/>
    <w:rsid w:val="00911941"/>
    <w:rsid w:val="0091274D"/>
    <w:rsid w:val="0091278B"/>
    <w:rsid w:val="009129C6"/>
    <w:rsid w:val="00912E45"/>
    <w:rsid w:val="0091314E"/>
    <w:rsid w:val="00913444"/>
    <w:rsid w:val="00913873"/>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B3C"/>
    <w:rsid w:val="00916D05"/>
    <w:rsid w:val="00917209"/>
    <w:rsid w:val="0091752B"/>
    <w:rsid w:val="00917828"/>
    <w:rsid w:val="00917AF5"/>
    <w:rsid w:val="00917B5E"/>
    <w:rsid w:val="00917B6D"/>
    <w:rsid w:val="00917DA9"/>
    <w:rsid w:val="00920779"/>
    <w:rsid w:val="009207B8"/>
    <w:rsid w:val="00920D4D"/>
    <w:rsid w:val="009210C2"/>
    <w:rsid w:val="00921100"/>
    <w:rsid w:val="00921220"/>
    <w:rsid w:val="009212CF"/>
    <w:rsid w:val="00921414"/>
    <w:rsid w:val="00921810"/>
    <w:rsid w:val="00921A49"/>
    <w:rsid w:val="00921D25"/>
    <w:rsid w:val="009221CA"/>
    <w:rsid w:val="009225CF"/>
    <w:rsid w:val="00922650"/>
    <w:rsid w:val="009227DF"/>
    <w:rsid w:val="00922965"/>
    <w:rsid w:val="009229F3"/>
    <w:rsid w:val="00922D5D"/>
    <w:rsid w:val="00922DD2"/>
    <w:rsid w:val="00922FB2"/>
    <w:rsid w:val="00923143"/>
    <w:rsid w:val="0092332F"/>
    <w:rsid w:val="009233D6"/>
    <w:rsid w:val="0092369E"/>
    <w:rsid w:val="00924507"/>
    <w:rsid w:val="009245E3"/>
    <w:rsid w:val="00924619"/>
    <w:rsid w:val="009247A6"/>
    <w:rsid w:val="00924927"/>
    <w:rsid w:val="00924C1B"/>
    <w:rsid w:val="00924D0C"/>
    <w:rsid w:val="00924D68"/>
    <w:rsid w:val="00924DE7"/>
    <w:rsid w:val="00924F12"/>
    <w:rsid w:val="0092512F"/>
    <w:rsid w:val="00925256"/>
    <w:rsid w:val="00925ACB"/>
    <w:rsid w:val="009264DD"/>
    <w:rsid w:val="00926789"/>
    <w:rsid w:val="009268C1"/>
    <w:rsid w:val="00926F54"/>
    <w:rsid w:val="0092712A"/>
    <w:rsid w:val="00927294"/>
    <w:rsid w:val="009277DE"/>
    <w:rsid w:val="009279B4"/>
    <w:rsid w:val="00927B8A"/>
    <w:rsid w:val="00930328"/>
    <w:rsid w:val="009304CE"/>
    <w:rsid w:val="00930558"/>
    <w:rsid w:val="0093059B"/>
    <w:rsid w:val="00930AD9"/>
    <w:rsid w:val="00930C55"/>
    <w:rsid w:val="00930D69"/>
    <w:rsid w:val="00930EE3"/>
    <w:rsid w:val="00930F0A"/>
    <w:rsid w:val="00931106"/>
    <w:rsid w:val="00931120"/>
    <w:rsid w:val="0093114E"/>
    <w:rsid w:val="009311D6"/>
    <w:rsid w:val="00931222"/>
    <w:rsid w:val="0093139B"/>
    <w:rsid w:val="0093157E"/>
    <w:rsid w:val="0093187B"/>
    <w:rsid w:val="00931C00"/>
    <w:rsid w:val="00931ED6"/>
    <w:rsid w:val="00932068"/>
    <w:rsid w:val="009321B0"/>
    <w:rsid w:val="009324AA"/>
    <w:rsid w:val="009325F5"/>
    <w:rsid w:val="00932622"/>
    <w:rsid w:val="009329A8"/>
    <w:rsid w:val="00932A97"/>
    <w:rsid w:val="0093345D"/>
    <w:rsid w:val="00933772"/>
    <w:rsid w:val="00933C82"/>
    <w:rsid w:val="00933E13"/>
    <w:rsid w:val="00933EED"/>
    <w:rsid w:val="009347F3"/>
    <w:rsid w:val="00934EC0"/>
    <w:rsid w:val="009355A7"/>
    <w:rsid w:val="009360A8"/>
    <w:rsid w:val="009360C9"/>
    <w:rsid w:val="009361B3"/>
    <w:rsid w:val="00936502"/>
    <w:rsid w:val="0093682A"/>
    <w:rsid w:val="0093694B"/>
    <w:rsid w:val="009369F9"/>
    <w:rsid w:val="00937201"/>
    <w:rsid w:val="0093723B"/>
    <w:rsid w:val="0093724A"/>
    <w:rsid w:val="009376A2"/>
    <w:rsid w:val="00937737"/>
    <w:rsid w:val="00937BD5"/>
    <w:rsid w:val="009406E4"/>
    <w:rsid w:val="00940756"/>
    <w:rsid w:val="0094075B"/>
    <w:rsid w:val="0094092E"/>
    <w:rsid w:val="00940966"/>
    <w:rsid w:val="00940A72"/>
    <w:rsid w:val="00940CA3"/>
    <w:rsid w:val="00941372"/>
    <w:rsid w:val="00941D52"/>
    <w:rsid w:val="00941DA1"/>
    <w:rsid w:val="009421BD"/>
    <w:rsid w:val="009421E6"/>
    <w:rsid w:val="00942629"/>
    <w:rsid w:val="00942D69"/>
    <w:rsid w:val="00943240"/>
    <w:rsid w:val="009436E0"/>
    <w:rsid w:val="00943ED1"/>
    <w:rsid w:val="00943F29"/>
    <w:rsid w:val="00943F52"/>
    <w:rsid w:val="009442EA"/>
    <w:rsid w:val="0094437C"/>
    <w:rsid w:val="00944464"/>
    <w:rsid w:val="0094486E"/>
    <w:rsid w:val="0094498F"/>
    <w:rsid w:val="00944BD7"/>
    <w:rsid w:val="009452D9"/>
    <w:rsid w:val="009457A8"/>
    <w:rsid w:val="00945907"/>
    <w:rsid w:val="00945987"/>
    <w:rsid w:val="0094598D"/>
    <w:rsid w:val="00946073"/>
    <w:rsid w:val="00946454"/>
    <w:rsid w:val="00946CC9"/>
    <w:rsid w:val="009471B3"/>
    <w:rsid w:val="009474EC"/>
    <w:rsid w:val="00947588"/>
    <w:rsid w:val="00947C1C"/>
    <w:rsid w:val="00947F56"/>
    <w:rsid w:val="00950149"/>
    <w:rsid w:val="009502EF"/>
    <w:rsid w:val="0095030E"/>
    <w:rsid w:val="009503E1"/>
    <w:rsid w:val="009504D7"/>
    <w:rsid w:val="00950670"/>
    <w:rsid w:val="00950728"/>
    <w:rsid w:val="00950E72"/>
    <w:rsid w:val="00950EDA"/>
    <w:rsid w:val="009511E0"/>
    <w:rsid w:val="009511E1"/>
    <w:rsid w:val="00951461"/>
    <w:rsid w:val="00951495"/>
    <w:rsid w:val="00951A91"/>
    <w:rsid w:val="00951C52"/>
    <w:rsid w:val="00951F8D"/>
    <w:rsid w:val="0095226F"/>
    <w:rsid w:val="009522B0"/>
    <w:rsid w:val="009523B5"/>
    <w:rsid w:val="0095247A"/>
    <w:rsid w:val="0095254C"/>
    <w:rsid w:val="0095258E"/>
    <w:rsid w:val="0095263D"/>
    <w:rsid w:val="009526AF"/>
    <w:rsid w:val="00952980"/>
    <w:rsid w:val="0095308A"/>
    <w:rsid w:val="0095390B"/>
    <w:rsid w:val="00953A30"/>
    <w:rsid w:val="009542D6"/>
    <w:rsid w:val="009545A6"/>
    <w:rsid w:val="009547CA"/>
    <w:rsid w:val="009550D0"/>
    <w:rsid w:val="009553FE"/>
    <w:rsid w:val="0095571D"/>
    <w:rsid w:val="00955968"/>
    <w:rsid w:val="00955994"/>
    <w:rsid w:val="00955CF3"/>
    <w:rsid w:val="00955E93"/>
    <w:rsid w:val="00956285"/>
    <w:rsid w:val="00956720"/>
    <w:rsid w:val="009568E3"/>
    <w:rsid w:val="00956C76"/>
    <w:rsid w:val="00956E81"/>
    <w:rsid w:val="00956FA5"/>
    <w:rsid w:val="00957001"/>
    <w:rsid w:val="00957279"/>
    <w:rsid w:val="00957398"/>
    <w:rsid w:val="00957879"/>
    <w:rsid w:val="0095797A"/>
    <w:rsid w:val="009579C9"/>
    <w:rsid w:val="00957F8D"/>
    <w:rsid w:val="00960123"/>
    <w:rsid w:val="0096022D"/>
    <w:rsid w:val="00960234"/>
    <w:rsid w:val="00960417"/>
    <w:rsid w:val="0096095F"/>
    <w:rsid w:val="00960A33"/>
    <w:rsid w:val="009613F7"/>
    <w:rsid w:val="00961451"/>
    <w:rsid w:val="00961809"/>
    <w:rsid w:val="00961B6E"/>
    <w:rsid w:val="0096220E"/>
    <w:rsid w:val="009624AA"/>
    <w:rsid w:val="009624D8"/>
    <w:rsid w:val="009625F5"/>
    <w:rsid w:val="0096299A"/>
    <w:rsid w:val="009629A3"/>
    <w:rsid w:val="00962B7C"/>
    <w:rsid w:val="00962BE0"/>
    <w:rsid w:val="00962CD5"/>
    <w:rsid w:val="00963122"/>
    <w:rsid w:val="009631E8"/>
    <w:rsid w:val="00963589"/>
    <w:rsid w:val="00963609"/>
    <w:rsid w:val="00963A9F"/>
    <w:rsid w:val="009644BF"/>
    <w:rsid w:val="009656B8"/>
    <w:rsid w:val="00965AF7"/>
    <w:rsid w:val="00965B96"/>
    <w:rsid w:val="00965C82"/>
    <w:rsid w:val="009662C3"/>
    <w:rsid w:val="00966699"/>
    <w:rsid w:val="00966BEF"/>
    <w:rsid w:val="00966DBD"/>
    <w:rsid w:val="00966DE5"/>
    <w:rsid w:val="00966E08"/>
    <w:rsid w:val="00966F7E"/>
    <w:rsid w:val="009677EE"/>
    <w:rsid w:val="0096783C"/>
    <w:rsid w:val="009705DF"/>
    <w:rsid w:val="0097070D"/>
    <w:rsid w:val="009709C6"/>
    <w:rsid w:val="00970A2B"/>
    <w:rsid w:val="00970A52"/>
    <w:rsid w:val="00970A57"/>
    <w:rsid w:val="00970DC8"/>
    <w:rsid w:val="0097117D"/>
    <w:rsid w:val="009712A5"/>
    <w:rsid w:val="009717F1"/>
    <w:rsid w:val="00971CC4"/>
    <w:rsid w:val="00971D96"/>
    <w:rsid w:val="00971F0A"/>
    <w:rsid w:val="00971FEE"/>
    <w:rsid w:val="00972076"/>
    <w:rsid w:val="009723C0"/>
    <w:rsid w:val="009726CB"/>
    <w:rsid w:val="00972908"/>
    <w:rsid w:val="00972CFA"/>
    <w:rsid w:val="009737F2"/>
    <w:rsid w:val="00973A76"/>
    <w:rsid w:val="00973F5F"/>
    <w:rsid w:val="0097401A"/>
    <w:rsid w:val="009740C3"/>
    <w:rsid w:val="009740D9"/>
    <w:rsid w:val="00974346"/>
    <w:rsid w:val="009746CC"/>
    <w:rsid w:val="0097498E"/>
    <w:rsid w:val="00974D9C"/>
    <w:rsid w:val="00975109"/>
    <w:rsid w:val="0097510D"/>
    <w:rsid w:val="009758D5"/>
    <w:rsid w:val="00975AB7"/>
    <w:rsid w:val="00975FAE"/>
    <w:rsid w:val="009761DB"/>
    <w:rsid w:val="009763AF"/>
    <w:rsid w:val="00976866"/>
    <w:rsid w:val="00976886"/>
    <w:rsid w:val="00976A8E"/>
    <w:rsid w:val="00976E30"/>
    <w:rsid w:val="00977148"/>
    <w:rsid w:val="0097730C"/>
    <w:rsid w:val="00977940"/>
    <w:rsid w:val="00977FB7"/>
    <w:rsid w:val="0098069C"/>
    <w:rsid w:val="009807DE"/>
    <w:rsid w:val="00980F03"/>
    <w:rsid w:val="0098113F"/>
    <w:rsid w:val="009813C1"/>
    <w:rsid w:val="00981550"/>
    <w:rsid w:val="009818D7"/>
    <w:rsid w:val="00981CE8"/>
    <w:rsid w:val="00981E96"/>
    <w:rsid w:val="0098213C"/>
    <w:rsid w:val="00982739"/>
    <w:rsid w:val="009827C0"/>
    <w:rsid w:val="0098285F"/>
    <w:rsid w:val="00983656"/>
    <w:rsid w:val="00983671"/>
    <w:rsid w:val="009836FA"/>
    <w:rsid w:val="00983CF6"/>
    <w:rsid w:val="00983F53"/>
    <w:rsid w:val="00983F71"/>
    <w:rsid w:val="0098459B"/>
    <w:rsid w:val="009847B1"/>
    <w:rsid w:val="009847F9"/>
    <w:rsid w:val="00984F74"/>
    <w:rsid w:val="009851FD"/>
    <w:rsid w:val="00985A5D"/>
    <w:rsid w:val="00985C32"/>
    <w:rsid w:val="009864C2"/>
    <w:rsid w:val="009866D2"/>
    <w:rsid w:val="00987035"/>
    <w:rsid w:val="00987529"/>
    <w:rsid w:val="00987881"/>
    <w:rsid w:val="00987935"/>
    <w:rsid w:val="00987A50"/>
    <w:rsid w:val="00987EF1"/>
    <w:rsid w:val="0099007C"/>
    <w:rsid w:val="00990099"/>
    <w:rsid w:val="00990935"/>
    <w:rsid w:val="00991268"/>
    <w:rsid w:val="00991463"/>
    <w:rsid w:val="00991509"/>
    <w:rsid w:val="009917AF"/>
    <w:rsid w:val="009918A1"/>
    <w:rsid w:val="009919DC"/>
    <w:rsid w:val="0099266B"/>
    <w:rsid w:val="00992B56"/>
    <w:rsid w:val="00992B90"/>
    <w:rsid w:val="00992CE5"/>
    <w:rsid w:val="0099329F"/>
    <w:rsid w:val="00993348"/>
    <w:rsid w:val="0099377C"/>
    <w:rsid w:val="009937C7"/>
    <w:rsid w:val="009940F9"/>
    <w:rsid w:val="009942FC"/>
    <w:rsid w:val="0099453C"/>
    <w:rsid w:val="00994DEB"/>
    <w:rsid w:val="00995039"/>
    <w:rsid w:val="0099521D"/>
    <w:rsid w:val="00995369"/>
    <w:rsid w:val="00995433"/>
    <w:rsid w:val="0099545D"/>
    <w:rsid w:val="00995523"/>
    <w:rsid w:val="00995646"/>
    <w:rsid w:val="00995BD2"/>
    <w:rsid w:val="00995E29"/>
    <w:rsid w:val="0099667A"/>
    <w:rsid w:val="00996C43"/>
    <w:rsid w:val="00996C80"/>
    <w:rsid w:val="00997122"/>
    <w:rsid w:val="009972D0"/>
    <w:rsid w:val="0099764E"/>
    <w:rsid w:val="009A0C84"/>
    <w:rsid w:val="009A0E9C"/>
    <w:rsid w:val="009A108C"/>
    <w:rsid w:val="009A1113"/>
    <w:rsid w:val="009A11EB"/>
    <w:rsid w:val="009A1412"/>
    <w:rsid w:val="009A17B4"/>
    <w:rsid w:val="009A17C3"/>
    <w:rsid w:val="009A1849"/>
    <w:rsid w:val="009A1944"/>
    <w:rsid w:val="009A1EC6"/>
    <w:rsid w:val="009A20A6"/>
    <w:rsid w:val="009A2174"/>
    <w:rsid w:val="009A221E"/>
    <w:rsid w:val="009A23C0"/>
    <w:rsid w:val="009A27C1"/>
    <w:rsid w:val="009A2881"/>
    <w:rsid w:val="009A2939"/>
    <w:rsid w:val="009A2D42"/>
    <w:rsid w:val="009A311D"/>
    <w:rsid w:val="009A329F"/>
    <w:rsid w:val="009A33CC"/>
    <w:rsid w:val="009A367A"/>
    <w:rsid w:val="009A37A6"/>
    <w:rsid w:val="009A3DB8"/>
    <w:rsid w:val="009A3FD2"/>
    <w:rsid w:val="009A4614"/>
    <w:rsid w:val="009A5069"/>
    <w:rsid w:val="009A5287"/>
    <w:rsid w:val="009A5497"/>
    <w:rsid w:val="009A563A"/>
    <w:rsid w:val="009A56FB"/>
    <w:rsid w:val="009A5B5F"/>
    <w:rsid w:val="009A64A5"/>
    <w:rsid w:val="009A6639"/>
    <w:rsid w:val="009A6776"/>
    <w:rsid w:val="009A6958"/>
    <w:rsid w:val="009A6A52"/>
    <w:rsid w:val="009A6F22"/>
    <w:rsid w:val="009A6F75"/>
    <w:rsid w:val="009A7209"/>
    <w:rsid w:val="009A72EF"/>
    <w:rsid w:val="009A732A"/>
    <w:rsid w:val="009A759C"/>
    <w:rsid w:val="009A7703"/>
    <w:rsid w:val="009A7CBA"/>
    <w:rsid w:val="009A7D8A"/>
    <w:rsid w:val="009B0097"/>
    <w:rsid w:val="009B0665"/>
    <w:rsid w:val="009B13C7"/>
    <w:rsid w:val="009B1744"/>
    <w:rsid w:val="009B1A54"/>
    <w:rsid w:val="009B1EDA"/>
    <w:rsid w:val="009B2258"/>
    <w:rsid w:val="009B231D"/>
    <w:rsid w:val="009B2ADC"/>
    <w:rsid w:val="009B2BDD"/>
    <w:rsid w:val="009B2D3E"/>
    <w:rsid w:val="009B2E3C"/>
    <w:rsid w:val="009B315D"/>
    <w:rsid w:val="009B34A4"/>
    <w:rsid w:val="009B383C"/>
    <w:rsid w:val="009B3C99"/>
    <w:rsid w:val="009B40FC"/>
    <w:rsid w:val="009B4119"/>
    <w:rsid w:val="009B4442"/>
    <w:rsid w:val="009B4D55"/>
    <w:rsid w:val="009B52DA"/>
    <w:rsid w:val="009B55DC"/>
    <w:rsid w:val="009B57CE"/>
    <w:rsid w:val="009B5AC3"/>
    <w:rsid w:val="009B5B2E"/>
    <w:rsid w:val="009B5F90"/>
    <w:rsid w:val="009B6BE2"/>
    <w:rsid w:val="009B6D0B"/>
    <w:rsid w:val="009B6D53"/>
    <w:rsid w:val="009B6E54"/>
    <w:rsid w:val="009B747F"/>
    <w:rsid w:val="009B79C2"/>
    <w:rsid w:val="009B79EB"/>
    <w:rsid w:val="009C00E0"/>
    <w:rsid w:val="009C03A4"/>
    <w:rsid w:val="009C0538"/>
    <w:rsid w:val="009C07FD"/>
    <w:rsid w:val="009C0963"/>
    <w:rsid w:val="009C0E27"/>
    <w:rsid w:val="009C0EDA"/>
    <w:rsid w:val="009C0F06"/>
    <w:rsid w:val="009C1001"/>
    <w:rsid w:val="009C1357"/>
    <w:rsid w:val="009C1B8D"/>
    <w:rsid w:val="009C1FDD"/>
    <w:rsid w:val="009C2203"/>
    <w:rsid w:val="009C24C1"/>
    <w:rsid w:val="009C25E2"/>
    <w:rsid w:val="009C2617"/>
    <w:rsid w:val="009C27C8"/>
    <w:rsid w:val="009C2838"/>
    <w:rsid w:val="009C297F"/>
    <w:rsid w:val="009C2E33"/>
    <w:rsid w:val="009C3B05"/>
    <w:rsid w:val="009C41C6"/>
    <w:rsid w:val="009C455F"/>
    <w:rsid w:val="009C4C99"/>
    <w:rsid w:val="009C5163"/>
    <w:rsid w:val="009C5176"/>
    <w:rsid w:val="009C5193"/>
    <w:rsid w:val="009C5595"/>
    <w:rsid w:val="009C5609"/>
    <w:rsid w:val="009C569A"/>
    <w:rsid w:val="009C59D1"/>
    <w:rsid w:val="009C5D9A"/>
    <w:rsid w:val="009C6BB2"/>
    <w:rsid w:val="009C79DA"/>
    <w:rsid w:val="009C79DD"/>
    <w:rsid w:val="009C7A52"/>
    <w:rsid w:val="009C7B52"/>
    <w:rsid w:val="009C7E88"/>
    <w:rsid w:val="009C7ED5"/>
    <w:rsid w:val="009C7F62"/>
    <w:rsid w:val="009D0150"/>
    <w:rsid w:val="009D02A9"/>
    <w:rsid w:val="009D02C0"/>
    <w:rsid w:val="009D03E9"/>
    <w:rsid w:val="009D072B"/>
    <w:rsid w:val="009D085E"/>
    <w:rsid w:val="009D1097"/>
    <w:rsid w:val="009D192B"/>
    <w:rsid w:val="009D19E9"/>
    <w:rsid w:val="009D1EE0"/>
    <w:rsid w:val="009D2AF0"/>
    <w:rsid w:val="009D2BC7"/>
    <w:rsid w:val="009D2BED"/>
    <w:rsid w:val="009D2C27"/>
    <w:rsid w:val="009D2C3A"/>
    <w:rsid w:val="009D35C1"/>
    <w:rsid w:val="009D3E29"/>
    <w:rsid w:val="009D4030"/>
    <w:rsid w:val="009D41CA"/>
    <w:rsid w:val="009D44FC"/>
    <w:rsid w:val="009D48BA"/>
    <w:rsid w:val="009D4EA6"/>
    <w:rsid w:val="009D532B"/>
    <w:rsid w:val="009D56B3"/>
    <w:rsid w:val="009D56E1"/>
    <w:rsid w:val="009D56E5"/>
    <w:rsid w:val="009D5831"/>
    <w:rsid w:val="009D5E8C"/>
    <w:rsid w:val="009D5F5E"/>
    <w:rsid w:val="009D60E3"/>
    <w:rsid w:val="009D65EC"/>
    <w:rsid w:val="009D67EF"/>
    <w:rsid w:val="009D687C"/>
    <w:rsid w:val="009D6909"/>
    <w:rsid w:val="009D69C3"/>
    <w:rsid w:val="009D736E"/>
    <w:rsid w:val="009D7665"/>
    <w:rsid w:val="009D766B"/>
    <w:rsid w:val="009D7858"/>
    <w:rsid w:val="009D785A"/>
    <w:rsid w:val="009D79E8"/>
    <w:rsid w:val="009D7C79"/>
    <w:rsid w:val="009E01E4"/>
    <w:rsid w:val="009E01F1"/>
    <w:rsid w:val="009E088C"/>
    <w:rsid w:val="009E08EC"/>
    <w:rsid w:val="009E0A77"/>
    <w:rsid w:val="009E0AA5"/>
    <w:rsid w:val="009E0D78"/>
    <w:rsid w:val="009E1087"/>
    <w:rsid w:val="009E151E"/>
    <w:rsid w:val="009E155C"/>
    <w:rsid w:val="009E16D8"/>
    <w:rsid w:val="009E18EC"/>
    <w:rsid w:val="009E20BB"/>
    <w:rsid w:val="009E2350"/>
    <w:rsid w:val="009E2862"/>
    <w:rsid w:val="009E2919"/>
    <w:rsid w:val="009E2937"/>
    <w:rsid w:val="009E2970"/>
    <w:rsid w:val="009E2D61"/>
    <w:rsid w:val="009E37AE"/>
    <w:rsid w:val="009E3967"/>
    <w:rsid w:val="009E4096"/>
    <w:rsid w:val="009E42F5"/>
    <w:rsid w:val="009E4400"/>
    <w:rsid w:val="009E445B"/>
    <w:rsid w:val="009E4727"/>
    <w:rsid w:val="009E48B9"/>
    <w:rsid w:val="009E4E56"/>
    <w:rsid w:val="009E4ECB"/>
    <w:rsid w:val="009E4EF8"/>
    <w:rsid w:val="009E4FA5"/>
    <w:rsid w:val="009E51FD"/>
    <w:rsid w:val="009E547B"/>
    <w:rsid w:val="009E5A37"/>
    <w:rsid w:val="009E5CB1"/>
    <w:rsid w:val="009E6002"/>
    <w:rsid w:val="009E6351"/>
    <w:rsid w:val="009E6461"/>
    <w:rsid w:val="009E64E4"/>
    <w:rsid w:val="009E66C4"/>
    <w:rsid w:val="009E7041"/>
    <w:rsid w:val="009E774B"/>
    <w:rsid w:val="009E7BD1"/>
    <w:rsid w:val="009E7BF6"/>
    <w:rsid w:val="009F0367"/>
    <w:rsid w:val="009F0EBE"/>
    <w:rsid w:val="009F0F38"/>
    <w:rsid w:val="009F15CB"/>
    <w:rsid w:val="009F17E6"/>
    <w:rsid w:val="009F1992"/>
    <w:rsid w:val="009F1A49"/>
    <w:rsid w:val="009F23CF"/>
    <w:rsid w:val="009F2889"/>
    <w:rsid w:val="009F2A58"/>
    <w:rsid w:val="009F2A93"/>
    <w:rsid w:val="009F2BCC"/>
    <w:rsid w:val="009F2DF6"/>
    <w:rsid w:val="009F2F98"/>
    <w:rsid w:val="009F324C"/>
    <w:rsid w:val="009F35A7"/>
    <w:rsid w:val="009F3BF7"/>
    <w:rsid w:val="009F3FC6"/>
    <w:rsid w:val="009F4266"/>
    <w:rsid w:val="009F4485"/>
    <w:rsid w:val="009F457C"/>
    <w:rsid w:val="009F467D"/>
    <w:rsid w:val="009F4744"/>
    <w:rsid w:val="009F506A"/>
    <w:rsid w:val="009F51C7"/>
    <w:rsid w:val="009F51F9"/>
    <w:rsid w:val="009F5969"/>
    <w:rsid w:val="009F59E7"/>
    <w:rsid w:val="009F5BE9"/>
    <w:rsid w:val="009F5FC0"/>
    <w:rsid w:val="009F61D4"/>
    <w:rsid w:val="009F6203"/>
    <w:rsid w:val="009F6736"/>
    <w:rsid w:val="009F67F2"/>
    <w:rsid w:val="009F69C9"/>
    <w:rsid w:val="009F6A03"/>
    <w:rsid w:val="009F6D12"/>
    <w:rsid w:val="009F712C"/>
    <w:rsid w:val="009F72FF"/>
    <w:rsid w:val="009F734A"/>
    <w:rsid w:val="009F7557"/>
    <w:rsid w:val="009F76AC"/>
    <w:rsid w:val="009F7D44"/>
    <w:rsid w:val="009F7E6E"/>
    <w:rsid w:val="009F7EF7"/>
    <w:rsid w:val="00A00055"/>
    <w:rsid w:val="00A00248"/>
    <w:rsid w:val="00A00284"/>
    <w:rsid w:val="00A002AB"/>
    <w:rsid w:val="00A00B25"/>
    <w:rsid w:val="00A00EE5"/>
    <w:rsid w:val="00A01008"/>
    <w:rsid w:val="00A010D1"/>
    <w:rsid w:val="00A01AAB"/>
    <w:rsid w:val="00A01B38"/>
    <w:rsid w:val="00A01C69"/>
    <w:rsid w:val="00A01F96"/>
    <w:rsid w:val="00A01F9E"/>
    <w:rsid w:val="00A01FB5"/>
    <w:rsid w:val="00A0203B"/>
    <w:rsid w:val="00A0226F"/>
    <w:rsid w:val="00A02315"/>
    <w:rsid w:val="00A02502"/>
    <w:rsid w:val="00A03361"/>
    <w:rsid w:val="00A037E0"/>
    <w:rsid w:val="00A03BBC"/>
    <w:rsid w:val="00A03EF4"/>
    <w:rsid w:val="00A04409"/>
    <w:rsid w:val="00A04715"/>
    <w:rsid w:val="00A04EA4"/>
    <w:rsid w:val="00A04EAD"/>
    <w:rsid w:val="00A051D9"/>
    <w:rsid w:val="00A05258"/>
    <w:rsid w:val="00A0528A"/>
    <w:rsid w:val="00A05743"/>
    <w:rsid w:val="00A0583C"/>
    <w:rsid w:val="00A05DB7"/>
    <w:rsid w:val="00A05F4D"/>
    <w:rsid w:val="00A06029"/>
    <w:rsid w:val="00A062C0"/>
    <w:rsid w:val="00A06B88"/>
    <w:rsid w:val="00A06DAC"/>
    <w:rsid w:val="00A06DEF"/>
    <w:rsid w:val="00A06E16"/>
    <w:rsid w:val="00A0702F"/>
    <w:rsid w:val="00A0756A"/>
    <w:rsid w:val="00A075CB"/>
    <w:rsid w:val="00A0765D"/>
    <w:rsid w:val="00A07BF5"/>
    <w:rsid w:val="00A07EA2"/>
    <w:rsid w:val="00A1036F"/>
    <w:rsid w:val="00A1039D"/>
    <w:rsid w:val="00A104D4"/>
    <w:rsid w:val="00A10C24"/>
    <w:rsid w:val="00A10F87"/>
    <w:rsid w:val="00A11371"/>
    <w:rsid w:val="00A11A74"/>
    <w:rsid w:val="00A11C87"/>
    <w:rsid w:val="00A11DC4"/>
    <w:rsid w:val="00A1238C"/>
    <w:rsid w:val="00A123E2"/>
    <w:rsid w:val="00A123F7"/>
    <w:rsid w:val="00A125D4"/>
    <w:rsid w:val="00A12814"/>
    <w:rsid w:val="00A1289E"/>
    <w:rsid w:val="00A12E09"/>
    <w:rsid w:val="00A1335E"/>
    <w:rsid w:val="00A133D3"/>
    <w:rsid w:val="00A137CD"/>
    <w:rsid w:val="00A13979"/>
    <w:rsid w:val="00A13B46"/>
    <w:rsid w:val="00A13C1A"/>
    <w:rsid w:val="00A1436A"/>
    <w:rsid w:val="00A1452F"/>
    <w:rsid w:val="00A14C88"/>
    <w:rsid w:val="00A15225"/>
    <w:rsid w:val="00A15314"/>
    <w:rsid w:val="00A1551F"/>
    <w:rsid w:val="00A156B7"/>
    <w:rsid w:val="00A16232"/>
    <w:rsid w:val="00A16277"/>
    <w:rsid w:val="00A1628C"/>
    <w:rsid w:val="00A1628F"/>
    <w:rsid w:val="00A164F6"/>
    <w:rsid w:val="00A16780"/>
    <w:rsid w:val="00A168B8"/>
    <w:rsid w:val="00A16BD0"/>
    <w:rsid w:val="00A16D04"/>
    <w:rsid w:val="00A16E6C"/>
    <w:rsid w:val="00A17387"/>
    <w:rsid w:val="00A17575"/>
    <w:rsid w:val="00A1774F"/>
    <w:rsid w:val="00A179BB"/>
    <w:rsid w:val="00A17AB4"/>
    <w:rsid w:val="00A17CEF"/>
    <w:rsid w:val="00A17F51"/>
    <w:rsid w:val="00A2051A"/>
    <w:rsid w:val="00A20705"/>
    <w:rsid w:val="00A20A52"/>
    <w:rsid w:val="00A21485"/>
    <w:rsid w:val="00A21632"/>
    <w:rsid w:val="00A219A5"/>
    <w:rsid w:val="00A21CD6"/>
    <w:rsid w:val="00A21EED"/>
    <w:rsid w:val="00A22463"/>
    <w:rsid w:val="00A22566"/>
    <w:rsid w:val="00A23780"/>
    <w:rsid w:val="00A23A8D"/>
    <w:rsid w:val="00A2420E"/>
    <w:rsid w:val="00A2473A"/>
    <w:rsid w:val="00A251AD"/>
    <w:rsid w:val="00A251E9"/>
    <w:rsid w:val="00A25274"/>
    <w:rsid w:val="00A252CB"/>
    <w:rsid w:val="00A255FA"/>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27DF3"/>
    <w:rsid w:val="00A30044"/>
    <w:rsid w:val="00A30055"/>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170"/>
    <w:rsid w:val="00A33981"/>
    <w:rsid w:val="00A33A73"/>
    <w:rsid w:val="00A33D72"/>
    <w:rsid w:val="00A3404E"/>
    <w:rsid w:val="00A340B8"/>
    <w:rsid w:val="00A341E5"/>
    <w:rsid w:val="00A34357"/>
    <w:rsid w:val="00A348B7"/>
    <w:rsid w:val="00A3493E"/>
    <w:rsid w:val="00A34D9B"/>
    <w:rsid w:val="00A3512E"/>
    <w:rsid w:val="00A35798"/>
    <w:rsid w:val="00A35B65"/>
    <w:rsid w:val="00A36383"/>
    <w:rsid w:val="00A3652A"/>
    <w:rsid w:val="00A36896"/>
    <w:rsid w:val="00A36B99"/>
    <w:rsid w:val="00A36D63"/>
    <w:rsid w:val="00A37131"/>
    <w:rsid w:val="00A3759B"/>
    <w:rsid w:val="00A37625"/>
    <w:rsid w:val="00A3776B"/>
    <w:rsid w:val="00A37B50"/>
    <w:rsid w:val="00A37C6A"/>
    <w:rsid w:val="00A400DE"/>
    <w:rsid w:val="00A40140"/>
    <w:rsid w:val="00A4045B"/>
    <w:rsid w:val="00A40B43"/>
    <w:rsid w:val="00A40EB4"/>
    <w:rsid w:val="00A40FA7"/>
    <w:rsid w:val="00A411D6"/>
    <w:rsid w:val="00A41200"/>
    <w:rsid w:val="00A41221"/>
    <w:rsid w:val="00A4158B"/>
    <w:rsid w:val="00A416D9"/>
    <w:rsid w:val="00A41D73"/>
    <w:rsid w:val="00A42478"/>
    <w:rsid w:val="00A42ACE"/>
    <w:rsid w:val="00A42E84"/>
    <w:rsid w:val="00A42EDC"/>
    <w:rsid w:val="00A43218"/>
    <w:rsid w:val="00A43439"/>
    <w:rsid w:val="00A43760"/>
    <w:rsid w:val="00A43D06"/>
    <w:rsid w:val="00A43E50"/>
    <w:rsid w:val="00A43EC5"/>
    <w:rsid w:val="00A43F0C"/>
    <w:rsid w:val="00A441B7"/>
    <w:rsid w:val="00A4441C"/>
    <w:rsid w:val="00A444DE"/>
    <w:rsid w:val="00A445B6"/>
    <w:rsid w:val="00A446F5"/>
    <w:rsid w:val="00A44827"/>
    <w:rsid w:val="00A44950"/>
    <w:rsid w:val="00A44DAB"/>
    <w:rsid w:val="00A452EA"/>
    <w:rsid w:val="00A453C1"/>
    <w:rsid w:val="00A4630B"/>
    <w:rsid w:val="00A463F1"/>
    <w:rsid w:val="00A46FDA"/>
    <w:rsid w:val="00A47A01"/>
    <w:rsid w:val="00A47A79"/>
    <w:rsid w:val="00A47B30"/>
    <w:rsid w:val="00A47C4D"/>
    <w:rsid w:val="00A47F29"/>
    <w:rsid w:val="00A50273"/>
    <w:rsid w:val="00A50420"/>
    <w:rsid w:val="00A50CDA"/>
    <w:rsid w:val="00A51099"/>
    <w:rsid w:val="00A51197"/>
    <w:rsid w:val="00A51520"/>
    <w:rsid w:val="00A51BD9"/>
    <w:rsid w:val="00A52352"/>
    <w:rsid w:val="00A52952"/>
    <w:rsid w:val="00A529B6"/>
    <w:rsid w:val="00A52CF5"/>
    <w:rsid w:val="00A52D2F"/>
    <w:rsid w:val="00A52F10"/>
    <w:rsid w:val="00A53117"/>
    <w:rsid w:val="00A53283"/>
    <w:rsid w:val="00A532CD"/>
    <w:rsid w:val="00A532EE"/>
    <w:rsid w:val="00A53363"/>
    <w:rsid w:val="00A5364A"/>
    <w:rsid w:val="00A54152"/>
    <w:rsid w:val="00A542BF"/>
    <w:rsid w:val="00A54337"/>
    <w:rsid w:val="00A546BB"/>
    <w:rsid w:val="00A54721"/>
    <w:rsid w:val="00A54734"/>
    <w:rsid w:val="00A54DFD"/>
    <w:rsid w:val="00A552CB"/>
    <w:rsid w:val="00A55566"/>
    <w:rsid w:val="00A55636"/>
    <w:rsid w:val="00A557B7"/>
    <w:rsid w:val="00A55985"/>
    <w:rsid w:val="00A55A34"/>
    <w:rsid w:val="00A55A6F"/>
    <w:rsid w:val="00A55AC7"/>
    <w:rsid w:val="00A563BC"/>
    <w:rsid w:val="00A56893"/>
    <w:rsid w:val="00A569EB"/>
    <w:rsid w:val="00A56CB4"/>
    <w:rsid w:val="00A570E0"/>
    <w:rsid w:val="00A572B9"/>
    <w:rsid w:val="00A5744F"/>
    <w:rsid w:val="00A577BA"/>
    <w:rsid w:val="00A57B63"/>
    <w:rsid w:val="00A57C17"/>
    <w:rsid w:val="00A57C9A"/>
    <w:rsid w:val="00A601B2"/>
    <w:rsid w:val="00A60208"/>
    <w:rsid w:val="00A60378"/>
    <w:rsid w:val="00A6050F"/>
    <w:rsid w:val="00A609F7"/>
    <w:rsid w:val="00A61061"/>
    <w:rsid w:val="00A614E6"/>
    <w:rsid w:val="00A6176F"/>
    <w:rsid w:val="00A61850"/>
    <w:rsid w:val="00A61CEB"/>
    <w:rsid w:val="00A62164"/>
    <w:rsid w:val="00A622C8"/>
    <w:rsid w:val="00A62300"/>
    <w:rsid w:val="00A623E3"/>
    <w:rsid w:val="00A6256C"/>
    <w:rsid w:val="00A62822"/>
    <w:rsid w:val="00A62E8B"/>
    <w:rsid w:val="00A63264"/>
    <w:rsid w:val="00A6388F"/>
    <w:rsid w:val="00A63B97"/>
    <w:rsid w:val="00A63BFB"/>
    <w:rsid w:val="00A63C97"/>
    <w:rsid w:val="00A64162"/>
    <w:rsid w:val="00A64168"/>
    <w:rsid w:val="00A641EB"/>
    <w:rsid w:val="00A64482"/>
    <w:rsid w:val="00A644F3"/>
    <w:rsid w:val="00A64C98"/>
    <w:rsid w:val="00A64D6B"/>
    <w:rsid w:val="00A64E21"/>
    <w:rsid w:val="00A65007"/>
    <w:rsid w:val="00A6530F"/>
    <w:rsid w:val="00A65381"/>
    <w:rsid w:val="00A65511"/>
    <w:rsid w:val="00A65711"/>
    <w:rsid w:val="00A659B6"/>
    <w:rsid w:val="00A65A23"/>
    <w:rsid w:val="00A65F29"/>
    <w:rsid w:val="00A66135"/>
    <w:rsid w:val="00A66144"/>
    <w:rsid w:val="00A66326"/>
    <w:rsid w:val="00A663ED"/>
    <w:rsid w:val="00A66498"/>
    <w:rsid w:val="00A66657"/>
    <w:rsid w:val="00A6673D"/>
    <w:rsid w:val="00A668B6"/>
    <w:rsid w:val="00A66E13"/>
    <w:rsid w:val="00A67287"/>
    <w:rsid w:val="00A6729E"/>
    <w:rsid w:val="00A674B1"/>
    <w:rsid w:val="00A675C8"/>
    <w:rsid w:val="00A67A2E"/>
    <w:rsid w:val="00A67C33"/>
    <w:rsid w:val="00A67F98"/>
    <w:rsid w:val="00A67FA8"/>
    <w:rsid w:val="00A67FB9"/>
    <w:rsid w:val="00A700A5"/>
    <w:rsid w:val="00A70296"/>
    <w:rsid w:val="00A70318"/>
    <w:rsid w:val="00A70334"/>
    <w:rsid w:val="00A704F9"/>
    <w:rsid w:val="00A70573"/>
    <w:rsid w:val="00A705EF"/>
    <w:rsid w:val="00A707E1"/>
    <w:rsid w:val="00A70AB1"/>
    <w:rsid w:val="00A70B34"/>
    <w:rsid w:val="00A71284"/>
    <w:rsid w:val="00A713DA"/>
    <w:rsid w:val="00A71409"/>
    <w:rsid w:val="00A71446"/>
    <w:rsid w:val="00A715CE"/>
    <w:rsid w:val="00A717A5"/>
    <w:rsid w:val="00A71A9C"/>
    <w:rsid w:val="00A71AA7"/>
    <w:rsid w:val="00A72B28"/>
    <w:rsid w:val="00A72E24"/>
    <w:rsid w:val="00A73B7E"/>
    <w:rsid w:val="00A73DB7"/>
    <w:rsid w:val="00A73DBA"/>
    <w:rsid w:val="00A73F96"/>
    <w:rsid w:val="00A742B5"/>
    <w:rsid w:val="00A748A7"/>
    <w:rsid w:val="00A74962"/>
    <w:rsid w:val="00A74A0B"/>
    <w:rsid w:val="00A74C02"/>
    <w:rsid w:val="00A7502A"/>
    <w:rsid w:val="00A75421"/>
    <w:rsid w:val="00A75642"/>
    <w:rsid w:val="00A75E9E"/>
    <w:rsid w:val="00A75EF4"/>
    <w:rsid w:val="00A761E2"/>
    <w:rsid w:val="00A762A2"/>
    <w:rsid w:val="00A7634B"/>
    <w:rsid w:val="00A765F0"/>
    <w:rsid w:val="00A765FF"/>
    <w:rsid w:val="00A76687"/>
    <w:rsid w:val="00A76C49"/>
    <w:rsid w:val="00A76E0A"/>
    <w:rsid w:val="00A76FEA"/>
    <w:rsid w:val="00A773BC"/>
    <w:rsid w:val="00A77605"/>
    <w:rsid w:val="00A776DF"/>
    <w:rsid w:val="00A7777E"/>
    <w:rsid w:val="00A77E5D"/>
    <w:rsid w:val="00A77F76"/>
    <w:rsid w:val="00A80227"/>
    <w:rsid w:val="00A8081B"/>
    <w:rsid w:val="00A80D4C"/>
    <w:rsid w:val="00A80DEF"/>
    <w:rsid w:val="00A8162E"/>
    <w:rsid w:val="00A81CE7"/>
    <w:rsid w:val="00A81D04"/>
    <w:rsid w:val="00A82372"/>
    <w:rsid w:val="00A82962"/>
    <w:rsid w:val="00A82B8B"/>
    <w:rsid w:val="00A82CC4"/>
    <w:rsid w:val="00A82E68"/>
    <w:rsid w:val="00A8311D"/>
    <w:rsid w:val="00A835CE"/>
    <w:rsid w:val="00A8398C"/>
    <w:rsid w:val="00A83D83"/>
    <w:rsid w:val="00A83FAC"/>
    <w:rsid w:val="00A841E9"/>
    <w:rsid w:val="00A84544"/>
    <w:rsid w:val="00A84BB7"/>
    <w:rsid w:val="00A85100"/>
    <w:rsid w:val="00A85B6D"/>
    <w:rsid w:val="00A85D01"/>
    <w:rsid w:val="00A85DAE"/>
    <w:rsid w:val="00A85F0F"/>
    <w:rsid w:val="00A8602A"/>
    <w:rsid w:val="00A8620B"/>
    <w:rsid w:val="00A865EA"/>
    <w:rsid w:val="00A865EB"/>
    <w:rsid w:val="00A867A4"/>
    <w:rsid w:val="00A867B5"/>
    <w:rsid w:val="00A873D2"/>
    <w:rsid w:val="00A8762E"/>
    <w:rsid w:val="00A87672"/>
    <w:rsid w:val="00A87CAC"/>
    <w:rsid w:val="00A87D34"/>
    <w:rsid w:val="00A87D8C"/>
    <w:rsid w:val="00A87E61"/>
    <w:rsid w:val="00A90789"/>
    <w:rsid w:val="00A9082F"/>
    <w:rsid w:val="00A909B0"/>
    <w:rsid w:val="00A90B34"/>
    <w:rsid w:val="00A90DF6"/>
    <w:rsid w:val="00A9112D"/>
    <w:rsid w:val="00A91341"/>
    <w:rsid w:val="00A91422"/>
    <w:rsid w:val="00A919D2"/>
    <w:rsid w:val="00A92847"/>
    <w:rsid w:val="00A92D2C"/>
    <w:rsid w:val="00A93086"/>
    <w:rsid w:val="00A93610"/>
    <w:rsid w:val="00A938E9"/>
    <w:rsid w:val="00A93A4C"/>
    <w:rsid w:val="00A93D55"/>
    <w:rsid w:val="00A93EE3"/>
    <w:rsid w:val="00A940F0"/>
    <w:rsid w:val="00A94355"/>
    <w:rsid w:val="00A9487F"/>
    <w:rsid w:val="00A94946"/>
    <w:rsid w:val="00A94F21"/>
    <w:rsid w:val="00A94FE7"/>
    <w:rsid w:val="00A956BA"/>
    <w:rsid w:val="00A95A9E"/>
    <w:rsid w:val="00A95DFB"/>
    <w:rsid w:val="00A95FCA"/>
    <w:rsid w:val="00A96C02"/>
    <w:rsid w:val="00A97081"/>
    <w:rsid w:val="00A972ED"/>
    <w:rsid w:val="00A97892"/>
    <w:rsid w:val="00AA0424"/>
    <w:rsid w:val="00AA04F2"/>
    <w:rsid w:val="00AA0892"/>
    <w:rsid w:val="00AA0B61"/>
    <w:rsid w:val="00AA0CD3"/>
    <w:rsid w:val="00AA120B"/>
    <w:rsid w:val="00AA1332"/>
    <w:rsid w:val="00AA18F4"/>
    <w:rsid w:val="00AA2109"/>
    <w:rsid w:val="00AA25E2"/>
    <w:rsid w:val="00AA26B5"/>
    <w:rsid w:val="00AA285F"/>
    <w:rsid w:val="00AA2E7E"/>
    <w:rsid w:val="00AA30AA"/>
    <w:rsid w:val="00AA3276"/>
    <w:rsid w:val="00AA3601"/>
    <w:rsid w:val="00AA3898"/>
    <w:rsid w:val="00AA3C1E"/>
    <w:rsid w:val="00AA3C5A"/>
    <w:rsid w:val="00AA4394"/>
    <w:rsid w:val="00AA441C"/>
    <w:rsid w:val="00AA4898"/>
    <w:rsid w:val="00AA4A3A"/>
    <w:rsid w:val="00AA4A91"/>
    <w:rsid w:val="00AA4CA1"/>
    <w:rsid w:val="00AA4D43"/>
    <w:rsid w:val="00AA5355"/>
    <w:rsid w:val="00AA5382"/>
    <w:rsid w:val="00AA5537"/>
    <w:rsid w:val="00AA5957"/>
    <w:rsid w:val="00AA5C5C"/>
    <w:rsid w:val="00AA5D12"/>
    <w:rsid w:val="00AA5DDF"/>
    <w:rsid w:val="00AA5F8F"/>
    <w:rsid w:val="00AA64EB"/>
    <w:rsid w:val="00AA69E0"/>
    <w:rsid w:val="00AA6B81"/>
    <w:rsid w:val="00AA6D82"/>
    <w:rsid w:val="00AA6FAC"/>
    <w:rsid w:val="00AA7306"/>
    <w:rsid w:val="00AA73F3"/>
    <w:rsid w:val="00AA791E"/>
    <w:rsid w:val="00AA7B70"/>
    <w:rsid w:val="00AA7BBD"/>
    <w:rsid w:val="00AA7FB6"/>
    <w:rsid w:val="00AB01EA"/>
    <w:rsid w:val="00AB03F5"/>
    <w:rsid w:val="00AB0789"/>
    <w:rsid w:val="00AB0D59"/>
    <w:rsid w:val="00AB0EDC"/>
    <w:rsid w:val="00AB11B3"/>
    <w:rsid w:val="00AB13A6"/>
    <w:rsid w:val="00AB13E6"/>
    <w:rsid w:val="00AB1722"/>
    <w:rsid w:val="00AB1762"/>
    <w:rsid w:val="00AB180F"/>
    <w:rsid w:val="00AB1938"/>
    <w:rsid w:val="00AB1DA4"/>
    <w:rsid w:val="00AB1F24"/>
    <w:rsid w:val="00AB230C"/>
    <w:rsid w:val="00AB2596"/>
    <w:rsid w:val="00AB26CD"/>
    <w:rsid w:val="00AB27DE"/>
    <w:rsid w:val="00AB29B1"/>
    <w:rsid w:val="00AB2FFE"/>
    <w:rsid w:val="00AB30A9"/>
    <w:rsid w:val="00AB31D2"/>
    <w:rsid w:val="00AB32F8"/>
    <w:rsid w:val="00AB3A28"/>
    <w:rsid w:val="00AB3A4B"/>
    <w:rsid w:val="00AB3ADA"/>
    <w:rsid w:val="00AB3D3A"/>
    <w:rsid w:val="00AB3E28"/>
    <w:rsid w:val="00AB458D"/>
    <w:rsid w:val="00AB45AB"/>
    <w:rsid w:val="00AB467D"/>
    <w:rsid w:val="00AB496B"/>
    <w:rsid w:val="00AB4CCA"/>
    <w:rsid w:val="00AB4CEE"/>
    <w:rsid w:val="00AB4DE3"/>
    <w:rsid w:val="00AB5025"/>
    <w:rsid w:val="00AB52B0"/>
    <w:rsid w:val="00AB546E"/>
    <w:rsid w:val="00AB5472"/>
    <w:rsid w:val="00AB54E1"/>
    <w:rsid w:val="00AB575B"/>
    <w:rsid w:val="00AB5B3E"/>
    <w:rsid w:val="00AB5B72"/>
    <w:rsid w:val="00AB5CDA"/>
    <w:rsid w:val="00AB6864"/>
    <w:rsid w:val="00AB68A1"/>
    <w:rsid w:val="00AB6F92"/>
    <w:rsid w:val="00AB7601"/>
    <w:rsid w:val="00AB7B2F"/>
    <w:rsid w:val="00AB7C7B"/>
    <w:rsid w:val="00AB7D95"/>
    <w:rsid w:val="00AC0309"/>
    <w:rsid w:val="00AC0450"/>
    <w:rsid w:val="00AC075A"/>
    <w:rsid w:val="00AC0C37"/>
    <w:rsid w:val="00AC1154"/>
    <w:rsid w:val="00AC14AA"/>
    <w:rsid w:val="00AC1611"/>
    <w:rsid w:val="00AC20A0"/>
    <w:rsid w:val="00AC2267"/>
    <w:rsid w:val="00AC2728"/>
    <w:rsid w:val="00AC2A20"/>
    <w:rsid w:val="00AC3B1D"/>
    <w:rsid w:val="00AC402F"/>
    <w:rsid w:val="00AC45DD"/>
    <w:rsid w:val="00AC48E2"/>
    <w:rsid w:val="00AC496D"/>
    <w:rsid w:val="00AC4B40"/>
    <w:rsid w:val="00AC4CF3"/>
    <w:rsid w:val="00AC50A1"/>
    <w:rsid w:val="00AC5100"/>
    <w:rsid w:val="00AC5209"/>
    <w:rsid w:val="00AC59B6"/>
    <w:rsid w:val="00AC5C3E"/>
    <w:rsid w:val="00AC5CF4"/>
    <w:rsid w:val="00AC61DC"/>
    <w:rsid w:val="00AC64AF"/>
    <w:rsid w:val="00AC6630"/>
    <w:rsid w:val="00AC6737"/>
    <w:rsid w:val="00AC6C6E"/>
    <w:rsid w:val="00AC6D0B"/>
    <w:rsid w:val="00AC6E55"/>
    <w:rsid w:val="00AC74EE"/>
    <w:rsid w:val="00AC7523"/>
    <w:rsid w:val="00AC79EA"/>
    <w:rsid w:val="00AD0448"/>
    <w:rsid w:val="00AD0BD5"/>
    <w:rsid w:val="00AD0F70"/>
    <w:rsid w:val="00AD11D9"/>
    <w:rsid w:val="00AD1278"/>
    <w:rsid w:val="00AD142B"/>
    <w:rsid w:val="00AD193F"/>
    <w:rsid w:val="00AD1973"/>
    <w:rsid w:val="00AD1A21"/>
    <w:rsid w:val="00AD1A48"/>
    <w:rsid w:val="00AD1C4B"/>
    <w:rsid w:val="00AD239D"/>
    <w:rsid w:val="00AD2850"/>
    <w:rsid w:val="00AD337C"/>
    <w:rsid w:val="00AD37CF"/>
    <w:rsid w:val="00AD38C7"/>
    <w:rsid w:val="00AD3A2D"/>
    <w:rsid w:val="00AD3C15"/>
    <w:rsid w:val="00AD3C36"/>
    <w:rsid w:val="00AD3DED"/>
    <w:rsid w:val="00AD42CD"/>
    <w:rsid w:val="00AD4591"/>
    <w:rsid w:val="00AD48D2"/>
    <w:rsid w:val="00AD4FED"/>
    <w:rsid w:val="00AD512E"/>
    <w:rsid w:val="00AD5581"/>
    <w:rsid w:val="00AD5EDC"/>
    <w:rsid w:val="00AD5F12"/>
    <w:rsid w:val="00AD66BF"/>
    <w:rsid w:val="00AD690F"/>
    <w:rsid w:val="00AD699A"/>
    <w:rsid w:val="00AD69C3"/>
    <w:rsid w:val="00AD7284"/>
    <w:rsid w:val="00AD72B4"/>
    <w:rsid w:val="00AD7528"/>
    <w:rsid w:val="00AE013F"/>
    <w:rsid w:val="00AE0555"/>
    <w:rsid w:val="00AE0638"/>
    <w:rsid w:val="00AE064E"/>
    <w:rsid w:val="00AE069B"/>
    <w:rsid w:val="00AE0CD0"/>
    <w:rsid w:val="00AE0EA3"/>
    <w:rsid w:val="00AE0FA5"/>
    <w:rsid w:val="00AE13FA"/>
    <w:rsid w:val="00AE1451"/>
    <w:rsid w:val="00AE1C04"/>
    <w:rsid w:val="00AE1D24"/>
    <w:rsid w:val="00AE1DFB"/>
    <w:rsid w:val="00AE2079"/>
    <w:rsid w:val="00AE25A7"/>
    <w:rsid w:val="00AE26A4"/>
    <w:rsid w:val="00AE27A5"/>
    <w:rsid w:val="00AE29C5"/>
    <w:rsid w:val="00AE29E8"/>
    <w:rsid w:val="00AE2EB9"/>
    <w:rsid w:val="00AE2F8A"/>
    <w:rsid w:val="00AE3117"/>
    <w:rsid w:val="00AE3764"/>
    <w:rsid w:val="00AE3928"/>
    <w:rsid w:val="00AE3C5C"/>
    <w:rsid w:val="00AE41B3"/>
    <w:rsid w:val="00AE41E2"/>
    <w:rsid w:val="00AE4529"/>
    <w:rsid w:val="00AE4852"/>
    <w:rsid w:val="00AE511E"/>
    <w:rsid w:val="00AE54E9"/>
    <w:rsid w:val="00AE5C37"/>
    <w:rsid w:val="00AE5DC7"/>
    <w:rsid w:val="00AE64B4"/>
    <w:rsid w:val="00AE661F"/>
    <w:rsid w:val="00AE6833"/>
    <w:rsid w:val="00AE68FF"/>
    <w:rsid w:val="00AE6BEB"/>
    <w:rsid w:val="00AE7064"/>
    <w:rsid w:val="00AE70FA"/>
    <w:rsid w:val="00AE727A"/>
    <w:rsid w:val="00AE72A6"/>
    <w:rsid w:val="00AE7593"/>
    <w:rsid w:val="00AE7758"/>
    <w:rsid w:val="00AF0089"/>
    <w:rsid w:val="00AF009F"/>
    <w:rsid w:val="00AF0265"/>
    <w:rsid w:val="00AF06A2"/>
    <w:rsid w:val="00AF0846"/>
    <w:rsid w:val="00AF0D3E"/>
    <w:rsid w:val="00AF105D"/>
    <w:rsid w:val="00AF1CB7"/>
    <w:rsid w:val="00AF2014"/>
    <w:rsid w:val="00AF20BD"/>
    <w:rsid w:val="00AF21BA"/>
    <w:rsid w:val="00AF25B3"/>
    <w:rsid w:val="00AF2AAE"/>
    <w:rsid w:val="00AF2AEE"/>
    <w:rsid w:val="00AF2B49"/>
    <w:rsid w:val="00AF2B4E"/>
    <w:rsid w:val="00AF2CEC"/>
    <w:rsid w:val="00AF2EE2"/>
    <w:rsid w:val="00AF31D7"/>
    <w:rsid w:val="00AF38A5"/>
    <w:rsid w:val="00AF3CA2"/>
    <w:rsid w:val="00AF3CE0"/>
    <w:rsid w:val="00AF3ED2"/>
    <w:rsid w:val="00AF4322"/>
    <w:rsid w:val="00AF43D4"/>
    <w:rsid w:val="00AF4D35"/>
    <w:rsid w:val="00AF4FDC"/>
    <w:rsid w:val="00AF54F6"/>
    <w:rsid w:val="00AF5951"/>
    <w:rsid w:val="00AF596A"/>
    <w:rsid w:val="00AF5A09"/>
    <w:rsid w:val="00AF5C0D"/>
    <w:rsid w:val="00AF5D53"/>
    <w:rsid w:val="00AF5DB8"/>
    <w:rsid w:val="00AF67D7"/>
    <w:rsid w:val="00AF68D2"/>
    <w:rsid w:val="00AF6A2D"/>
    <w:rsid w:val="00AF6C84"/>
    <w:rsid w:val="00AF7430"/>
    <w:rsid w:val="00AF7A20"/>
    <w:rsid w:val="00AF7ACB"/>
    <w:rsid w:val="00AF7BB6"/>
    <w:rsid w:val="00B0017D"/>
    <w:rsid w:val="00B002F9"/>
    <w:rsid w:val="00B00452"/>
    <w:rsid w:val="00B0079E"/>
    <w:rsid w:val="00B00885"/>
    <w:rsid w:val="00B00986"/>
    <w:rsid w:val="00B00CEB"/>
    <w:rsid w:val="00B010C1"/>
    <w:rsid w:val="00B01133"/>
    <w:rsid w:val="00B0164B"/>
    <w:rsid w:val="00B01668"/>
    <w:rsid w:val="00B01C7D"/>
    <w:rsid w:val="00B01CA6"/>
    <w:rsid w:val="00B02208"/>
    <w:rsid w:val="00B02A43"/>
    <w:rsid w:val="00B02B5D"/>
    <w:rsid w:val="00B02BA6"/>
    <w:rsid w:val="00B02D8A"/>
    <w:rsid w:val="00B02EC3"/>
    <w:rsid w:val="00B030F9"/>
    <w:rsid w:val="00B036F9"/>
    <w:rsid w:val="00B03875"/>
    <w:rsid w:val="00B03B51"/>
    <w:rsid w:val="00B03B7C"/>
    <w:rsid w:val="00B03C65"/>
    <w:rsid w:val="00B03CAA"/>
    <w:rsid w:val="00B03E98"/>
    <w:rsid w:val="00B04019"/>
    <w:rsid w:val="00B04111"/>
    <w:rsid w:val="00B04298"/>
    <w:rsid w:val="00B042D0"/>
    <w:rsid w:val="00B04623"/>
    <w:rsid w:val="00B0474C"/>
    <w:rsid w:val="00B0485C"/>
    <w:rsid w:val="00B04963"/>
    <w:rsid w:val="00B050F4"/>
    <w:rsid w:val="00B05276"/>
    <w:rsid w:val="00B0528A"/>
    <w:rsid w:val="00B0567C"/>
    <w:rsid w:val="00B056C1"/>
    <w:rsid w:val="00B05896"/>
    <w:rsid w:val="00B05A2A"/>
    <w:rsid w:val="00B05DFC"/>
    <w:rsid w:val="00B06046"/>
    <w:rsid w:val="00B065B6"/>
    <w:rsid w:val="00B06792"/>
    <w:rsid w:val="00B0707C"/>
    <w:rsid w:val="00B07835"/>
    <w:rsid w:val="00B07DBE"/>
    <w:rsid w:val="00B10146"/>
    <w:rsid w:val="00B10661"/>
    <w:rsid w:val="00B106B5"/>
    <w:rsid w:val="00B106E8"/>
    <w:rsid w:val="00B107AC"/>
    <w:rsid w:val="00B1082D"/>
    <w:rsid w:val="00B10837"/>
    <w:rsid w:val="00B109B4"/>
    <w:rsid w:val="00B10CA5"/>
    <w:rsid w:val="00B1102B"/>
    <w:rsid w:val="00B1183D"/>
    <w:rsid w:val="00B12150"/>
    <w:rsid w:val="00B122E6"/>
    <w:rsid w:val="00B12623"/>
    <w:rsid w:val="00B126B8"/>
    <w:rsid w:val="00B12710"/>
    <w:rsid w:val="00B12C72"/>
    <w:rsid w:val="00B13107"/>
    <w:rsid w:val="00B1322D"/>
    <w:rsid w:val="00B1330F"/>
    <w:rsid w:val="00B13493"/>
    <w:rsid w:val="00B13551"/>
    <w:rsid w:val="00B13938"/>
    <w:rsid w:val="00B13C95"/>
    <w:rsid w:val="00B14065"/>
    <w:rsid w:val="00B144D1"/>
    <w:rsid w:val="00B14AD6"/>
    <w:rsid w:val="00B14C87"/>
    <w:rsid w:val="00B14E01"/>
    <w:rsid w:val="00B1527D"/>
    <w:rsid w:val="00B1589F"/>
    <w:rsid w:val="00B159C3"/>
    <w:rsid w:val="00B15D76"/>
    <w:rsid w:val="00B163E9"/>
    <w:rsid w:val="00B16617"/>
    <w:rsid w:val="00B166F3"/>
    <w:rsid w:val="00B16918"/>
    <w:rsid w:val="00B16BF6"/>
    <w:rsid w:val="00B17186"/>
    <w:rsid w:val="00B1767B"/>
    <w:rsid w:val="00B1787D"/>
    <w:rsid w:val="00B17BDC"/>
    <w:rsid w:val="00B17C98"/>
    <w:rsid w:val="00B17FD0"/>
    <w:rsid w:val="00B20097"/>
    <w:rsid w:val="00B20857"/>
    <w:rsid w:val="00B209EA"/>
    <w:rsid w:val="00B20FA4"/>
    <w:rsid w:val="00B21082"/>
    <w:rsid w:val="00B212DA"/>
    <w:rsid w:val="00B21439"/>
    <w:rsid w:val="00B21DAC"/>
    <w:rsid w:val="00B21E2D"/>
    <w:rsid w:val="00B22805"/>
    <w:rsid w:val="00B22A34"/>
    <w:rsid w:val="00B22A63"/>
    <w:rsid w:val="00B22F79"/>
    <w:rsid w:val="00B23460"/>
    <w:rsid w:val="00B2356D"/>
    <w:rsid w:val="00B235E8"/>
    <w:rsid w:val="00B23A2C"/>
    <w:rsid w:val="00B23C24"/>
    <w:rsid w:val="00B24145"/>
    <w:rsid w:val="00B241C7"/>
    <w:rsid w:val="00B24496"/>
    <w:rsid w:val="00B24504"/>
    <w:rsid w:val="00B246EE"/>
    <w:rsid w:val="00B24880"/>
    <w:rsid w:val="00B24CAB"/>
    <w:rsid w:val="00B24FB4"/>
    <w:rsid w:val="00B2591C"/>
    <w:rsid w:val="00B25C24"/>
    <w:rsid w:val="00B26993"/>
    <w:rsid w:val="00B26EBA"/>
    <w:rsid w:val="00B27867"/>
    <w:rsid w:val="00B27BF9"/>
    <w:rsid w:val="00B27DBF"/>
    <w:rsid w:val="00B27EE6"/>
    <w:rsid w:val="00B3069A"/>
    <w:rsid w:val="00B3069C"/>
    <w:rsid w:val="00B307C9"/>
    <w:rsid w:val="00B309D3"/>
    <w:rsid w:val="00B30B4D"/>
    <w:rsid w:val="00B3108D"/>
    <w:rsid w:val="00B313D4"/>
    <w:rsid w:val="00B3170F"/>
    <w:rsid w:val="00B317B7"/>
    <w:rsid w:val="00B318C6"/>
    <w:rsid w:val="00B3197B"/>
    <w:rsid w:val="00B31AF8"/>
    <w:rsid w:val="00B31EF0"/>
    <w:rsid w:val="00B31F10"/>
    <w:rsid w:val="00B3257C"/>
    <w:rsid w:val="00B32707"/>
    <w:rsid w:val="00B32F48"/>
    <w:rsid w:val="00B3340A"/>
    <w:rsid w:val="00B34384"/>
    <w:rsid w:val="00B3444A"/>
    <w:rsid w:val="00B34679"/>
    <w:rsid w:val="00B3480E"/>
    <w:rsid w:val="00B34ABB"/>
    <w:rsid w:val="00B34FEE"/>
    <w:rsid w:val="00B35196"/>
    <w:rsid w:val="00B35393"/>
    <w:rsid w:val="00B356C1"/>
    <w:rsid w:val="00B356EF"/>
    <w:rsid w:val="00B357AD"/>
    <w:rsid w:val="00B35975"/>
    <w:rsid w:val="00B35C7E"/>
    <w:rsid w:val="00B35F6E"/>
    <w:rsid w:val="00B36145"/>
    <w:rsid w:val="00B36529"/>
    <w:rsid w:val="00B367A8"/>
    <w:rsid w:val="00B36DEA"/>
    <w:rsid w:val="00B37023"/>
    <w:rsid w:val="00B370AB"/>
    <w:rsid w:val="00B37570"/>
    <w:rsid w:val="00B3773B"/>
    <w:rsid w:val="00B37A29"/>
    <w:rsid w:val="00B37A4C"/>
    <w:rsid w:val="00B37ACB"/>
    <w:rsid w:val="00B37C07"/>
    <w:rsid w:val="00B37C5F"/>
    <w:rsid w:val="00B37E07"/>
    <w:rsid w:val="00B402EF"/>
    <w:rsid w:val="00B4033B"/>
    <w:rsid w:val="00B403C5"/>
    <w:rsid w:val="00B403F4"/>
    <w:rsid w:val="00B40547"/>
    <w:rsid w:val="00B409E4"/>
    <w:rsid w:val="00B40ED1"/>
    <w:rsid w:val="00B410F2"/>
    <w:rsid w:val="00B41423"/>
    <w:rsid w:val="00B4149D"/>
    <w:rsid w:val="00B41A92"/>
    <w:rsid w:val="00B41D84"/>
    <w:rsid w:val="00B41E18"/>
    <w:rsid w:val="00B42047"/>
    <w:rsid w:val="00B422DC"/>
    <w:rsid w:val="00B4231A"/>
    <w:rsid w:val="00B4250A"/>
    <w:rsid w:val="00B4298F"/>
    <w:rsid w:val="00B42A8F"/>
    <w:rsid w:val="00B43325"/>
    <w:rsid w:val="00B43331"/>
    <w:rsid w:val="00B43580"/>
    <w:rsid w:val="00B43CCB"/>
    <w:rsid w:val="00B4437E"/>
    <w:rsid w:val="00B44764"/>
    <w:rsid w:val="00B4537F"/>
    <w:rsid w:val="00B45AEE"/>
    <w:rsid w:val="00B45B4F"/>
    <w:rsid w:val="00B45EC0"/>
    <w:rsid w:val="00B465F0"/>
    <w:rsid w:val="00B465FB"/>
    <w:rsid w:val="00B46E27"/>
    <w:rsid w:val="00B46EA6"/>
    <w:rsid w:val="00B46F08"/>
    <w:rsid w:val="00B471B6"/>
    <w:rsid w:val="00B47B5A"/>
    <w:rsid w:val="00B47FCE"/>
    <w:rsid w:val="00B501AF"/>
    <w:rsid w:val="00B50375"/>
    <w:rsid w:val="00B50426"/>
    <w:rsid w:val="00B50595"/>
    <w:rsid w:val="00B507BF"/>
    <w:rsid w:val="00B50C4E"/>
    <w:rsid w:val="00B5113A"/>
    <w:rsid w:val="00B51358"/>
    <w:rsid w:val="00B51680"/>
    <w:rsid w:val="00B51974"/>
    <w:rsid w:val="00B52463"/>
    <w:rsid w:val="00B53983"/>
    <w:rsid w:val="00B543AD"/>
    <w:rsid w:val="00B54709"/>
    <w:rsid w:val="00B54A57"/>
    <w:rsid w:val="00B55228"/>
    <w:rsid w:val="00B55654"/>
    <w:rsid w:val="00B5568E"/>
    <w:rsid w:val="00B55B7F"/>
    <w:rsid w:val="00B55C95"/>
    <w:rsid w:val="00B55D79"/>
    <w:rsid w:val="00B55E76"/>
    <w:rsid w:val="00B561B1"/>
    <w:rsid w:val="00B56219"/>
    <w:rsid w:val="00B562BD"/>
    <w:rsid w:val="00B5640A"/>
    <w:rsid w:val="00B564B4"/>
    <w:rsid w:val="00B56646"/>
    <w:rsid w:val="00B566D3"/>
    <w:rsid w:val="00B56722"/>
    <w:rsid w:val="00B5675B"/>
    <w:rsid w:val="00B56A31"/>
    <w:rsid w:val="00B56A96"/>
    <w:rsid w:val="00B56CD9"/>
    <w:rsid w:val="00B56CF8"/>
    <w:rsid w:val="00B56DB2"/>
    <w:rsid w:val="00B56F56"/>
    <w:rsid w:val="00B573EA"/>
    <w:rsid w:val="00B575F4"/>
    <w:rsid w:val="00B57822"/>
    <w:rsid w:val="00B578BA"/>
    <w:rsid w:val="00B57DAB"/>
    <w:rsid w:val="00B57EEF"/>
    <w:rsid w:val="00B6010D"/>
    <w:rsid w:val="00B6013E"/>
    <w:rsid w:val="00B6021B"/>
    <w:rsid w:val="00B603E2"/>
    <w:rsid w:val="00B61054"/>
    <w:rsid w:val="00B61459"/>
    <w:rsid w:val="00B61C06"/>
    <w:rsid w:val="00B61E76"/>
    <w:rsid w:val="00B61E8F"/>
    <w:rsid w:val="00B61EA8"/>
    <w:rsid w:val="00B623E1"/>
    <w:rsid w:val="00B6243A"/>
    <w:rsid w:val="00B62556"/>
    <w:rsid w:val="00B625ED"/>
    <w:rsid w:val="00B6368B"/>
    <w:rsid w:val="00B6388C"/>
    <w:rsid w:val="00B63932"/>
    <w:rsid w:val="00B63B44"/>
    <w:rsid w:val="00B63D84"/>
    <w:rsid w:val="00B63FE7"/>
    <w:rsid w:val="00B63FEB"/>
    <w:rsid w:val="00B64058"/>
    <w:rsid w:val="00B64069"/>
    <w:rsid w:val="00B643C1"/>
    <w:rsid w:val="00B64425"/>
    <w:rsid w:val="00B644E3"/>
    <w:rsid w:val="00B649DF"/>
    <w:rsid w:val="00B65015"/>
    <w:rsid w:val="00B6501F"/>
    <w:rsid w:val="00B65685"/>
    <w:rsid w:val="00B6580F"/>
    <w:rsid w:val="00B65BBB"/>
    <w:rsid w:val="00B65BD7"/>
    <w:rsid w:val="00B6639B"/>
    <w:rsid w:val="00B664B6"/>
    <w:rsid w:val="00B66540"/>
    <w:rsid w:val="00B66797"/>
    <w:rsid w:val="00B66828"/>
    <w:rsid w:val="00B66D4B"/>
    <w:rsid w:val="00B66E22"/>
    <w:rsid w:val="00B6795F"/>
    <w:rsid w:val="00B67A96"/>
    <w:rsid w:val="00B67B1E"/>
    <w:rsid w:val="00B67BA8"/>
    <w:rsid w:val="00B67CAE"/>
    <w:rsid w:val="00B67D4B"/>
    <w:rsid w:val="00B67D81"/>
    <w:rsid w:val="00B67DD1"/>
    <w:rsid w:val="00B703B3"/>
    <w:rsid w:val="00B70436"/>
    <w:rsid w:val="00B70AE4"/>
    <w:rsid w:val="00B710E1"/>
    <w:rsid w:val="00B7147F"/>
    <w:rsid w:val="00B71BC1"/>
    <w:rsid w:val="00B71CFF"/>
    <w:rsid w:val="00B72587"/>
    <w:rsid w:val="00B72C0A"/>
    <w:rsid w:val="00B72F2B"/>
    <w:rsid w:val="00B731CE"/>
    <w:rsid w:val="00B732BC"/>
    <w:rsid w:val="00B73A4C"/>
    <w:rsid w:val="00B73D9E"/>
    <w:rsid w:val="00B73E7F"/>
    <w:rsid w:val="00B73EDF"/>
    <w:rsid w:val="00B742D2"/>
    <w:rsid w:val="00B745D7"/>
    <w:rsid w:val="00B745F5"/>
    <w:rsid w:val="00B74909"/>
    <w:rsid w:val="00B74910"/>
    <w:rsid w:val="00B74BE6"/>
    <w:rsid w:val="00B74F2E"/>
    <w:rsid w:val="00B75886"/>
    <w:rsid w:val="00B75906"/>
    <w:rsid w:val="00B76180"/>
    <w:rsid w:val="00B76223"/>
    <w:rsid w:val="00B766D0"/>
    <w:rsid w:val="00B76AA1"/>
    <w:rsid w:val="00B76B3C"/>
    <w:rsid w:val="00B76BD4"/>
    <w:rsid w:val="00B76D7C"/>
    <w:rsid w:val="00B76E5D"/>
    <w:rsid w:val="00B76F4E"/>
    <w:rsid w:val="00B771E2"/>
    <w:rsid w:val="00B772B3"/>
    <w:rsid w:val="00B77505"/>
    <w:rsid w:val="00B778E3"/>
    <w:rsid w:val="00B80489"/>
    <w:rsid w:val="00B8057B"/>
    <w:rsid w:val="00B8062F"/>
    <w:rsid w:val="00B808C3"/>
    <w:rsid w:val="00B80F50"/>
    <w:rsid w:val="00B811B5"/>
    <w:rsid w:val="00B814A1"/>
    <w:rsid w:val="00B81A1A"/>
    <w:rsid w:val="00B81A95"/>
    <w:rsid w:val="00B81BEE"/>
    <w:rsid w:val="00B81C28"/>
    <w:rsid w:val="00B81DE0"/>
    <w:rsid w:val="00B82456"/>
    <w:rsid w:val="00B82460"/>
    <w:rsid w:val="00B824E4"/>
    <w:rsid w:val="00B82694"/>
    <w:rsid w:val="00B827C8"/>
    <w:rsid w:val="00B832E1"/>
    <w:rsid w:val="00B83A12"/>
    <w:rsid w:val="00B83E2C"/>
    <w:rsid w:val="00B84011"/>
    <w:rsid w:val="00B84232"/>
    <w:rsid w:val="00B84739"/>
    <w:rsid w:val="00B84C2E"/>
    <w:rsid w:val="00B852C4"/>
    <w:rsid w:val="00B854A8"/>
    <w:rsid w:val="00B85544"/>
    <w:rsid w:val="00B85867"/>
    <w:rsid w:val="00B85B53"/>
    <w:rsid w:val="00B85D0D"/>
    <w:rsid w:val="00B85ECC"/>
    <w:rsid w:val="00B86144"/>
    <w:rsid w:val="00B861F1"/>
    <w:rsid w:val="00B86992"/>
    <w:rsid w:val="00B869DA"/>
    <w:rsid w:val="00B86B70"/>
    <w:rsid w:val="00B86CD7"/>
    <w:rsid w:val="00B86D8E"/>
    <w:rsid w:val="00B87BA1"/>
    <w:rsid w:val="00B87CEB"/>
    <w:rsid w:val="00B90529"/>
    <w:rsid w:val="00B90BDB"/>
    <w:rsid w:val="00B90F72"/>
    <w:rsid w:val="00B91023"/>
    <w:rsid w:val="00B91579"/>
    <w:rsid w:val="00B915A7"/>
    <w:rsid w:val="00B917BE"/>
    <w:rsid w:val="00B918AD"/>
    <w:rsid w:val="00B91D8C"/>
    <w:rsid w:val="00B92678"/>
    <w:rsid w:val="00B92C44"/>
    <w:rsid w:val="00B9323F"/>
    <w:rsid w:val="00B93292"/>
    <w:rsid w:val="00B935CD"/>
    <w:rsid w:val="00B93706"/>
    <w:rsid w:val="00B93A08"/>
    <w:rsid w:val="00B93ADB"/>
    <w:rsid w:val="00B93B0B"/>
    <w:rsid w:val="00B93B11"/>
    <w:rsid w:val="00B93BAB"/>
    <w:rsid w:val="00B93F3A"/>
    <w:rsid w:val="00B940E4"/>
    <w:rsid w:val="00B944A3"/>
    <w:rsid w:val="00B944BE"/>
    <w:rsid w:val="00B945A8"/>
    <w:rsid w:val="00B94907"/>
    <w:rsid w:val="00B94999"/>
    <w:rsid w:val="00B94EE3"/>
    <w:rsid w:val="00B950E6"/>
    <w:rsid w:val="00B95115"/>
    <w:rsid w:val="00B95202"/>
    <w:rsid w:val="00B95ECC"/>
    <w:rsid w:val="00B95FA2"/>
    <w:rsid w:val="00B964AE"/>
    <w:rsid w:val="00B969B7"/>
    <w:rsid w:val="00B96E2C"/>
    <w:rsid w:val="00B971F5"/>
    <w:rsid w:val="00B97353"/>
    <w:rsid w:val="00B97466"/>
    <w:rsid w:val="00B9797D"/>
    <w:rsid w:val="00B97C51"/>
    <w:rsid w:val="00BA01E2"/>
    <w:rsid w:val="00BA0259"/>
    <w:rsid w:val="00BA025A"/>
    <w:rsid w:val="00BA0949"/>
    <w:rsid w:val="00BA0BE3"/>
    <w:rsid w:val="00BA0E0C"/>
    <w:rsid w:val="00BA13EB"/>
    <w:rsid w:val="00BA1750"/>
    <w:rsid w:val="00BA17B6"/>
    <w:rsid w:val="00BA18DD"/>
    <w:rsid w:val="00BA193C"/>
    <w:rsid w:val="00BA1A5C"/>
    <w:rsid w:val="00BA23A3"/>
    <w:rsid w:val="00BA242F"/>
    <w:rsid w:val="00BA244B"/>
    <w:rsid w:val="00BA264F"/>
    <w:rsid w:val="00BA2A2E"/>
    <w:rsid w:val="00BA2A98"/>
    <w:rsid w:val="00BA2BFD"/>
    <w:rsid w:val="00BA2F9F"/>
    <w:rsid w:val="00BA3044"/>
    <w:rsid w:val="00BA3858"/>
    <w:rsid w:val="00BA3E9C"/>
    <w:rsid w:val="00BA3F29"/>
    <w:rsid w:val="00BA410D"/>
    <w:rsid w:val="00BA41D6"/>
    <w:rsid w:val="00BA4EF6"/>
    <w:rsid w:val="00BA56A2"/>
    <w:rsid w:val="00BA5739"/>
    <w:rsid w:val="00BA5E19"/>
    <w:rsid w:val="00BA603A"/>
    <w:rsid w:val="00BA6050"/>
    <w:rsid w:val="00BA615C"/>
    <w:rsid w:val="00BA65BD"/>
    <w:rsid w:val="00BA66FE"/>
    <w:rsid w:val="00BA6C66"/>
    <w:rsid w:val="00BA7126"/>
    <w:rsid w:val="00BA7179"/>
    <w:rsid w:val="00BA7216"/>
    <w:rsid w:val="00BA72BD"/>
    <w:rsid w:val="00BA792E"/>
    <w:rsid w:val="00BA7AD3"/>
    <w:rsid w:val="00BA7F2E"/>
    <w:rsid w:val="00BB00CA"/>
    <w:rsid w:val="00BB010F"/>
    <w:rsid w:val="00BB035B"/>
    <w:rsid w:val="00BB067C"/>
    <w:rsid w:val="00BB082E"/>
    <w:rsid w:val="00BB08A7"/>
    <w:rsid w:val="00BB0C24"/>
    <w:rsid w:val="00BB0C8A"/>
    <w:rsid w:val="00BB0C8E"/>
    <w:rsid w:val="00BB0CD2"/>
    <w:rsid w:val="00BB0DD3"/>
    <w:rsid w:val="00BB0F17"/>
    <w:rsid w:val="00BB112C"/>
    <w:rsid w:val="00BB1811"/>
    <w:rsid w:val="00BB20D4"/>
    <w:rsid w:val="00BB248C"/>
    <w:rsid w:val="00BB290E"/>
    <w:rsid w:val="00BB2D2B"/>
    <w:rsid w:val="00BB2E17"/>
    <w:rsid w:val="00BB37F7"/>
    <w:rsid w:val="00BB3AE2"/>
    <w:rsid w:val="00BB4532"/>
    <w:rsid w:val="00BB498B"/>
    <w:rsid w:val="00BB4BBE"/>
    <w:rsid w:val="00BB4CFB"/>
    <w:rsid w:val="00BB4E1B"/>
    <w:rsid w:val="00BB5250"/>
    <w:rsid w:val="00BB562B"/>
    <w:rsid w:val="00BB5998"/>
    <w:rsid w:val="00BB60B4"/>
    <w:rsid w:val="00BB676C"/>
    <w:rsid w:val="00BB68DC"/>
    <w:rsid w:val="00BB6A15"/>
    <w:rsid w:val="00BB6E1B"/>
    <w:rsid w:val="00BB732D"/>
    <w:rsid w:val="00BB7802"/>
    <w:rsid w:val="00BB7B7B"/>
    <w:rsid w:val="00BB7D73"/>
    <w:rsid w:val="00BB7FA2"/>
    <w:rsid w:val="00BC0376"/>
    <w:rsid w:val="00BC03B3"/>
    <w:rsid w:val="00BC0483"/>
    <w:rsid w:val="00BC0508"/>
    <w:rsid w:val="00BC0549"/>
    <w:rsid w:val="00BC0729"/>
    <w:rsid w:val="00BC074D"/>
    <w:rsid w:val="00BC0E25"/>
    <w:rsid w:val="00BC1025"/>
    <w:rsid w:val="00BC1257"/>
    <w:rsid w:val="00BC1676"/>
    <w:rsid w:val="00BC19D9"/>
    <w:rsid w:val="00BC1A14"/>
    <w:rsid w:val="00BC1E34"/>
    <w:rsid w:val="00BC1FD3"/>
    <w:rsid w:val="00BC2192"/>
    <w:rsid w:val="00BC22F6"/>
    <w:rsid w:val="00BC24A7"/>
    <w:rsid w:val="00BC2B06"/>
    <w:rsid w:val="00BC2C17"/>
    <w:rsid w:val="00BC2F45"/>
    <w:rsid w:val="00BC3C0A"/>
    <w:rsid w:val="00BC3E40"/>
    <w:rsid w:val="00BC4D7A"/>
    <w:rsid w:val="00BC554B"/>
    <w:rsid w:val="00BC55CB"/>
    <w:rsid w:val="00BC560A"/>
    <w:rsid w:val="00BC59A7"/>
    <w:rsid w:val="00BC5EFD"/>
    <w:rsid w:val="00BC6607"/>
    <w:rsid w:val="00BC66BD"/>
    <w:rsid w:val="00BC6731"/>
    <w:rsid w:val="00BC6BBA"/>
    <w:rsid w:val="00BC6D53"/>
    <w:rsid w:val="00BC7268"/>
    <w:rsid w:val="00BC72D2"/>
    <w:rsid w:val="00BC7534"/>
    <w:rsid w:val="00BC756A"/>
    <w:rsid w:val="00BD0309"/>
    <w:rsid w:val="00BD03F1"/>
    <w:rsid w:val="00BD05AC"/>
    <w:rsid w:val="00BD065C"/>
    <w:rsid w:val="00BD0959"/>
    <w:rsid w:val="00BD0BAE"/>
    <w:rsid w:val="00BD0BB7"/>
    <w:rsid w:val="00BD0D23"/>
    <w:rsid w:val="00BD0E8D"/>
    <w:rsid w:val="00BD10E8"/>
    <w:rsid w:val="00BD1408"/>
    <w:rsid w:val="00BD147A"/>
    <w:rsid w:val="00BD1AEA"/>
    <w:rsid w:val="00BD1C72"/>
    <w:rsid w:val="00BD1D4E"/>
    <w:rsid w:val="00BD259C"/>
    <w:rsid w:val="00BD27EF"/>
    <w:rsid w:val="00BD2C22"/>
    <w:rsid w:val="00BD2E08"/>
    <w:rsid w:val="00BD31E5"/>
    <w:rsid w:val="00BD321B"/>
    <w:rsid w:val="00BD34FD"/>
    <w:rsid w:val="00BD365C"/>
    <w:rsid w:val="00BD39CF"/>
    <w:rsid w:val="00BD3F1B"/>
    <w:rsid w:val="00BD3F94"/>
    <w:rsid w:val="00BD409C"/>
    <w:rsid w:val="00BD4305"/>
    <w:rsid w:val="00BD4A57"/>
    <w:rsid w:val="00BD5128"/>
    <w:rsid w:val="00BD51BD"/>
    <w:rsid w:val="00BD51DF"/>
    <w:rsid w:val="00BD51F3"/>
    <w:rsid w:val="00BD5362"/>
    <w:rsid w:val="00BD5424"/>
    <w:rsid w:val="00BD567C"/>
    <w:rsid w:val="00BD569E"/>
    <w:rsid w:val="00BD5A75"/>
    <w:rsid w:val="00BD5C64"/>
    <w:rsid w:val="00BD6038"/>
    <w:rsid w:val="00BD65BD"/>
    <w:rsid w:val="00BD6842"/>
    <w:rsid w:val="00BD6CD0"/>
    <w:rsid w:val="00BD6CEF"/>
    <w:rsid w:val="00BD73F6"/>
    <w:rsid w:val="00BD7767"/>
    <w:rsid w:val="00BD78F2"/>
    <w:rsid w:val="00BD7D8E"/>
    <w:rsid w:val="00BD7E96"/>
    <w:rsid w:val="00BE003B"/>
    <w:rsid w:val="00BE0411"/>
    <w:rsid w:val="00BE0AA1"/>
    <w:rsid w:val="00BE0D81"/>
    <w:rsid w:val="00BE1242"/>
    <w:rsid w:val="00BE129B"/>
    <w:rsid w:val="00BE16D7"/>
    <w:rsid w:val="00BE1725"/>
    <w:rsid w:val="00BE1927"/>
    <w:rsid w:val="00BE1979"/>
    <w:rsid w:val="00BE2109"/>
    <w:rsid w:val="00BE2619"/>
    <w:rsid w:val="00BE2674"/>
    <w:rsid w:val="00BE2DDF"/>
    <w:rsid w:val="00BE2DF1"/>
    <w:rsid w:val="00BE380C"/>
    <w:rsid w:val="00BE40E2"/>
    <w:rsid w:val="00BE42A5"/>
    <w:rsid w:val="00BE4322"/>
    <w:rsid w:val="00BE447E"/>
    <w:rsid w:val="00BE4884"/>
    <w:rsid w:val="00BE4914"/>
    <w:rsid w:val="00BE4AFD"/>
    <w:rsid w:val="00BE4D20"/>
    <w:rsid w:val="00BE4D52"/>
    <w:rsid w:val="00BE4F71"/>
    <w:rsid w:val="00BE582D"/>
    <w:rsid w:val="00BE59C0"/>
    <w:rsid w:val="00BE625F"/>
    <w:rsid w:val="00BE6639"/>
    <w:rsid w:val="00BE66BA"/>
    <w:rsid w:val="00BE683A"/>
    <w:rsid w:val="00BE6A7D"/>
    <w:rsid w:val="00BE6EFA"/>
    <w:rsid w:val="00BE7036"/>
    <w:rsid w:val="00BE70CA"/>
    <w:rsid w:val="00BE71EF"/>
    <w:rsid w:val="00BE7258"/>
    <w:rsid w:val="00BE777C"/>
    <w:rsid w:val="00BE78CA"/>
    <w:rsid w:val="00BE7974"/>
    <w:rsid w:val="00BF017F"/>
    <w:rsid w:val="00BF041A"/>
    <w:rsid w:val="00BF07C9"/>
    <w:rsid w:val="00BF080C"/>
    <w:rsid w:val="00BF0FCE"/>
    <w:rsid w:val="00BF126F"/>
    <w:rsid w:val="00BF1739"/>
    <w:rsid w:val="00BF1A95"/>
    <w:rsid w:val="00BF1B65"/>
    <w:rsid w:val="00BF1D2B"/>
    <w:rsid w:val="00BF1E21"/>
    <w:rsid w:val="00BF22C0"/>
    <w:rsid w:val="00BF22F1"/>
    <w:rsid w:val="00BF2606"/>
    <w:rsid w:val="00BF2D00"/>
    <w:rsid w:val="00BF30AC"/>
    <w:rsid w:val="00BF33BB"/>
    <w:rsid w:val="00BF347E"/>
    <w:rsid w:val="00BF36A4"/>
    <w:rsid w:val="00BF38F0"/>
    <w:rsid w:val="00BF3F63"/>
    <w:rsid w:val="00BF3FE5"/>
    <w:rsid w:val="00BF4320"/>
    <w:rsid w:val="00BF4916"/>
    <w:rsid w:val="00BF4A1B"/>
    <w:rsid w:val="00BF4ACC"/>
    <w:rsid w:val="00BF4F75"/>
    <w:rsid w:val="00BF56ED"/>
    <w:rsid w:val="00BF5803"/>
    <w:rsid w:val="00BF5804"/>
    <w:rsid w:val="00BF5988"/>
    <w:rsid w:val="00BF5B30"/>
    <w:rsid w:val="00BF5B7C"/>
    <w:rsid w:val="00BF5CBF"/>
    <w:rsid w:val="00BF6097"/>
    <w:rsid w:val="00BF63D9"/>
    <w:rsid w:val="00BF6BEF"/>
    <w:rsid w:val="00BF6F59"/>
    <w:rsid w:val="00BF7300"/>
    <w:rsid w:val="00BF7CF6"/>
    <w:rsid w:val="00C00307"/>
    <w:rsid w:val="00C00323"/>
    <w:rsid w:val="00C00575"/>
    <w:rsid w:val="00C007A1"/>
    <w:rsid w:val="00C00814"/>
    <w:rsid w:val="00C0085A"/>
    <w:rsid w:val="00C0091E"/>
    <w:rsid w:val="00C00B2E"/>
    <w:rsid w:val="00C00B7D"/>
    <w:rsid w:val="00C018A1"/>
    <w:rsid w:val="00C0190E"/>
    <w:rsid w:val="00C022AD"/>
    <w:rsid w:val="00C022CC"/>
    <w:rsid w:val="00C02348"/>
    <w:rsid w:val="00C02993"/>
    <w:rsid w:val="00C02BC3"/>
    <w:rsid w:val="00C03003"/>
    <w:rsid w:val="00C033B1"/>
    <w:rsid w:val="00C0359F"/>
    <w:rsid w:val="00C035B0"/>
    <w:rsid w:val="00C036C7"/>
    <w:rsid w:val="00C036FA"/>
    <w:rsid w:val="00C03C30"/>
    <w:rsid w:val="00C04508"/>
    <w:rsid w:val="00C04856"/>
    <w:rsid w:val="00C04984"/>
    <w:rsid w:val="00C049B9"/>
    <w:rsid w:val="00C049DE"/>
    <w:rsid w:val="00C050C8"/>
    <w:rsid w:val="00C052AD"/>
    <w:rsid w:val="00C0538B"/>
    <w:rsid w:val="00C0571C"/>
    <w:rsid w:val="00C05B9F"/>
    <w:rsid w:val="00C05CE6"/>
    <w:rsid w:val="00C05DF9"/>
    <w:rsid w:val="00C05E28"/>
    <w:rsid w:val="00C05E69"/>
    <w:rsid w:val="00C05FEE"/>
    <w:rsid w:val="00C065BF"/>
    <w:rsid w:val="00C06D7A"/>
    <w:rsid w:val="00C07585"/>
    <w:rsid w:val="00C07605"/>
    <w:rsid w:val="00C076FB"/>
    <w:rsid w:val="00C079AD"/>
    <w:rsid w:val="00C07CD0"/>
    <w:rsid w:val="00C07DB2"/>
    <w:rsid w:val="00C07E49"/>
    <w:rsid w:val="00C100C5"/>
    <w:rsid w:val="00C1021E"/>
    <w:rsid w:val="00C10739"/>
    <w:rsid w:val="00C11047"/>
    <w:rsid w:val="00C11126"/>
    <w:rsid w:val="00C111A1"/>
    <w:rsid w:val="00C111B0"/>
    <w:rsid w:val="00C11D8B"/>
    <w:rsid w:val="00C11DBF"/>
    <w:rsid w:val="00C12894"/>
    <w:rsid w:val="00C12BC1"/>
    <w:rsid w:val="00C12DD5"/>
    <w:rsid w:val="00C1308A"/>
    <w:rsid w:val="00C13996"/>
    <w:rsid w:val="00C13B3A"/>
    <w:rsid w:val="00C14099"/>
    <w:rsid w:val="00C146EB"/>
    <w:rsid w:val="00C147FB"/>
    <w:rsid w:val="00C14D7B"/>
    <w:rsid w:val="00C157FA"/>
    <w:rsid w:val="00C15A7F"/>
    <w:rsid w:val="00C15C02"/>
    <w:rsid w:val="00C15DEE"/>
    <w:rsid w:val="00C15EC5"/>
    <w:rsid w:val="00C16099"/>
    <w:rsid w:val="00C1643B"/>
    <w:rsid w:val="00C1650D"/>
    <w:rsid w:val="00C166B8"/>
    <w:rsid w:val="00C16A3F"/>
    <w:rsid w:val="00C16D1F"/>
    <w:rsid w:val="00C16E5A"/>
    <w:rsid w:val="00C16E7B"/>
    <w:rsid w:val="00C174B1"/>
    <w:rsid w:val="00C1777D"/>
    <w:rsid w:val="00C17B21"/>
    <w:rsid w:val="00C20735"/>
    <w:rsid w:val="00C20768"/>
    <w:rsid w:val="00C208DA"/>
    <w:rsid w:val="00C209D3"/>
    <w:rsid w:val="00C210A4"/>
    <w:rsid w:val="00C210B8"/>
    <w:rsid w:val="00C212BB"/>
    <w:rsid w:val="00C215F3"/>
    <w:rsid w:val="00C21731"/>
    <w:rsid w:val="00C21B34"/>
    <w:rsid w:val="00C21B40"/>
    <w:rsid w:val="00C21DB7"/>
    <w:rsid w:val="00C21E58"/>
    <w:rsid w:val="00C2206D"/>
    <w:rsid w:val="00C22731"/>
    <w:rsid w:val="00C227F0"/>
    <w:rsid w:val="00C22FD0"/>
    <w:rsid w:val="00C2334E"/>
    <w:rsid w:val="00C23450"/>
    <w:rsid w:val="00C23AEE"/>
    <w:rsid w:val="00C24353"/>
    <w:rsid w:val="00C249DF"/>
    <w:rsid w:val="00C24CED"/>
    <w:rsid w:val="00C24FE3"/>
    <w:rsid w:val="00C252B3"/>
    <w:rsid w:val="00C25395"/>
    <w:rsid w:val="00C256D0"/>
    <w:rsid w:val="00C25867"/>
    <w:rsid w:val="00C25E1A"/>
    <w:rsid w:val="00C25E21"/>
    <w:rsid w:val="00C261A7"/>
    <w:rsid w:val="00C262F4"/>
    <w:rsid w:val="00C265E7"/>
    <w:rsid w:val="00C266DD"/>
    <w:rsid w:val="00C269CB"/>
    <w:rsid w:val="00C26A10"/>
    <w:rsid w:val="00C26BB0"/>
    <w:rsid w:val="00C26EF7"/>
    <w:rsid w:val="00C26FCF"/>
    <w:rsid w:val="00C27442"/>
    <w:rsid w:val="00C27E76"/>
    <w:rsid w:val="00C30A72"/>
    <w:rsid w:val="00C30AAF"/>
    <w:rsid w:val="00C30AB5"/>
    <w:rsid w:val="00C30B07"/>
    <w:rsid w:val="00C30CF1"/>
    <w:rsid w:val="00C312A5"/>
    <w:rsid w:val="00C3148E"/>
    <w:rsid w:val="00C3170A"/>
    <w:rsid w:val="00C31716"/>
    <w:rsid w:val="00C31717"/>
    <w:rsid w:val="00C31972"/>
    <w:rsid w:val="00C31D58"/>
    <w:rsid w:val="00C32AF2"/>
    <w:rsid w:val="00C32D3A"/>
    <w:rsid w:val="00C32F4E"/>
    <w:rsid w:val="00C32FAF"/>
    <w:rsid w:val="00C331E9"/>
    <w:rsid w:val="00C333DE"/>
    <w:rsid w:val="00C33412"/>
    <w:rsid w:val="00C3363A"/>
    <w:rsid w:val="00C33699"/>
    <w:rsid w:val="00C33994"/>
    <w:rsid w:val="00C33A92"/>
    <w:rsid w:val="00C33D3F"/>
    <w:rsid w:val="00C3467F"/>
    <w:rsid w:val="00C3476D"/>
    <w:rsid w:val="00C34C25"/>
    <w:rsid w:val="00C34D5C"/>
    <w:rsid w:val="00C34F0F"/>
    <w:rsid w:val="00C34FC3"/>
    <w:rsid w:val="00C34FF9"/>
    <w:rsid w:val="00C35055"/>
    <w:rsid w:val="00C350C9"/>
    <w:rsid w:val="00C3563B"/>
    <w:rsid w:val="00C35801"/>
    <w:rsid w:val="00C35ABA"/>
    <w:rsid w:val="00C36102"/>
    <w:rsid w:val="00C361EB"/>
    <w:rsid w:val="00C365C2"/>
    <w:rsid w:val="00C3660C"/>
    <w:rsid w:val="00C368B4"/>
    <w:rsid w:val="00C36A14"/>
    <w:rsid w:val="00C36E60"/>
    <w:rsid w:val="00C372E9"/>
    <w:rsid w:val="00C37423"/>
    <w:rsid w:val="00C374B9"/>
    <w:rsid w:val="00C3768E"/>
    <w:rsid w:val="00C379FD"/>
    <w:rsid w:val="00C37A49"/>
    <w:rsid w:val="00C37EEC"/>
    <w:rsid w:val="00C40508"/>
    <w:rsid w:val="00C40589"/>
    <w:rsid w:val="00C40AC9"/>
    <w:rsid w:val="00C40DB7"/>
    <w:rsid w:val="00C415F9"/>
    <w:rsid w:val="00C416EE"/>
    <w:rsid w:val="00C41FD9"/>
    <w:rsid w:val="00C4229B"/>
    <w:rsid w:val="00C4261C"/>
    <w:rsid w:val="00C42637"/>
    <w:rsid w:val="00C426BA"/>
    <w:rsid w:val="00C42C94"/>
    <w:rsid w:val="00C42D0F"/>
    <w:rsid w:val="00C42E50"/>
    <w:rsid w:val="00C4329E"/>
    <w:rsid w:val="00C4344A"/>
    <w:rsid w:val="00C4372C"/>
    <w:rsid w:val="00C438F3"/>
    <w:rsid w:val="00C43AF7"/>
    <w:rsid w:val="00C4419B"/>
    <w:rsid w:val="00C447EB"/>
    <w:rsid w:val="00C44C96"/>
    <w:rsid w:val="00C44D0E"/>
    <w:rsid w:val="00C45073"/>
    <w:rsid w:val="00C45456"/>
    <w:rsid w:val="00C45475"/>
    <w:rsid w:val="00C456D8"/>
    <w:rsid w:val="00C461C0"/>
    <w:rsid w:val="00C46299"/>
    <w:rsid w:val="00C464D8"/>
    <w:rsid w:val="00C46A05"/>
    <w:rsid w:val="00C46BF0"/>
    <w:rsid w:val="00C46F64"/>
    <w:rsid w:val="00C47B25"/>
    <w:rsid w:val="00C47D70"/>
    <w:rsid w:val="00C5004B"/>
    <w:rsid w:val="00C502A2"/>
    <w:rsid w:val="00C5030C"/>
    <w:rsid w:val="00C50382"/>
    <w:rsid w:val="00C504E9"/>
    <w:rsid w:val="00C508C3"/>
    <w:rsid w:val="00C50C99"/>
    <w:rsid w:val="00C50CE4"/>
    <w:rsid w:val="00C51070"/>
    <w:rsid w:val="00C5132D"/>
    <w:rsid w:val="00C514D8"/>
    <w:rsid w:val="00C51808"/>
    <w:rsid w:val="00C51986"/>
    <w:rsid w:val="00C51BA1"/>
    <w:rsid w:val="00C520E5"/>
    <w:rsid w:val="00C52318"/>
    <w:rsid w:val="00C52646"/>
    <w:rsid w:val="00C52F8E"/>
    <w:rsid w:val="00C5346A"/>
    <w:rsid w:val="00C53A7B"/>
    <w:rsid w:val="00C53AFB"/>
    <w:rsid w:val="00C53B61"/>
    <w:rsid w:val="00C53C2D"/>
    <w:rsid w:val="00C53CDB"/>
    <w:rsid w:val="00C53F3A"/>
    <w:rsid w:val="00C547D9"/>
    <w:rsid w:val="00C54A14"/>
    <w:rsid w:val="00C54B03"/>
    <w:rsid w:val="00C54D63"/>
    <w:rsid w:val="00C551EB"/>
    <w:rsid w:val="00C55267"/>
    <w:rsid w:val="00C55284"/>
    <w:rsid w:val="00C552A4"/>
    <w:rsid w:val="00C552C8"/>
    <w:rsid w:val="00C553D5"/>
    <w:rsid w:val="00C55510"/>
    <w:rsid w:val="00C555EE"/>
    <w:rsid w:val="00C558C7"/>
    <w:rsid w:val="00C55A37"/>
    <w:rsid w:val="00C55B0B"/>
    <w:rsid w:val="00C55D4B"/>
    <w:rsid w:val="00C55F8F"/>
    <w:rsid w:val="00C56043"/>
    <w:rsid w:val="00C567ED"/>
    <w:rsid w:val="00C5707E"/>
    <w:rsid w:val="00C572E6"/>
    <w:rsid w:val="00C57379"/>
    <w:rsid w:val="00C57912"/>
    <w:rsid w:val="00C60035"/>
    <w:rsid w:val="00C6068E"/>
    <w:rsid w:val="00C606F8"/>
    <w:rsid w:val="00C60867"/>
    <w:rsid w:val="00C60B5A"/>
    <w:rsid w:val="00C60BEF"/>
    <w:rsid w:val="00C60C36"/>
    <w:rsid w:val="00C60F1B"/>
    <w:rsid w:val="00C610AB"/>
    <w:rsid w:val="00C610D4"/>
    <w:rsid w:val="00C61288"/>
    <w:rsid w:val="00C61468"/>
    <w:rsid w:val="00C617C1"/>
    <w:rsid w:val="00C61A02"/>
    <w:rsid w:val="00C61FFC"/>
    <w:rsid w:val="00C62275"/>
    <w:rsid w:val="00C62861"/>
    <w:rsid w:val="00C62A8A"/>
    <w:rsid w:val="00C62AB5"/>
    <w:rsid w:val="00C62B89"/>
    <w:rsid w:val="00C62C79"/>
    <w:rsid w:val="00C62D42"/>
    <w:rsid w:val="00C62D64"/>
    <w:rsid w:val="00C62DCB"/>
    <w:rsid w:val="00C62E3B"/>
    <w:rsid w:val="00C63199"/>
    <w:rsid w:val="00C632FD"/>
    <w:rsid w:val="00C63398"/>
    <w:rsid w:val="00C63F5E"/>
    <w:rsid w:val="00C64B1F"/>
    <w:rsid w:val="00C64D7B"/>
    <w:rsid w:val="00C65255"/>
    <w:rsid w:val="00C654E1"/>
    <w:rsid w:val="00C657D0"/>
    <w:rsid w:val="00C657D9"/>
    <w:rsid w:val="00C65DEF"/>
    <w:rsid w:val="00C65E4A"/>
    <w:rsid w:val="00C6604A"/>
    <w:rsid w:val="00C66282"/>
    <w:rsid w:val="00C665B1"/>
    <w:rsid w:val="00C665EA"/>
    <w:rsid w:val="00C66753"/>
    <w:rsid w:val="00C6699E"/>
    <w:rsid w:val="00C669E6"/>
    <w:rsid w:val="00C66A2D"/>
    <w:rsid w:val="00C66FCA"/>
    <w:rsid w:val="00C6712F"/>
    <w:rsid w:val="00C6714A"/>
    <w:rsid w:val="00C6727A"/>
    <w:rsid w:val="00C67545"/>
    <w:rsid w:val="00C67AC0"/>
    <w:rsid w:val="00C67BB1"/>
    <w:rsid w:val="00C67FCA"/>
    <w:rsid w:val="00C70050"/>
    <w:rsid w:val="00C70352"/>
    <w:rsid w:val="00C70573"/>
    <w:rsid w:val="00C70735"/>
    <w:rsid w:val="00C70799"/>
    <w:rsid w:val="00C70828"/>
    <w:rsid w:val="00C7083E"/>
    <w:rsid w:val="00C7098A"/>
    <w:rsid w:val="00C7098C"/>
    <w:rsid w:val="00C70A60"/>
    <w:rsid w:val="00C70BC0"/>
    <w:rsid w:val="00C71878"/>
    <w:rsid w:val="00C719A8"/>
    <w:rsid w:val="00C71C39"/>
    <w:rsid w:val="00C71DAF"/>
    <w:rsid w:val="00C71FA7"/>
    <w:rsid w:val="00C72437"/>
    <w:rsid w:val="00C72643"/>
    <w:rsid w:val="00C72909"/>
    <w:rsid w:val="00C72E60"/>
    <w:rsid w:val="00C72F74"/>
    <w:rsid w:val="00C73340"/>
    <w:rsid w:val="00C734A0"/>
    <w:rsid w:val="00C736C0"/>
    <w:rsid w:val="00C73AD9"/>
    <w:rsid w:val="00C73B7F"/>
    <w:rsid w:val="00C73D4D"/>
    <w:rsid w:val="00C7402D"/>
    <w:rsid w:val="00C742D5"/>
    <w:rsid w:val="00C744F4"/>
    <w:rsid w:val="00C744FE"/>
    <w:rsid w:val="00C745F4"/>
    <w:rsid w:val="00C749EA"/>
    <w:rsid w:val="00C74EA7"/>
    <w:rsid w:val="00C75003"/>
    <w:rsid w:val="00C75148"/>
    <w:rsid w:val="00C755F4"/>
    <w:rsid w:val="00C75EC3"/>
    <w:rsid w:val="00C760BD"/>
    <w:rsid w:val="00C763EA"/>
    <w:rsid w:val="00C764E7"/>
    <w:rsid w:val="00C766C5"/>
    <w:rsid w:val="00C7689C"/>
    <w:rsid w:val="00C76CF8"/>
    <w:rsid w:val="00C76E32"/>
    <w:rsid w:val="00C77614"/>
    <w:rsid w:val="00C778DC"/>
    <w:rsid w:val="00C77965"/>
    <w:rsid w:val="00C779B6"/>
    <w:rsid w:val="00C77CD8"/>
    <w:rsid w:val="00C8008C"/>
    <w:rsid w:val="00C80434"/>
    <w:rsid w:val="00C808E1"/>
    <w:rsid w:val="00C808E2"/>
    <w:rsid w:val="00C80B7C"/>
    <w:rsid w:val="00C80C19"/>
    <w:rsid w:val="00C81240"/>
    <w:rsid w:val="00C812C4"/>
    <w:rsid w:val="00C81556"/>
    <w:rsid w:val="00C815A5"/>
    <w:rsid w:val="00C815C3"/>
    <w:rsid w:val="00C815C5"/>
    <w:rsid w:val="00C815EF"/>
    <w:rsid w:val="00C816B4"/>
    <w:rsid w:val="00C81822"/>
    <w:rsid w:val="00C8194D"/>
    <w:rsid w:val="00C81B28"/>
    <w:rsid w:val="00C8237E"/>
    <w:rsid w:val="00C827CB"/>
    <w:rsid w:val="00C828A4"/>
    <w:rsid w:val="00C829FB"/>
    <w:rsid w:val="00C82BFB"/>
    <w:rsid w:val="00C82C90"/>
    <w:rsid w:val="00C82E02"/>
    <w:rsid w:val="00C82FBA"/>
    <w:rsid w:val="00C83679"/>
    <w:rsid w:val="00C83AF8"/>
    <w:rsid w:val="00C83B14"/>
    <w:rsid w:val="00C83C02"/>
    <w:rsid w:val="00C84728"/>
    <w:rsid w:val="00C848AB"/>
    <w:rsid w:val="00C848D7"/>
    <w:rsid w:val="00C84BC9"/>
    <w:rsid w:val="00C84BFF"/>
    <w:rsid w:val="00C84E9D"/>
    <w:rsid w:val="00C85015"/>
    <w:rsid w:val="00C850E7"/>
    <w:rsid w:val="00C8542D"/>
    <w:rsid w:val="00C85609"/>
    <w:rsid w:val="00C85D61"/>
    <w:rsid w:val="00C86362"/>
    <w:rsid w:val="00C8666B"/>
    <w:rsid w:val="00C8696A"/>
    <w:rsid w:val="00C875DC"/>
    <w:rsid w:val="00C87690"/>
    <w:rsid w:val="00C905A3"/>
    <w:rsid w:val="00C906E1"/>
    <w:rsid w:val="00C90831"/>
    <w:rsid w:val="00C90CBA"/>
    <w:rsid w:val="00C90F3C"/>
    <w:rsid w:val="00C90F99"/>
    <w:rsid w:val="00C9100E"/>
    <w:rsid w:val="00C9120D"/>
    <w:rsid w:val="00C91934"/>
    <w:rsid w:val="00C919AE"/>
    <w:rsid w:val="00C91FC6"/>
    <w:rsid w:val="00C92088"/>
    <w:rsid w:val="00C921B8"/>
    <w:rsid w:val="00C9233C"/>
    <w:rsid w:val="00C924CF"/>
    <w:rsid w:val="00C924ED"/>
    <w:rsid w:val="00C926DA"/>
    <w:rsid w:val="00C92838"/>
    <w:rsid w:val="00C92AC3"/>
    <w:rsid w:val="00C93318"/>
    <w:rsid w:val="00C93645"/>
    <w:rsid w:val="00C937A8"/>
    <w:rsid w:val="00C93A8A"/>
    <w:rsid w:val="00C93B4B"/>
    <w:rsid w:val="00C94108"/>
    <w:rsid w:val="00C941F4"/>
    <w:rsid w:val="00C9455D"/>
    <w:rsid w:val="00C94A83"/>
    <w:rsid w:val="00C94ADC"/>
    <w:rsid w:val="00C94C02"/>
    <w:rsid w:val="00C94D00"/>
    <w:rsid w:val="00C94FF0"/>
    <w:rsid w:val="00C9536E"/>
    <w:rsid w:val="00C95557"/>
    <w:rsid w:val="00C95667"/>
    <w:rsid w:val="00C9587F"/>
    <w:rsid w:val="00C95E7F"/>
    <w:rsid w:val="00C963FC"/>
    <w:rsid w:val="00C96849"/>
    <w:rsid w:val="00C96B47"/>
    <w:rsid w:val="00C97440"/>
    <w:rsid w:val="00C97480"/>
    <w:rsid w:val="00C97582"/>
    <w:rsid w:val="00C977F0"/>
    <w:rsid w:val="00C97AD6"/>
    <w:rsid w:val="00C97C45"/>
    <w:rsid w:val="00C97D88"/>
    <w:rsid w:val="00C97D8B"/>
    <w:rsid w:val="00C97E21"/>
    <w:rsid w:val="00CA00AF"/>
    <w:rsid w:val="00CA038A"/>
    <w:rsid w:val="00CA06E1"/>
    <w:rsid w:val="00CA0779"/>
    <w:rsid w:val="00CA0FA2"/>
    <w:rsid w:val="00CA0FB8"/>
    <w:rsid w:val="00CA1419"/>
    <w:rsid w:val="00CA1B82"/>
    <w:rsid w:val="00CA1DBE"/>
    <w:rsid w:val="00CA22BE"/>
    <w:rsid w:val="00CA23B6"/>
    <w:rsid w:val="00CA25C0"/>
    <w:rsid w:val="00CA2C03"/>
    <w:rsid w:val="00CA33A0"/>
    <w:rsid w:val="00CA35BE"/>
    <w:rsid w:val="00CA40CA"/>
    <w:rsid w:val="00CA4273"/>
    <w:rsid w:val="00CA43B4"/>
    <w:rsid w:val="00CA449A"/>
    <w:rsid w:val="00CA4BC4"/>
    <w:rsid w:val="00CA51BF"/>
    <w:rsid w:val="00CA534F"/>
    <w:rsid w:val="00CA535E"/>
    <w:rsid w:val="00CA5361"/>
    <w:rsid w:val="00CA5597"/>
    <w:rsid w:val="00CA57B2"/>
    <w:rsid w:val="00CA57C1"/>
    <w:rsid w:val="00CA5E1F"/>
    <w:rsid w:val="00CA60D2"/>
    <w:rsid w:val="00CA6464"/>
    <w:rsid w:val="00CA653A"/>
    <w:rsid w:val="00CA69F9"/>
    <w:rsid w:val="00CA6B4B"/>
    <w:rsid w:val="00CA728D"/>
    <w:rsid w:val="00CA733A"/>
    <w:rsid w:val="00CA785D"/>
    <w:rsid w:val="00CA78B1"/>
    <w:rsid w:val="00CA7C61"/>
    <w:rsid w:val="00CA7FC5"/>
    <w:rsid w:val="00CB0111"/>
    <w:rsid w:val="00CB0918"/>
    <w:rsid w:val="00CB0A1B"/>
    <w:rsid w:val="00CB0DD4"/>
    <w:rsid w:val="00CB1480"/>
    <w:rsid w:val="00CB1EEF"/>
    <w:rsid w:val="00CB1EF0"/>
    <w:rsid w:val="00CB2150"/>
    <w:rsid w:val="00CB2302"/>
    <w:rsid w:val="00CB24A3"/>
    <w:rsid w:val="00CB2583"/>
    <w:rsid w:val="00CB2B6F"/>
    <w:rsid w:val="00CB2DD3"/>
    <w:rsid w:val="00CB2FF7"/>
    <w:rsid w:val="00CB3000"/>
    <w:rsid w:val="00CB305C"/>
    <w:rsid w:val="00CB30B5"/>
    <w:rsid w:val="00CB35B7"/>
    <w:rsid w:val="00CB3638"/>
    <w:rsid w:val="00CB396C"/>
    <w:rsid w:val="00CB3B34"/>
    <w:rsid w:val="00CB3B36"/>
    <w:rsid w:val="00CB3D8D"/>
    <w:rsid w:val="00CB3F72"/>
    <w:rsid w:val="00CB402C"/>
    <w:rsid w:val="00CB4AE8"/>
    <w:rsid w:val="00CB4B50"/>
    <w:rsid w:val="00CB4E0C"/>
    <w:rsid w:val="00CB4EE9"/>
    <w:rsid w:val="00CB546F"/>
    <w:rsid w:val="00CB5519"/>
    <w:rsid w:val="00CB5CD2"/>
    <w:rsid w:val="00CB5EB0"/>
    <w:rsid w:val="00CB5EEE"/>
    <w:rsid w:val="00CB61A7"/>
    <w:rsid w:val="00CB669E"/>
    <w:rsid w:val="00CB66C8"/>
    <w:rsid w:val="00CB6C59"/>
    <w:rsid w:val="00CB7004"/>
    <w:rsid w:val="00CB704F"/>
    <w:rsid w:val="00CB70B3"/>
    <w:rsid w:val="00CB7201"/>
    <w:rsid w:val="00CB72E8"/>
    <w:rsid w:val="00CB732A"/>
    <w:rsid w:val="00CB73A7"/>
    <w:rsid w:val="00CB7938"/>
    <w:rsid w:val="00CB7A44"/>
    <w:rsid w:val="00CB7E32"/>
    <w:rsid w:val="00CC0059"/>
    <w:rsid w:val="00CC00A3"/>
    <w:rsid w:val="00CC03C4"/>
    <w:rsid w:val="00CC06B6"/>
    <w:rsid w:val="00CC0AD1"/>
    <w:rsid w:val="00CC0B00"/>
    <w:rsid w:val="00CC0B67"/>
    <w:rsid w:val="00CC0BFE"/>
    <w:rsid w:val="00CC0D6F"/>
    <w:rsid w:val="00CC1100"/>
    <w:rsid w:val="00CC116A"/>
    <w:rsid w:val="00CC16CE"/>
    <w:rsid w:val="00CC1D5F"/>
    <w:rsid w:val="00CC1FA5"/>
    <w:rsid w:val="00CC222A"/>
    <w:rsid w:val="00CC24A6"/>
    <w:rsid w:val="00CC24F9"/>
    <w:rsid w:val="00CC2AD7"/>
    <w:rsid w:val="00CC2F87"/>
    <w:rsid w:val="00CC321F"/>
    <w:rsid w:val="00CC37D4"/>
    <w:rsid w:val="00CC3F44"/>
    <w:rsid w:val="00CC4387"/>
    <w:rsid w:val="00CC460C"/>
    <w:rsid w:val="00CC47E3"/>
    <w:rsid w:val="00CC4C47"/>
    <w:rsid w:val="00CC4CA5"/>
    <w:rsid w:val="00CC531B"/>
    <w:rsid w:val="00CC549B"/>
    <w:rsid w:val="00CC57EF"/>
    <w:rsid w:val="00CC5BF6"/>
    <w:rsid w:val="00CC5CF3"/>
    <w:rsid w:val="00CC5DEE"/>
    <w:rsid w:val="00CC5E64"/>
    <w:rsid w:val="00CC5EF0"/>
    <w:rsid w:val="00CC65C6"/>
    <w:rsid w:val="00CC665E"/>
    <w:rsid w:val="00CC6B90"/>
    <w:rsid w:val="00CC793E"/>
    <w:rsid w:val="00CC7AC0"/>
    <w:rsid w:val="00CC7DF7"/>
    <w:rsid w:val="00CD02C7"/>
    <w:rsid w:val="00CD03C6"/>
    <w:rsid w:val="00CD096E"/>
    <w:rsid w:val="00CD0AB6"/>
    <w:rsid w:val="00CD0AF3"/>
    <w:rsid w:val="00CD1180"/>
    <w:rsid w:val="00CD19E4"/>
    <w:rsid w:val="00CD20C4"/>
    <w:rsid w:val="00CD2142"/>
    <w:rsid w:val="00CD239C"/>
    <w:rsid w:val="00CD23A5"/>
    <w:rsid w:val="00CD23B7"/>
    <w:rsid w:val="00CD23EC"/>
    <w:rsid w:val="00CD2498"/>
    <w:rsid w:val="00CD25DA"/>
    <w:rsid w:val="00CD275E"/>
    <w:rsid w:val="00CD2860"/>
    <w:rsid w:val="00CD2E50"/>
    <w:rsid w:val="00CD3254"/>
    <w:rsid w:val="00CD3C4B"/>
    <w:rsid w:val="00CD3C71"/>
    <w:rsid w:val="00CD3DFF"/>
    <w:rsid w:val="00CD3F32"/>
    <w:rsid w:val="00CD43E4"/>
    <w:rsid w:val="00CD47AC"/>
    <w:rsid w:val="00CD4C90"/>
    <w:rsid w:val="00CD567A"/>
    <w:rsid w:val="00CD5B96"/>
    <w:rsid w:val="00CD6048"/>
    <w:rsid w:val="00CD62F8"/>
    <w:rsid w:val="00CD645C"/>
    <w:rsid w:val="00CD6B42"/>
    <w:rsid w:val="00CD6ED6"/>
    <w:rsid w:val="00CD71B9"/>
    <w:rsid w:val="00CD732E"/>
    <w:rsid w:val="00CD798D"/>
    <w:rsid w:val="00CD7F55"/>
    <w:rsid w:val="00CE04BD"/>
    <w:rsid w:val="00CE08CF"/>
    <w:rsid w:val="00CE0B02"/>
    <w:rsid w:val="00CE1213"/>
    <w:rsid w:val="00CE1380"/>
    <w:rsid w:val="00CE187C"/>
    <w:rsid w:val="00CE1E78"/>
    <w:rsid w:val="00CE28FE"/>
    <w:rsid w:val="00CE2AEF"/>
    <w:rsid w:val="00CE2C79"/>
    <w:rsid w:val="00CE2C7A"/>
    <w:rsid w:val="00CE3153"/>
    <w:rsid w:val="00CE395B"/>
    <w:rsid w:val="00CE438A"/>
    <w:rsid w:val="00CE4599"/>
    <w:rsid w:val="00CE45E3"/>
    <w:rsid w:val="00CE473E"/>
    <w:rsid w:val="00CE49B8"/>
    <w:rsid w:val="00CE5533"/>
    <w:rsid w:val="00CE553C"/>
    <w:rsid w:val="00CE5746"/>
    <w:rsid w:val="00CE5BE7"/>
    <w:rsid w:val="00CE5F1B"/>
    <w:rsid w:val="00CE659A"/>
    <w:rsid w:val="00CE66F1"/>
    <w:rsid w:val="00CE6BF2"/>
    <w:rsid w:val="00CE6F4F"/>
    <w:rsid w:val="00CE7119"/>
    <w:rsid w:val="00CE769D"/>
    <w:rsid w:val="00CE770F"/>
    <w:rsid w:val="00CE77CE"/>
    <w:rsid w:val="00CF0383"/>
    <w:rsid w:val="00CF049A"/>
    <w:rsid w:val="00CF04A3"/>
    <w:rsid w:val="00CF0715"/>
    <w:rsid w:val="00CF0768"/>
    <w:rsid w:val="00CF09D0"/>
    <w:rsid w:val="00CF0A0A"/>
    <w:rsid w:val="00CF0EC0"/>
    <w:rsid w:val="00CF11FE"/>
    <w:rsid w:val="00CF125C"/>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2B3"/>
    <w:rsid w:val="00CF4319"/>
    <w:rsid w:val="00CF4788"/>
    <w:rsid w:val="00CF49DC"/>
    <w:rsid w:val="00CF4AD0"/>
    <w:rsid w:val="00CF4BDE"/>
    <w:rsid w:val="00CF5044"/>
    <w:rsid w:val="00CF560B"/>
    <w:rsid w:val="00CF5BAF"/>
    <w:rsid w:val="00CF6051"/>
    <w:rsid w:val="00CF62D2"/>
    <w:rsid w:val="00CF695C"/>
    <w:rsid w:val="00CF6B6A"/>
    <w:rsid w:val="00CF6E8C"/>
    <w:rsid w:val="00CF736E"/>
    <w:rsid w:val="00CF7389"/>
    <w:rsid w:val="00CF75B9"/>
    <w:rsid w:val="00CF75C1"/>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B56"/>
    <w:rsid w:val="00D02CF3"/>
    <w:rsid w:val="00D030D6"/>
    <w:rsid w:val="00D03282"/>
    <w:rsid w:val="00D033FA"/>
    <w:rsid w:val="00D03AB1"/>
    <w:rsid w:val="00D03D01"/>
    <w:rsid w:val="00D047A8"/>
    <w:rsid w:val="00D04E3B"/>
    <w:rsid w:val="00D0518B"/>
    <w:rsid w:val="00D05252"/>
    <w:rsid w:val="00D05681"/>
    <w:rsid w:val="00D05E7D"/>
    <w:rsid w:val="00D05E8C"/>
    <w:rsid w:val="00D05F66"/>
    <w:rsid w:val="00D06177"/>
    <w:rsid w:val="00D06246"/>
    <w:rsid w:val="00D063ED"/>
    <w:rsid w:val="00D06474"/>
    <w:rsid w:val="00D064C9"/>
    <w:rsid w:val="00D06598"/>
    <w:rsid w:val="00D06624"/>
    <w:rsid w:val="00D06651"/>
    <w:rsid w:val="00D06743"/>
    <w:rsid w:val="00D06B1C"/>
    <w:rsid w:val="00D06F75"/>
    <w:rsid w:val="00D07181"/>
    <w:rsid w:val="00D078BE"/>
    <w:rsid w:val="00D07C40"/>
    <w:rsid w:val="00D07D52"/>
    <w:rsid w:val="00D07EEE"/>
    <w:rsid w:val="00D103EE"/>
    <w:rsid w:val="00D10598"/>
    <w:rsid w:val="00D107EB"/>
    <w:rsid w:val="00D10886"/>
    <w:rsid w:val="00D10D03"/>
    <w:rsid w:val="00D1152A"/>
    <w:rsid w:val="00D11593"/>
    <w:rsid w:val="00D11727"/>
    <w:rsid w:val="00D11BD6"/>
    <w:rsid w:val="00D11E08"/>
    <w:rsid w:val="00D11E58"/>
    <w:rsid w:val="00D12074"/>
    <w:rsid w:val="00D122A6"/>
    <w:rsid w:val="00D129B2"/>
    <w:rsid w:val="00D12CD5"/>
    <w:rsid w:val="00D131C9"/>
    <w:rsid w:val="00D131E0"/>
    <w:rsid w:val="00D13439"/>
    <w:rsid w:val="00D1353F"/>
    <w:rsid w:val="00D13789"/>
    <w:rsid w:val="00D13A15"/>
    <w:rsid w:val="00D13ABA"/>
    <w:rsid w:val="00D13C81"/>
    <w:rsid w:val="00D13C9A"/>
    <w:rsid w:val="00D13EEC"/>
    <w:rsid w:val="00D1402E"/>
    <w:rsid w:val="00D1420A"/>
    <w:rsid w:val="00D14737"/>
    <w:rsid w:val="00D14805"/>
    <w:rsid w:val="00D1488F"/>
    <w:rsid w:val="00D1493B"/>
    <w:rsid w:val="00D14AED"/>
    <w:rsid w:val="00D14B46"/>
    <w:rsid w:val="00D15213"/>
    <w:rsid w:val="00D15547"/>
    <w:rsid w:val="00D15D6D"/>
    <w:rsid w:val="00D15ED0"/>
    <w:rsid w:val="00D16153"/>
    <w:rsid w:val="00D16287"/>
    <w:rsid w:val="00D16570"/>
    <w:rsid w:val="00D16A0E"/>
    <w:rsid w:val="00D16FC7"/>
    <w:rsid w:val="00D17093"/>
    <w:rsid w:val="00D171D0"/>
    <w:rsid w:val="00D17945"/>
    <w:rsid w:val="00D17B7C"/>
    <w:rsid w:val="00D17C26"/>
    <w:rsid w:val="00D17CAA"/>
    <w:rsid w:val="00D17E16"/>
    <w:rsid w:val="00D17FCA"/>
    <w:rsid w:val="00D20553"/>
    <w:rsid w:val="00D20A66"/>
    <w:rsid w:val="00D20B4A"/>
    <w:rsid w:val="00D2172B"/>
    <w:rsid w:val="00D21B57"/>
    <w:rsid w:val="00D21C66"/>
    <w:rsid w:val="00D21CE6"/>
    <w:rsid w:val="00D21F21"/>
    <w:rsid w:val="00D221C3"/>
    <w:rsid w:val="00D222F1"/>
    <w:rsid w:val="00D22489"/>
    <w:rsid w:val="00D22BF9"/>
    <w:rsid w:val="00D2325B"/>
    <w:rsid w:val="00D23932"/>
    <w:rsid w:val="00D23BA9"/>
    <w:rsid w:val="00D23DCE"/>
    <w:rsid w:val="00D23E7A"/>
    <w:rsid w:val="00D24373"/>
    <w:rsid w:val="00D24749"/>
    <w:rsid w:val="00D24E08"/>
    <w:rsid w:val="00D25304"/>
    <w:rsid w:val="00D257E4"/>
    <w:rsid w:val="00D2584A"/>
    <w:rsid w:val="00D26115"/>
    <w:rsid w:val="00D26A4D"/>
    <w:rsid w:val="00D26D10"/>
    <w:rsid w:val="00D26E5C"/>
    <w:rsid w:val="00D2737D"/>
    <w:rsid w:val="00D27488"/>
    <w:rsid w:val="00D27A56"/>
    <w:rsid w:val="00D27CB2"/>
    <w:rsid w:val="00D30406"/>
    <w:rsid w:val="00D308FA"/>
    <w:rsid w:val="00D30992"/>
    <w:rsid w:val="00D30ACC"/>
    <w:rsid w:val="00D30D32"/>
    <w:rsid w:val="00D31500"/>
    <w:rsid w:val="00D3164F"/>
    <w:rsid w:val="00D31820"/>
    <w:rsid w:val="00D32128"/>
    <w:rsid w:val="00D32BB1"/>
    <w:rsid w:val="00D32C6F"/>
    <w:rsid w:val="00D32FA1"/>
    <w:rsid w:val="00D3316E"/>
    <w:rsid w:val="00D335E3"/>
    <w:rsid w:val="00D33BA7"/>
    <w:rsid w:val="00D340C6"/>
    <w:rsid w:val="00D344E9"/>
    <w:rsid w:val="00D34634"/>
    <w:rsid w:val="00D34E59"/>
    <w:rsid w:val="00D350A7"/>
    <w:rsid w:val="00D3540A"/>
    <w:rsid w:val="00D357E3"/>
    <w:rsid w:val="00D35811"/>
    <w:rsid w:val="00D35949"/>
    <w:rsid w:val="00D35976"/>
    <w:rsid w:val="00D35B27"/>
    <w:rsid w:val="00D35CD8"/>
    <w:rsid w:val="00D36047"/>
    <w:rsid w:val="00D364FC"/>
    <w:rsid w:val="00D36957"/>
    <w:rsid w:val="00D36B92"/>
    <w:rsid w:val="00D36DF5"/>
    <w:rsid w:val="00D36F61"/>
    <w:rsid w:val="00D3716C"/>
    <w:rsid w:val="00D3739D"/>
    <w:rsid w:val="00D37480"/>
    <w:rsid w:val="00D37673"/>
    <w:rsid w:val="00D37C79"/>
    <w:rsid w:val="00D37D92"/>
    <w:rsid w:val="00D37DEB"/>
    <w:rsid w:val="00D37F43"/>
    <w:rsid w:val="00D37F63"/>
    <w:rsid w:val="00D4040F"/>
    <w:rsid w:val="00D40628"/>
    <w:rsid w:val="00D40BF9"/>
    <w:rsid w:val="00D40C80"/>
    <w:rsid w:val="00D40D3F"/>
    <w:rsid w:val="00D410D4"/>
    <w:rsid w:val="00D412DE"/>
    <w:rsid w:val="00D41C9B"/>
    <w:rsid w:val="00D420A7"/>
    <w:rsid w:val="00D4222D"/>
    <w:rsid w:val="00D42627"/>
    <w:rsid w:val="00D42903"/>
    <w:rsid w:val="00D4294A"/>
    <w:rsid w:val="00D4302A"/>
    <w:rsid w:val="00D436A9"/>
    <w:rsid w:val="00D43AEB"/>
    <w:rsid w:val="00D43F50"/>
    <w:rsid w:val="00D43FE6"/>
    <w:rsid w:val="00D4442B"/>
    <w:rsid w:val="00D44B05"/>
    <w:rsid w:val="00D45016"/>
    <w:rsid w:val="00D456CA"/>
    <w:rsid w:val="00D459D0"/>
    <w:rsid w:val="00D45ADA"/>
    <w:rsid w:val="00D45CB0"/>
    <w:rsid w:val="00D45ED9"/>
    <w:rsid w:val="00D4635C"/>
    <w:rsid w:val="00D46844"/>
    <w:rsid w:val="00D46866"/>
    <w:rsid w:val="00D46EE2"/>
    <w:rsid w:val="00D47073"/>
    <w:rsid w:val="00D471DA"/>
    <w:rsid w:val="00D4727B"/>
    <w:rsid w:val="00D473AC"/>
    <w:rsid w:val="00D47B88"/>
    <w:rsid w:val="00D47C67"/>
    <w:rsid w:val="00D501A1"/>
    <w:rsid w:val="00D504FC"/>
    <w:rsid w:val="00D5063E"/>
    <w:rsid w:val="00D50A14"/>
    <w:rsid w:val="00D50E25"/>
    <w:rsid w:val="00D5139C"/>
    <w:rsid w:val="00D52342"/>
    <w:rsid w:val="00D525CC"/>
    <w:rsid w:val="00D52BB9"/>
    <w:rsid w:val="00D52C6D"/>
    <w:rsid w:val="00D52EE8"/>
    <w:rsid w:val="00D53322"/>
    <w:rsid w:val="00D533BE"/>
    <w:rsid w:val="00D53405"/>
    <w:rsid w:val="00D53731"/>
    <w:rsid w:val="00D53CBC"/>
    <w:rsid w:val="00D541AD"/>
    <w:rsid w:val="00D542F4"/>
    <w:rsid w:val="00D546EF"/>
    <w:rsid w:val="00D54C50"/>
    <w:rsid w:val="00D55E5C"/>
    <w:rsid w:val="00D55EA0"/>
    <w:rsid w:val="00D56539"/>
    <w:rsid w:val="00D566B2"/>
    <w:rsid w:val="00D568E3"/>
    <w:rsid w:val="00D56EE1"/>
    <w:rsid w:val="00D57097"/>
    <w:rsid w:val="00D571EB"/>
    <w:rsid w:val="00D5737C"/>
    <w:rsid w:val="00D57718"/>
    <w:rsid w:val="00D57F48"/>
    <w:rsid w:val="00D6016F"/>
    <w:rsid w:val="00D601BD"/>
    <w:rsid w:val="00D60266"/>
    <w:rsid w:val="00D6032D"/>
    <w:rsid w:val="00D6033A"/>
    <w:rsid w:val="00D603B0"/>
    <w:rsid w:val="00D604E7"/>
    <w:rsid w:val="00D6055A"/>
    <w:rsid w:val="00D6118B"/>
    <w:rsid w:val="00D61328"/>
    <w:rsid w:val="00D61461"/>
    <w:rsid w:val="00D61597"/>
    <w:rsid w:val="00D61A36"/>
    <w:rsid w:val="00D61C38"/>
    <w:rsid w:val="00D61F14"/>
    <w:rsid w:val="00D62418"/>
    <w:rsid w:val="00D6255B"/>
    <w:rsid w:val="00D62835"/>
    <w:rsid w:val="00D628AA"/>
    <w:rsid w:val="00D629AB"/>
    <w:rsid w:val="00D62A78"/>
    <w:rsid w:val="00D62D25"/>
    <w:rsid w:val="00D62D92"/>
    <w:rsid w:val="00D630F0"/>
    <w:rsid w:val="00D6352D"/>
    <w:rsid w:val="00D6367A"/>
    <w:rsid w:val="00D63ADE"/>
    <w:rsid w:val="00D63C25"/>
    <w:rsid w:val="00D63E38"/>
    <w:rsid w:val="00D63EFE"/>
    <w:rsid w:val="00D6417C"/>
    <w:rsid w:val="00D6417F"/>
    <w:rsid w:val="00D64213"/>
    <w:rsid w:val="00D6449B"/>
    <w:rsid w:val="00D6454D"/>
    <w:rsid w:val="00D64E55"/>
    <w:rsid w:val="00D6532E"/>
    <w:rsid w:val="00D65612"/>
    <w:rsid w:val="00D656CC"/>
    <w:rsid w:val="00D657DF"/>
    <w:rsid w:val="00D65994"/>
    <w:rsid w:val="00D65EF7"/>
    <w:rsid w:val="00D65EFD"/>
    <w:rsid w:val="00D6637B"/>
    <w:rsid w:val="00D663CA"/>
    <w:rsid w:val="00D667D6"/>
    <w:rsid w:val="00D6694A"/>
    <w:rsid w:val="00D66DC6"/>
    <w:rsid w:val="00D672CA"/>
    <w:rsid w:val="00D67621"/>
    <w:rsid w:val="00D67C4A"/>
    <w:rsid w:val="00D701A0"/>
    <w:rsid w:val="00D70CEC"/>
    <w:rsid w:val="00D70FEA"/>
    <w:rsid w:val="00D713F7"/>
    <w:rsid w:val="00D71B64"/>
    <w:rsid w:val="00D71E3C"/>
    <w:rsid w:val="00D721A2"/>
    <w:rsid w:val="00D7234C"/>
    <w:rsid w:val="00D7275D"/>
    <w:rsid w:val="00D7299D"/>
    <w:rsid w:val="00D72AA4"/>
    <w:rsid w:val="00D72AAE"/>
    <w:rsid w:val="00D72AB2"/>
    <w:rsid w:val="00D73021"/>
    <w:rsid w:val="00D733F5"/>
    <w:rsid w:val="00D734A5"/>
    <w:rsid w:val="00D73760"/>
    <w:rsid w:val="00D73E39"/>
    <w:rsid w:val="00D7430B"/>
    <w:rsid w:val="00D745D2"/>
    <w:rsid w:val="00D745E6"/>
    <w:rsid w:val="00D7468C"/>
    <w:rsid w:val="00D74C88"/>
    <w:rsid w:val="00D755D3"/>
    <w:rsid w:val="00D758C6"/>
    <w:rsid w:val="00D75D05"/>
    <w:rsid w:val="00D764E0"/>
    <w:rsid w:val="00D767A4"/>
    <w:rsid w:val="00D76BC8"/>
    <w:rsid w:val="00D77263"/>
    <w:rsid w:val="00D77B14"/>
    <w:rsid w:val="00D77C9F"/>
    <w:rsid w:val="00D77E61"/>
    <w:rsid w:val="00D77F01"/>
    <w:rsid w:val="00D805A1"/>
    <w:rsid w:val="00D80635"/>
    <w:rsid w:val="00D807FF"/>
    <w:rsid w:val="00D80DD8"/>
    <w:rsid w:val="00D8114F"/>
    <w:rsid w:val="00D811CB"/>
    <w:rsid w:val="00D81674"/>
    <w:rsid w:val="00D81829"/>
    <w:rsid w:val="00D819CE"/>
    <w:rsid w:val="00D81B29"/>
    <w:rsid w:val="00D81B9E"/>
    <w:rsid w:val="00D81F99"/>
    <w:rsid w:val="00D82016"/>
    <w:rsid w:val="00D820A1"/>
    <w:rsid w:val="00D82725"/>
    <w:rsid w:val="00D8288B"/>
    <w:rsid w:val="00D82AFA"/>
    <w:rsid w:val="00D82D5C"/>
    <w:rsid w:val="00D83BE9"/>
    <w:rsid w:val="00D83BEC"/>
    <w:rsid w:val="00D84627"/>
    <w:rsid w:val="00D848E7"/>
    <w:rsid w:val="00D84944"/>
    <w:rsid w:val="00D84F67"/>
    <w:rsid w:val="00D85708"/>
    <w:rsid w:val="00D85812"/>
    <w:rsid w:val="00D859CB"/>
    <w:rsid w:val="00D85E68"/>
    <w:rsid w:val="00D85E72"/>
    <w:rsid w:val="00D863CF"/>
    <w:rsid w:val="00D86465"/>
    <w:rsid w:val="00D865AA"/>
    <w:rsid w:val="00D86607"/>
    <w:rsid w:val="00D86A2C"/>
    <w:rsid w:val="00D86E21"/>
    <w:rsid w:val="00D86E33"/>
    <w:rsid w:val="00D86E6D"/>
    <w:rsid w:val="00D87037"/>
    <w:rsid w:val="00D87203"/>
    <w:rsid w:val="00D874A5"/>
    <w:rsid w:val="00D878A1"/>
    <w:rsid w:val="00D87935"/>
    <w:rsid w:val="00D87A79"/>
    <w:rsid w:val="00D87B4D"/>
    <w:rsid w:val="00D90149"/>
    <w:rsid w:val="00D90428"/>
    <w:rsid w:val="00D909B1"/>
    <w:rsid w:val="00D9187B"/>
    <w:rsid w:val="00D91F04"/>
    <w:rsid w:val="00D925A9"/>
    <w:rsid w:val="00D92935"/>
    <w:rsid w:val="00D92ED3"/>
    <w:rsid w:val="00D93762"/>
    <w:rsid w:val="00D937A6"/>
    <w:rsid w:val="00D9395A"/>
    <w:rsid w:val="00D93A46"/>
    <w:rsid w:val="00D93A6E"/>
    <w:rsid w:val="00D93AE0"/>
    <w:rsid w:val="00D93CB8"/>
    <w:rsid w:val="00D93D24"/>
    <w:rsid w:val="00D93F70"/>
    <w:rsid w:val="00D9400C"/>
    <w:rsid w:val="00D9446E"/>
    <w:rsid w:val="00D94591"/>
    <w:rsid w:val="00D95278"/>
    <w:rsid w:val="00D95563"/>
    <w:rsid w:val="00D95C58"/>
    <w:rsid w:val="00D95DE0"/>
    <w:rsid w:val="00D95F0B"/>
    <w:rsid w:val="00D9604A"/>
    <w:rsid w:val="00D960E8"/>
    <w:rsid w:val="00D967A1"/>
    <w:rsid w:val="00D9722D"/>
    <w:rsid w:val="00D9729D"/>
    <w:rsid w:val="00D97435"/>
    <w:rsid w:val="00D9745C"/>
    <w:rsid w:val="00D97830"/>
    <w:rsid w:val="00D9792F"/>
    <w:rsid w:val="00DA00C2"/>
    <w:rsid w:val="00DA034B"/>
    <w:rsid w:val="00DA138F"/>
    <w:rsid w:val="00DA19E3"/>
    <w:rsid w:val="00DA1A1F"/>
    <w:rsid w:val="00DA1B4B"/>
    <w:rsid w:val="00DA1C95"/>
    <w:rsid w:val="00DA2142"/>
    <w:rsid w:val="00DA2611"/>
    <w:rsid w:val="00DA27B4"/>
    <w:rsid w:val="00DA28FC"/>
    <w:rsid w:val="00DA2AB7"/>
    <w:rsid w:val="00DA2DFE"/>
    <w:rsid w:val="00DA2F68"/>
    <w:rsid w:val="00DA3122"/>
    <w:rsid w:val="00DA385A"/>
    <w:rsid w:val="00DA3976"/>
    <w:rsid w:val="00DA3A8C"/>
    <w:rsid w:val="00DA3D51"/>
    <w:rsid w:val="00DA3F56"/>
    <w:rsid w:val="00DA41EE"/>
    <w:rsid w:val="00DA4389"/>
    <w:rsid w:val="00DA48B1"/>
    <w:rsid w:val="00DA50A9"/>
    <w:rsid w:val="00DA5122"/>
    <w:rsid w:val="00DA52A1"/>
    <w:rsid w:val="00DA55DF"/>
    <w:rsid w:val="00DA57E1"/>
    <w:rsid w:val="00DA57ED"/>
    <w:rsid w:val="00DA5B48"/>
    <w:rsid w:val="00DA5CD3"/>
    <w:rsid w:val="00DA5D95"/>
    <w:rsid w:val="00DA5F3C"/>
    <w:rsid w:val="00DA60A4"/>
    <w:rsid w:val="00DA6604"/>
    <w:rsid w:val="00DA67AB"/>
    <w:rsid w:val="00DA686B"/>
    <w:rsid w:val="00DA6A08"/>
    <w:rsid w:val="00DA77A9"/>
    <w:rsid w:val="00DA78BA"/>
    <w:rsid w:val="00DA79F2"/>
    <w:rsid w:val="00DA7A01"/>
    <w:rsid w:val="00DA7B2F"/>
    <w:rsid w:val="00DA7FA0"/>
    <w:rsid w:val="00DA7FDC"/>
    <w:rsid w:val="00DB006F"/>
    <w:rsid w:val="00DB0111"/>
    <w:rsid w:val="00DB03AF"/>
    <w:rsid w:val="00DB08F8"/>
    <w:rsid w:val="00DB0B2E"/>
    <w:rsid w:val="00DB0C0F"/>
    <w:rsid w:val="00DB0DCE"/>
    <w:rsid w:val="00DB0F96"/>
    <w:rsid w:val="00DB13C7"/>
    <w:rsid w:val="00DB17DE"/>
    <w:rsid w:val="00DB1941"/>
    <w:rsid w:val="00DB1EAF"/>
    <w:rsid w:val="00DB23E2"/>
    <w:rsid w:val="00DB2B71"/>
    <w:rsid w:val="00DB2BB5"/>
    <w:rsid w:val="00DB2BF7"/>
    <w:rsid w:val="00DB2C1E"/>
    <w:rsid w:val="00DB32D9"/>
    <w:rsid w:val="00DB355F"/>
    <w:rsid w:val="00DB3AC9"/>
    <w:rsid w:val="00DB3B7E"/>
    <w:rsid w:val="00DB3BCB"/>
    <w:rsid w:val="00DB3EDF"/>
    <w:rsid w:val="00DB40D3"/>
    <w:rsid w:val="00DB41BD"/>
    <w:rsid w:val="00DB42EF"/>
    <w:rsid w:val="00DB466B"/>
    <w:rsid w:val="00DB4881"/>
    <w:rsid w:val="00DB4B95"/>
    <w:rsid w:val="00DB4DD2"/>
    <w:rsid w:val="00DB4EBD"/>
    <w:rsid w:val="00DB51EF"/>
    <w:rsid w:val="00DB5393"/>
    <w:rsid w:val="00DB5445"/>
    <w:rsid w:val="00DB5672"/>
    <w:rsid w:val="00DB5D1A"/>
    <w:rsid w:val="00DB5D71"/>
    <w:rsid w:val="00DB6166"/>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68F"/>
    <w:rsid w:val="00DC1836"/>
    <w:rsid w:val="00DC1A15"/>
    <w:rsid w:val="00DC1C4A"/>
    <w:rsid w:val="00DC20C5"/>
    <w:rsid w:val="00DC24E9"/>
    <w:rsid w:val="00DC269B"/>
    <w:rsid w:val="00DC269F"/>
    <w:rsid w:val="00DC2C96"/>
    <w:rsid w:val="00DC31FE"/>
    <w:rsid w:val="00DC32B5"/>
    <w:rsid w:val="00DC3414"/>
    <w:rsid w:val="00DC35F6"/>
    <w:rsid w:val="00DC379A"/>
    <w:rsid w:val="00DC3A4C"/>
    <w:rsid w:val="00DC40D8"/>
    <w:rsid w:val="00DC446B"/>
    <w:rsid w:val="00DC4481"/>
    <w:rsid w:val="00DC45E5"/>
    <w:rsid w:val="00DC4690"/>
    <w:rsid w:val="00DC4809"/>
    <w:rsid w:val="00DC49DB"/>
    <w:rsid w:val="00DC4CF3"/>
    <w:rsid w:val="00DC4F2F"/>
    <w:rsid w:val="00DC51E2"/>
    <w:rsid w:val="00DC5579"/>
    <w:rsid w:val="00DC561E"/>
    <w:rsid w:val="00DC56AB"/>
    <w:rsid w:val="00DC5747"/>
    <w:rsid w:val="00DC5A93"/>
    <w:rsid w:val="00DC5C00"/>
    <w:rsid w:val="00DC5FA4"/>
    <w:rsid w:val="00DC610E"/>
    <w:rsid w:val="00DC612D"/>
    <w:rsid w:val="00DC6F9C"/>
    <w:rsid w:val="00DC7A71"/>
    <w:rsid w:val="00DC7D3B"/>
    <w:rsid w:val="00DC7DDC"/>
    <w:rsid w:val="00DD04C8"/>
    <w:rsid w:val="00DD0588"/>
    <w:rsid w:val="00DD0AD9"/>
    <w:rsid w:val="00DD0CBA"/>
    <w:rsid w:val="00DD15AE"/>
    <w:rsid w:val="00DD15C2"/>
    <w:rsid w:val="00DD1B6B"/>
    <w:rsid w:val="00DD1E81"/>
    <w:rsid w:val="00DD1EAC"/>
    <w:rsid w:val="00DD2207"/>
    <w:rsid w:val="00DD228D"/>
    <w:rsid w:val="00DD23AB"/>
    <w:rsid w:val="00DD2689"/>
    <w:rsid w:val="00DD28EC"/>
    <w:rsid w:val="00DD2DF5"/>
    <w:rsid w:val="00DD35FA"/>
    <w:rsid w:val="00DD373B"/>
    <w:rsid w:val="00DD3DB1"/>
    <w:rsid w:val="00DD410E"/>
    <w:rsid w:val="00DD42B3"/>
    <w:rsid w:val="00DD4E79"/>
    <w:rsid w:val="00DD5233"/>
    <w:rsid w:val="00DD524A"/>
    <w:rsid w:val="00DD5476"/>
    <w:rsid w:val="00DD56FD"/>
    <w:rsid w:val="00DD59F7"/>
    <w:rsid w:val="00DD5A81"/>
    <w:rsid w:val="00DD5CC3"/>
    <w:rsid w:val="00DD5CC4"/>
    <w:rsid w:val="00DD5CE3"/>
    <w:rsid w:val="00DD5F38"/>
    <w:rsid w:val="00DD60CB"/>
    <w:rsid w:val="00DD6123"/>
    <w:rsid w:val="00DD6309"/>
    <w:rsid w:val="00DD665F"/>
    <w:rsid w:val="00DD68AE"/>
    <w:rsid w:val="00DD7A34"/>
    <w:rsid w:val="00DD7CC7"/>
    <w:rsid w:val="00DD7D51"/>
    <w:rsid w:val="00DD7FC2"/>
    <w:rsid w:val="00DE00E4"/>
    <w:rsid w:val="00DE02DE"/>
    <w:rsid w:val="00DE072B"/>
    <w:rsid w:val="00DE0897"/>
    <w:rsid w:val="00DE0DC8"/>
    <w:rsid w:val="00DE11E7"/>
    <w:rsid w:val="00DE12DA"/>
    <w:rsid w:val="00DE12FB"/>
    <w:rsid w:val="00DE12FC"/>
    <w:rsid w:val="00DE188D"/>
    <w:rsid w:val="00DE1896"/>
    <w:rsid w:val="00DE1C18"/>
    <w:rsid w:val="00DE25F3"/>
    <w:rsid w:val="00DE290E"/>
    <w:rsid w:val="00DE2E10"/>
    <w:rsid w:val="00DE2E7E"/>
    <w:rsid w:val="00DE3084"/>
    <w:rsid w:val="00DE3200"/>
    <w:rsid w:val="00DE37A1"/>
    <w:rsid w:val="00DE3A55"/>
    <w:rsid w:val="00DE3B95"/>
    <w:rsid w:val="00DE49EC"/>
    <w:rsid w:val="00DE4B94"/>
    <w:rsid w:val="00DE4E42"/>
    <w:rsid w:val="00DE525E"/>
    <w:rsid w:val="00DE5F33"/>
    <w:rsid w:val="00DE6135"/>
    <w:rsid w:val="00DE6357"/>
    <w:rsid w:val="00DE6392"/>
    <w:rsid w:val="00DE6A95"/>
    <w:rsid w:val="00DE6F26"/>
    <w:rsid w:val="00DE7204"/>
    <w:rsid w:val="00DE75B9"/>
    <w:rsid w:val="00DE75D9"/>
    <w:rsid w:val="00DE7765"/>
    <w:rsid w:val="00DE77DF"/>
    <w:rsid w:val="00DE7ACD"/>
    <w:rsid w:val="00DF09CE"/>
    <w:rsid w:val="00DF0D68"/>
    <w:rsid w:val="00DF11E5"/>
    <w:rsid w:val="00DF1445"/>
    <w:rsid w:val="00DF15ED"/>
    <w:rsid w:val="00DF162F"/>
    <w:rsid w:val="00DF1837"/>
    <w:rsid w:val="00DF19D7"/>
    <w:rsid w:val="00DF1A2F"/>
    <w:rsid w:val="00DF1C86"/>
    <w:rsid w:val="00DF1C93"/>
    <w:rsid w:val="00DF1FD0"/>
    <w:rsid w:val="00DF2054"/>
    <w:rsid w:val="00DF29D6"/>
    <w:rsid w:val="00DF2DAA"/>
    <w:rsid w:val="00DF31DC"/>
    <w:rsid w:val="00DF34E1"/>
    <w:rsid w:val="00DF3EAC"/>
    <w:rsid w:val="00DF4060"/>
    <w:rsid w:val="00DF440C"/>
    <w:rsid w:val="00DF45B0"/>
    <w:rsid w:val="00DF4E48"/>
    <w:rsid w:val="00DF4E84"/>
    <w:rsid w:val="00DF571D"/>
    <w:rsid w:val="00DF579D"/>
    <w:rsid w:val="00DF5C8C"/>
    <w:rsid w:val="00DF6638"/>
    <w:rsid w:val="00DF66DE"/>
    <w:rsid w:val="00DF69B6"/>
    <w:rsid w:val="00DF6DA4"/>
    <w:rsid w:val="00DF6DFE"/>
    <w:rsid w:val="00DF7296"/>
    <w:rsid w:val="00DF7A5D"/>
    <w:rsid w:val="00E00207"/>
    <w:rsid w:val="00E002A9"/>
    <w:rsid w:val="00E003E5"/>
    <w:rsid w:val="00E00434"/>
    <w:rsid w:val="00E0049F"/>
    <w:rsid w:val="00E00657"/>
    <w:rsid w:val="00E00B4F"/>
    <w:rsid w:val="00E00E96"/>
    <w:rsid w:val="00E010D6"/>
    <w:rsid w:val="00E0151B"/>
    <w:rsid w:val="00E019B8"/>
    <w:rsid w:val="00E01BE3"/>
    <w:rsid w:val="00E01E77"/>
    <w:rsid w:val="00E02715"/>
    <w:rsid w:val="00E0273B"/>
    <w:rsid w:val="00E02CEB"/>
    <w:rsid w:val="00E02E47"/>
    <w:rsid w:val="00E02ED5"/>
    <w:rsid w:val="00E02F0C"/>
    <w:rsid w:val="00E036C3"/>
    <w:rsid w:val="00E039F7"/>
    <w:rsid w:val="00E03C6E"/>
    <w:rsid w:val="00E03EA4"/>
    <w:rsid w:val="00E040D9"/>
    <w:rsid w:val="00E0420F"/>
    <w:rsid w:val="00E045EC"/>
    <w:rsid w:val="00E04644"/>
    <w:rsid w:val="00E04B97"/>
    <w:rsid w:val="00E04D37"/>
    <w:rsid w:val="00E04DC9"/>
    <w:rsid w:val="00E04E20"/>
    <w:rsid w:val="00E04E2E"/>
    <w:rsid w:val="00E04F2D"/>
    <w:rsid w:val="00E04F5D"/>
    <w:rsid w:val="00E05130"/>
    <w:rsid w:val="00E05280"/>
    <w:rsid w:val="00E0561A"/>
    <w:rsid w:val="00E05A3E"/>
    <w:rsid w:val="00E05C4B"/>
    <w:rsid w:val="00E05DC3"/>
    <w:rsid w:val="00E05EAE"/>
    <w:rsid w:val="00E06148"/>
    <w:rsid w:val="00E06582"/>
    <w:rsid w:val="00E06859"/>
    <w:rsid w:val="00E06AED"/>
    <w:rsid w:val="00E06F84"/>
    <w:rsid w:val="00E06FD8"/>
    <w:rsid w:val="00E072B2"/>
    <w:rsid w:val="00E0735A"/>
    <w:rsid w:val="00E0759A"/>
    <w:rsid w:val="00E076D4"/>
    <w:rsid w:val="00E07954"/>
    <w:rsid w:val="00E079E5"/>
    <w:rsid w:val="00E07B26"/>
    <w:rsid w:val="00E07BCD"/>
    <w:rsid w:val="00E101B1"/>
    <w:rsid w:val="00E101FF"/>
    <w:rsid w:val="00E105B1"/>
    <w:rsid w:val="00E106AB"/>
    <w:rsid w:val="00E109E4"/>
    <w:rsid w:val="00E10BC2"/>
    <w:rsid w:val="00E11081"/>
    <w:rsid w:val="00E11098"/>
    <w:rsid w:val="00E11121"/>
    <w:rsid w:val="00E11240"/>
    <w:rsid w:val="00E115BB"/>
    <w:rsid w:val="00E115C9"/>
    <w:rsid w:val="00E1165B"/>
    <w:rsid w:val="00E11B89"/>
    <w:rsid w:val="00E1216B"/>
    <w:rsid w:val="00E12392"/>
    <w:rsid w:val="00E123C8"/>
    <w:rsid w:val="00E128D2"/>
    <w:rsid w:val="00E12971"/>
    <w:rsid w:val="00E12D23"/>
    <w:rsid w:val="00E1328A"/>
    <w:rsid w:val="00E133D9"/>
    <w:rsid w:val="00E133E4"/>
    <w:rsid w:val="00E137E6"/>
    <w:rsid w:val="00E13898"/>
    <w:rsid w:val="00E13A8D"/>
    <w:rsid w:val="00E14032"/>
    <w:rsid w:val="00E142CB"/>
    <w:rsid w:val="00E14880"/>
    <w:rsid w:val="00E149D2"/>
    <w:rsid w:val="00E14B8E"/>
    <w:rsid w:val="00E14EBC"/>
    <w:rsid w:val="00E14FB0"/>
    <w:rsid w:val="00E153AA"/>
    <w:rsid w:val="00E1559B"/>
    <w:rsid w:val="00E15629"/>
    <w:rsid w:val="00E15655"/>
    <w:rsid w:val="00E157BC"/>
    <w:rsid w:val="00E158A2"/>
    <w:rsid w:val="00E15DB0"/>
    <w:rsid w:val="00E15EE6"/>
    <w:rsid w:val="00E1602A"/>
    <w:rsid w:val="00E16424"/>
    <w:rsid w:val="00E165E6"/>
    <w:rsid w:val="00E16B76"/>
    <w:rsid w:val="00E16BF7"/>
    <w:rsid w:val="00E16E96"/>
    <w:rsid w:val="00E17079"/>
    <w:rsid w:val="00E171FD"/>
    <w:rsid w:val="00E172BA"/>
    <w:rsid w:val="00E1735D"/>
    <w:rsid w:val="00E17D93"/>
    <w:rsid w:val="00E17FD8"/>
    <w:rsid w:val="00E2062F"/>
    <w:rsid w:val="00E20D02"/>
    <w:rsid w:val="00E20D91"/>
    <w:rsid w:val="00E21410"/>
    <w:rsid w:val="00E215BE"/>
    <w:rsid w:val="00E21B06"/>
    <w:rsid w:val="00E21C8E"/>
    <w:rsid w:val="00E21F18"/>
    <w:rsid w:val="00E22206"/>
    <w:rsid w:val="00E223E2"/>
    <w:rsid w:val="00E22909"/>
    <w:rsid w:val="00E22A16"/>
    <w:rsid w:val="00E22E87"/>
    <w:rsid w:val="00E230E6"/>
    <w:rsid w:val="00E23B19"/>
    <w:rsid w:val="00E23C31"/>
    <w:rsid w:val="00E23D6B"/>
    <w:rsid w:val="00E23F4B"/>
    <w:rsid w:val="00E2407A"/>
    <w:rsid w:val="00E24D00"/>
    <w:rsid w:val="00E24FA5"/>
    <w:rsid w:val="00E2523C"/>
    <w:rsid w:val="00E25305"/>
    <w:rsid w:val="00E25879"/>
    <w:rsid w:val="00E259C3"/>
    <w:rsid w:val="00E259C9"/>
    <w:rsid w:val="00E25BC1"/>
    <w:rsid w:val="00E25BE4"/>
    <w:rsid w:val="00E25CD5"/>
    <w:rsid w:val="00E26057"/>
    <w:rsid w:val="00E261E4"/>
    <w:rsid w:val="00E26406"/>
    <w:rsid w:val="00E26DD3"/>
    <w:rsid w:val="00E27A3C"/>
    <w:rsid w:val="00E301B4"/>
    <w:rsid w:val="00E3029A"/>
    <w:rsid w:val="00E306BE"/>
    <w:rsid w:val="00E30D26"/>
    <w:rsid w:val="00E3196C"/>
    <w:rsid w:val="00E31F00"/>
    <w:rsid w:val="00E3204C"/>
    <w:rsid w:val="00E32C0A"/>
    <w:rsid w:val="00E331BD"/>
    <w:rsid w:val="00E33D50"/>
    <w:rsid w:val="00E33D9C"/>
    <w:rsid w:val="00E342A7"/>
    <w:rsid w:val="00E34323"/>
    <w:rsid w:val="00E3461F"/>
    <w:rsid w:val="00E347B2"/>
    <w:rsid w:val="00E34F66"/>
    <w:rsid w:val="00E352BB"/>
    <w:rsid w:val="00E3541F"/>
    <w:rsid w:val="00E354BF"/>
    <w:rsid w:val="00E354E3"/>
    <w:rsid w:val="00E3567D"/>
    <w:rsid w:val="00E35A46"/>
    <w:rsid w:val="00E35E8A"/>
    <w:rsid w:val="00E360EB"/>
    <w:rsid w:val="00E36351"/>
    <w:rsid w:val="00E363BF"/>
    <w:rsid w:val="00E3673A"/>
    <w:rsid w:val="00E37128"/>
    <w:rsid w:val="00E374B1"/>
    <w:rsid w:val="00E37514"/>
    <w:rsid w:val="00E378C4"/>
    <w:rsid w:val="00E37A8F"/>
    <w:rsid w:val="00E37D23"/>
    <w:rsid w:val="00E37E89"/>
    <w:rsid w:val="00E40E46"/>
    <w:rsid w:val="00E40EEA"/>
    <w:rsid w:val="00E41A9C"/>
    <w:rsid w:val="00E41C19"/>
    <w:rsid w:val="00E41E27"/>
    <w:rsid w:val="00E41F0D"/>
    <w:rsid w:val="00E41F77"/>
    <w:rsid w:val="00E429F0"/>
    <w:rsid w:val="00E42A6C"/>
    <w:rsid w:val="00E42AE4"/>
    <w:rsid w:val="00E42B58"/>
    <w:rsid w:val="00E42B90"/>
    <w:rsid w:val="00E4323D"/>
    <w:rsid w:val="00E432C5"/>
    <w:rsid w:val="00E432E4"/>
    <w:rsid w:val="00E440E7"/>
    <w:rsid w:val="00E44672"/>
    <w:rsid w:val="00E446BC"/>
    <w:rsid w:val="00E45062"/>
    <w:rsid w:val="00E45738"/>
    <w:rsid w:val="00E459DC"/>
    <w:rsid w:val="00E45CC8"/>
    <w:rsid w:val="00E45E82"/>
    <w:rsid w:val="00E4630F"/>
    <w:rsid w:val="00E463A2"/>
    <w:rsid w:val="00E46B43"/>
    <w:rsid w:val="00E4731A"/>
    <w:rsid w:val="00E47957"/>
    <w:rsid w:val="00E47DFE"/>
    <w:rsid w:val="00E50205"/>
    <w:rsid w:val="00E506E5"/>
    <w:rsid w:val="00E506EC"/>
    <w:rsid w:val="00E50AE1"/>
    <w:rsid w:val="00E513D1"/>
    <w:rsid w:val="00E51425"/>
    <w:rsid w:val="00E518F2"/>
    <w:rsid w:val="00E519F5"/>
    <w:rsid w:val="00E51BE5"/>
    <w:rsid w:val="00E51FBE"/>
    <w:rsid w:val="00E521A8"/>
    <w:rsid w:val="00E52531"/>
    <w:rsid w:val="00E52577"/>
    <w:rsid w:val="00E52775"/>
    <w:rsid w:val="00E5283B"/>
    <w:rsid w:val="00E528DE"/>
    <w:rsid w:val="00E5292F"/>
    <w:rsid w:val="00E529F4"/>
    <w:rsid w:val="00E52ED1"/>
    <w:rsid w:val="00E52F4C"/>
    <w:rsid w:val="00E52F9A"/>
    <w:rsid w:val="00E531E4"/>
    <w:rsid w:val="00E5367F"/>
    <w:rsid w:val="00E53BA5"/>
    <w:rsid w:val="00E53F07"/>
    <w:rsid w:val="00E54260"/>
    <w:rsid w:val="00E54767"/>
    <w:rsid w:val="00E5480C"/>
    <w:rsid w:val="00E549D2"/>
    <w:rsid w:val="00E54E9F"/>
    <w:rsid w:val="00E550FB"/>
    <w:rsid w:val="00E554CA"/>
    <w:rsid w:val="00E5556D"/>
    <w:rsid w:val="00E55643"/>
    <w:rsid w:val="00E55727"/>
    <w:rsid w:val="00E55A08"/>
    <w:rsid w:val="00E55ACB"/>
    <w:rsid w:val="00E563C4"/>
    <w:rsid w:val="00E56B88"/>
    <w:rsid w:val="00E56CA6"/>
    <w:rsid w:val="00E574F4"/>
    <w:rsid w:val="00E578CF"/>
    <w:rsid w:val="00E57AEF"/>
    <w:rsid w:val="00E57C0E"/>
    <w:rsid w:val="00E57CEC"/>
    <w:rsid w:val="00E57E32"/>
    <w:rsid w:val="00E57E88"/>
    <w:rsid w:val="00E57F17"/>
    <w:rsid w:val="00E60070"/>
    <w:rsid w:val="00E6008D"/>
    <w:rsid w:val="00E605A6"/>
    <w:rsid w:val="00E6073D"/>
    <w:rsid w:val="00E61780"/>
    <w:rsid w:val="00E6182D"/>
    <w:rsid w:val="00E61A03"/>
    <w:rsid w:val="00E61B02"/>
    <w:rsid w:val="00E61D89"/>
    <w:rsid w:val="00E61D97"/>
    <w:rsid w:val="00E61F6B"/>
    <w:rsid w:val="00E62201"/>
    <w:rsid w:val="00E62D23"/>
    <w:rsid w:val="00E62DA1"/>
    <w:rsid w:val="00E62E0A"/>
    <w:rsid w:val="00E62FC4"/>
    <w:rsid w:val="00E63147"/>
    <w:rsid w:val="00E63354"/>
    <w:rsid w:val="00E6380B"/>
    <w:rsid w:val="00E6381E"/>
    <w:rsid w:val="00E643CC"/>
    <w:rsid w:val="00E64704"/>
    <w:rsid w:val="00E64F73"/>
    <w:rsid w:val="00E65CAF"/>
    <w:rsid w:val="00E6656C"/>
    <w:rsid w:val="00E66945"/>
    <w:rsid w:val="00E669A6"/>
    <w:rsid w:val="00E66BAD"/>
    <w:rsid w:val="00E6758A"/>
    <w:rsid w:val="00E676E2"/>
    <w:rsid w:val="00E67711"/>
    <w:rsid w:val="00E67AE6"/>
    <w:rsid w:val="00E67E76"/>
    <w:rsid w:val="00E70038"/>
    <w:rsid w:val="00E70136"/>
    <w:rsid w:val="00E70535"/>
    <w:rsid w:val="00E706C8"/>
    <w:rsid w:val="00E70C93"/>
    <w:rsid w:val="00E70F52"/>
    <w:rsid w:val="00E71512"/>
    <w:rsid w:val="00E715F5"/>
    <w:rsid w:val="00E71B90"/>
    <w:rsid w:val="00E71BAE"/>
    <w:rsid w:val="00E71BFA"/>
    <w:rsid w:val="00E720A6"/>
    <w:rsid w:val="00E72308"/>
    <w:rsid w:val="00E7249E"/>
    <w:rsid w:val="00E726AC"/>
    <w:rsid w:val="00E7276B"/>
    <w:rsid w:val="00E72A1B"/>
    <w:rsid w:val="00E72A67"/>
    <w:rsid w:val="00E72C9A"/>
    <w:rsid w:val="00E7343C"/>
    <w:rsid w:val="00E74597"/>
    <w:rsid w:val="00E747DE"/>
    <w:rsid w:val="00E7491C"/>
    <w:rsid w:val="00E74D2C"/>
    <w:rsid w:val="00E754EB"/>
    <w:rsid w:val="00E757E2"/>
    <w:rsid w:val="00E759CD"/>
    <w:rsid w:val="00E75B4B"/>
    <w:rsid w:val="00E75C5D"/>
    <w:rsid w:val="00E75C95"/>
    <w:rsid w:val="00E75D38"/>
    <w:rsid w:val="00E76225"/>
    <w:rsid w:val="00E76283"/>
    <w:rsid w:val="00E766B5"/>
    <w:rsid w:val="00E76712"/>
    <w:rsid w:val="00E76AB7"/>
    <w:rsid w:val="00E77630"/>
    <w:rsid w:val="00E7764D"/>
    <w:rsid w:val="00E7773E"/>
    <w:rsid w:val="00E778E1"/>
    <w:rsid w:val="00E778F9"/>
    <w:rsid w:val="00E77928"/>
    <w:rsid w:val="00E7792C"/>
    <w:rsid w:val="00E77B2B"/>
    <w:rsid w:val="00E77BAD"/>
    <w:rsid w:val="00E77D3C"/>
    <w:rsid w:val="00E77FCB"/>
    <w:rsid w:val="00E80055"/>
    <w:rsid w:val="00E80064"/>
    <w:rsid w:val="00E80523"/>
    <w:rsid w:val="00E809DE"/>
    <w:rsid w:val="00E80A95"/>
    <w:rsid w:val="00E80AE4"/>
    <w:rsid w:val="00E81194"/>
    <w:rsid w:val="00E81358"/>
    <w:rsid w:val="00E8153F"/>
    <w:rsid w:val="00E8163A"/>
    <w:rsid w:val="00E8167D"/>
    <w:rsid w:val="00E818F2"/>
    <w:rsid w:val="00E81945"/>
    <w:rsid w:val="00E81976"/>
    <w:rsid w:val="00E81A70"/>
    <w:rsid w:val="00E81E2D"/>
    <w:rsid w:val="00E82AAE"/>
    <w:rsid w:val="00E82AC2"/>
    <w:rsid w:val="00E82CD6"/>
    <w:rsid w:val="00E83797"/>
    <w:rsid w:val="00E83DF5"/>
    <w:rsid w:val="00E83EDE"/>
    <w:rsid w:val="00E83F10"/>
    <w:rsid w:val="00E84574"/>
    <w:rsid w:val="00E84DBD"/>
    <w:rsid w:val="00E85415"/>
    <w:rsid w:val="00E85575"/>
    <w:rsid w:val="00E855F8"/>
    <w:rsid w:val="00E85818"/>
    <w:rsid w:val="00E859D8"/>
    <w:rsid w:val="00E8611B"/>
    <w:rsid w:val="00E864CD"/>
    <w:rsid w:val="00E866C5"/>
    <w:rsid w:val="00E87877"/>
    <w:rsid w:val="00E902A2"/>
    <w:rsid w:val="00E903E8"/>
    <w:rsid w:val="00E90621"/>
    <w:rsid w:val="00E90910"/>
    <w:rsid w:val="00E90C73"/>
    <w:rsid w:val="00E90E56"/>
    <w:rsid w:val="00E91026"/>
    <w:rsid w:val="00E91099"/>
    <w:rsid w:val="00E91139"/>
    <w:rsid w:val="00E91455"/>
    <w:rsid w:val="00E917BC"/>
    <w:rsid w:val="00E917EB"/>
    <w:rsid w:val="00E92A5B"/>
    <w:rsid w:val="00E92C1E"/>
    <w:rsid w:val="00E9323A"/>
    <w:rsid w:val="00E93498"/>
    <w:rsid w:val="00E93719"/>
    <w:rsid w:val="00E93A32"/>
    <w:rsid w:val="00E93F16"/>
    <w:rsid w:val="00E94039"/>
    <w:rsid w:val="00E944B7"/>
    <w:rsid w:val="00E94649"/>
    <w:rsid w:val="00E948AE"/>
    <w:rsid w:val="00E94CD4"/>
    <w:rsid w:val="00E94E05"/>
    <w:rsid w:val="00E95098"/>
    <w:rsid w:val="00E95197"/>
    <w:rsid w:val="00E95752"/>
    <w:rsid w:val="00E95805"/>
    <w:rsid w:val="00E95B8D"/>
    <w:rsid w:val="00E960E6"/>
    <w:rsid w:val="00E96291"/>
    <w:rsid w:val="00E967D2"/>
    <w:rsid w:val="00E96B90"/>
    <w:rsid w:val="00E970F5"/>
    <w:rsid w:val="00E975C6"/>
    <w:rsid w:val="00E9764C"/>
    <w:rsid w:val="00E97662"/>
    <w:rsid w:val="00E979CE"/>
    <w:rsid w:val="00E97ABC"/>
    <w:rsid w:val="00E97C41"/>
    <w:rsid w:val="00E97EFB"/>
    <w:rsid w:val="00EA0137"/>
    <w:rsid w:val="00EA020C"/>
    <w:rsid w:val="00EA0456"/>
    <w:rsid w:val="00EA04C2"/>
    <w:rsid w:val="00EA04CF"/>
    <w:rsid w:val="00EA08BC"/>
    <w:rsid w:val="00EA0B10"/>
    <w:rsid w:val="00EA0CAF"/>
    <w:rsid w:val="00EA1A7A"/>
    <w:rsid w:val="00EA1C20"/>
    <w:rsid w:val="00EA2220"/>
    <w:rsid w:val="00EA27A8"/>
    <w:rsid w:val="00EA2FBF"/>
    <w:rsid w:val="00EA3316"/>
    <w:rsid w:val="00EA373F"/>
    <w:rsid w:val="00EA3964"/>
    <w:rsid w:val="00EA3B26"/>
    <w:rsid w:val="00EA3FF0"/>
    <w:rsid w:val="00EA40C3"/>
    <w:rsid w:val="00EA44E1"/>
    <w:rsid w:val="00EA4683"/>
    <w:rsid w:val="00EA46C8"/>
    <w:rsid w:val="00EA484B"/>
    <w:rsid w:val="00EA4F65"/>
    <w:rsid w:val="00EA52B8"/>
    <w:rsid w:val="00EA58C0"/>
    <w:rsid w:val="00EA5C4A"/>
    <w:rsid w:val="00EA6634"/>
    <w:rsid w:val="00EA67BA"/>
    <w:rsid w:val="00EA68AD"/>
    <w:rsid w:val="00EA702F"/>
    <w:rsid w:val="00EA744B"/>
    <w:rsid w:val="00EA74F0"/>
    <w:rsid w:val="00EA7D8A"/>
    <w:rsid w:val="00EB0074"/>
    <w:rsid w:val="00EB028F"/>
    <w:rsid w:val="00EB03EC"/>
    <w:rsid w:val="00EB040F"/>
    <w:rsid w:val="00EB161E"/>
    <w:rsid w:val="00EB1FC2"/>
    <w:rsid w:val="00EB1FEB"/>
    <w:rsid w:val="00EB201B"/>
    <w:rsid w:val="00EB20AD"/>
    <w:rsid w:val="00EB2204"/>
    <w:rsid w:val="00EB27C7"/>
    <w:rsid w:val="00EB2ED6"/>
    <w:rsid w:val="00EB3094"/>
    <w:rsid w:val="00EB30AB"/>
    <w:rsid w:val="00EB3293"/>
    <w:rsid w:val="00EB380F"/>
    <w:rsid w:val="00EB39E2"/>
    <w:rsid w:val="00EB3CE2"/>
    <w:rsid w:val="00EB41E7"/>
    <w:rsid w:val="00EB41EB"/>
    <w:rsid w:val="00EB422C"/>
    <w:rsid w:val="00EB446C"/>
    <w:rsid w:val="00EB476F"/>
    <w:rsid w:val="00EB4876"/>
    <w:rsid w:val="00EB4964"/>
    <w:rsid w:val="00EB4D46"/>
    <w:rsid w:val="00EB4DC3"/>
    <w:rsid w:val="00EB5065"/>
    <w:rsid w:val="00EB5350"/>
    <w:rsid w:val="00EB556E"/>
    <w:rsid w:val="00EB595A"/>
    <w:rsid w:val="00EB5D3C"/>
    <w:rsid w:val="00EB5FE0"/>
    <w:rsid w:val="00EB5FFD"/>
    <w:rsid w:val="00EB61E7"/>
    <w:rsid w:val="00EB61F7"/>
    <w:rsid w:val="00EB631E"/>
    <w:rsid w:val="00EB6385"/>
    <w:rsid w:val="00EB6B12"/>
    <w:rsid w:val="00EB6F2C"/>
    <w:rsid w:val="00EB73CC"/>
    <w:rsid w:val="00EB755A"/>
    <w:rsid w:val="00EB79AF"/>
    <w:rsid w:val="00EB79C2"/>
    <w:rsid w:val="00EB7C59"/>
    <w:rsid w:val="00EB7CD6"/>
    <w:rsid w:val="00EC00B9"/>
    <w:rsid w:val="00EC00F9"/>
    <w:rsid w:val="00EC0947"/>
    <w:rsid w:val="00EC0F2E"/>
    <w:rsid w:val="00EC0F67"/>
    <w:rsid w:val="00EC0FA5"/>
    <w:rsid w:val="00EC1243"/>
    <w:rsid w:val="00EC1767"/>
    <w:rsid w:val="00EC1B59"/>
    <w:rsid w:val="00EC1C6C"/>
    <w:rsid w:val="00EC1DB5"/>
    <w:rsid w:val="00EC1E4F"/>
    <w:rsid w:val="00EC2372"/>
    <w:rsid w:val="00EC2BD8"/>
    <w:rsid w:val="00EC2E2A"/>
    <w:rsid w:val="00EC2E47"/>
    <w:rsid w:val="00EC3285"/>
    <w:rsid w:val="00EC3338"/>
    <w:rsid w:val="00EC356D"/>
    <w:rsid w:val="00EC3679"/>
    <w:rsid w:val="00EC3A0A"/>
    <w:rsid w:val="00EC3BEF"/>
    <w:rsid w:val="00EC3D0C"/>
    <w:rsid w:val="00EC4692"/>
    <w:rsid w:val="00EC4807"/>
    <w:rsid w:val="00EC497D"/>
    <w:rsid w:val="00EC4B33"/>
    <w:rsid w:val="00EC4B7F"/>
    <w:rsid w:val="00EC4C97"/>
    <w:rsid w:val="00EC4D6F"/>
    <w:rsid w:val="00EC4DED"/>
    <w:rsid w:val="00EC59F7"/>
    <w:rsid w:val="00EC5A74"/>
    <w:rsid w:val="00EC658B"/>
    <w:rsid w:val="00EC65A7"/>
    <w:rsid w:val="00EC686A"/>
    <w:rsid w:val="00EC6D2A"/>
    <w:rsid w:val="00EC7354"/>
    <w:rsid w:val="00EC773A"/>
    <w:rsid w:val="00ED03D6"/>
    <w:rsid w:val="00ED053B"/>
    <w:rsid w:val="00ED0629"/>
    <w:rsid w:val="00ED0649"/>
    <w:rsid w:val="00ED0BAA"/>
    <w:rsid w:val="00ED106B"/>
    <w:rsid w:val="00ED113E"/>
    <w:rsid w:val="00ED1223"/>
    <w:rsid w:val="00ED16D6"/>
    <w:rsid w:val="00ED1D25"/>
    <w:rsid w:val="00ED23D7"/>
    <w:rsid w:val="00ED25B4"/>
    <w:rsid w:val="00ED277E"/>
    <w:rsid w:val="00ED27F7"/>
    <w:rsid w:val="00ED2946"/>
    <w:rsid w:val="00ED2C32"/>
    <w:rsid w:val="00ED2C89"/>
    <w:rsid w:val="00ED2D02"/>
    <w:rsid w:val="00ED2D6A"/>
    <w:rsid w:val="00ED2DA0"/>
    <w:rsid w:val="00ED31AD"/>
    <w:rsid w:val="00ED34F8"/>
    <w:rsid w:val="00ED36E8"/>
    <w:rsid w:val="00ED3760"/>
    <w:rsid w:val="00ED3A33"/>
    <w:rsid w:val="00ED3A4A"/>
    <w:rsid w:val="00ED3D27"/>
    <w:rsid w:val="00ED425C"/>
    <w:rsid w:val="00ED45D6"/>
    <w:rsid w:val="00ED46D1"/>
    <w:rsid w:val="00ED4909"/>
    <w:rsid w:val="00ED49AE"/>
    <w:rsid w:val="00ED4E51"/>
    <w:rsid w:val="00ED4FC7"/>
    <w:rsid w:val="00ED5207"/>
    <w:rsid w:val="00ED5569"/>
    <w:rsid w:val="00ED55F2"/>
    <w:rsid w:val="00ED563B"/>
    <w:rsid w:val="00ED5868"/>
    <w:rsid w:val="00ED5FD9"/>
    <w:rsid w:val="00ED6111"/>
    <w:rsid w:val="00ED62FF"/>
    <w:rsid w:val="00ED649F"/>
    <w:rsid w:val="00ED682D"/>
    <w:rsid w:val="00ED6E86"/>
    <w:rsid w:val="00ED701A"/>
    <w:rsid w:val="00ED7081"/>
    <w:rsid w:val="00ED7223"/>
    <w:rsid w:val="00ED7278"/>
    <w:rsid w:val="00ED7441"/>
    <w:rsid w:val="00ED7488"/>
    <w:rsid w:val="00ED79F4"/>
    <w:rsid w:val="00ED7C43"/>
    <w:rsid w:val="00ED7CEF"/>
    <w:rsid w:val="00ED7D3D"/>
    <w:rsid w:val="00EE0A27"/>
    <w:rsid w:val="00EE0D1F"/>
    <w:rsid w:val="00EE0F38"/>
    <w:rsid w:val="00EE177C"/>
    <w:rsid w:val="00EE1C6E"/>
    <w:rsid w:val="00EE1CA5"/>
    <w:rsid w:val="00EE1F09"/>
    <w:rsid w:val="00EE2533"/>
    <w:rsid w:val="00EE2A1E"/>
    <w:rsid w:val="00EE2CAF"/>
    <w:rsid w:val="00EE31EB"/>
    <w:rsid w:val="00EE3648"/>
    <w:rsid w:val="00EE3769"/>
    <w:rsid w:val="00EE3DFB"/>
    <w:rsid w:val="00EE3EA1"/>
    <w:rsid w:val="00EE3EB7"/>
    <w:rsid w:val="00EE4ACC"/>
    <w:rsid w:val="00EE4EF4"/>
    <w:rsid w:val="00EE5618"/>
    <w:rsid w:val="00EE6478"/>
    <w:rsid w:val="00EE6787"/>
    <w:rsid w:val="00EE68AC"/>
    <w:rsid w:val="00EE6959"/>
    <w:rsid w:val="00EE6C4B"/>
    <w:rsid w:val="00EE6EB5"/>
    <w:rsid w:val="00EE7035"/>
    <w:rsid w:val="00EE78FA"/>
    <w:rsid w:val="00EE7B2B"/>
    <w:rsid w:val="00EE7B6D"/>
    <w:rsid w:val="00EF0092"/>
    <w:rsid w:val="00EF02E9"/>
    <w:rsid w:val="00EF0439"/>
    <w:rsid w:val="00EF06DC"/>
    <w:rsid w:val="00EF0B07"/>
    <w:rsid w:val="00EF0B9E"/>
    <w:rsid w:val="00EF0D31"/>
    <w:rsid w:val="00EF0ED4"/>
    <w:rsid w:val="00EF1319"/>
    <w:rsid w:val="00EF160B"/>
    <w:rsid w:val="00EF1760"/>
    <w:rsid w:val="00EF1C85"/>
    <w:rsid w:val="00EF2375"/>
    <w:rsid w:val="00EF285A"/>
    <w:rsid w:val="00EF2A6C"/>
    <w:rsid w:val="00EF2E0D"/>
    <w:rsid w:val="00EF33F1"/>
    <w:rsid w:val="00EF3645"/>
    <w:rsid w:val="00EF3866"/>
    <w:rsid w:val="00EF3957"/>
    <w:rsid w:val="00EF3AF2"/>
    <w:rsid w:val="00EF3C21"/>
    <w:rsid w:val="00EF407C"/>
    <w:rsid w:val="00EF4302"/>
    <w:rsid w:val="00EF4423"/>
    <w:rsid w:val="00EF46B6"/>
    <w:rsid w:val="00EF4735"/>
    <w:rsid w:val="00EF4B18"/>
    <w:rsid w:val="00EF4DDE"/>
    <w:rsid w:val="00EF59CD"/>
    <w:rsid w:val="00EF5B44"/>
    <w:rsid w:val="00EF5BD3"/>
    <w:rsid w:val="00EF5F85"/>
    <w:rsid w:val="00EF6081"/>
    <w:rsid w:val="00EF636C"/>
    <w:rsid w:val="00EF6494"/>
    <w:rsid w:val="00EF656B"/>
    <w:rsid w:val="00EF669E"/>
    <w:rsid w:val="00EF66FC"/>
    <w:rsid w:val="00EF675C"/>
    <w:rsid w:val="00EF687C"/>
    <w:rsid w:val="00EF6DDF"/>
    <w:rsid w:val="00EF706B"/>
    <w:rsid w:val="00EF712A"/>
    <w:rsid w:val="00EF7377"/>
    <w:rsid w:val="00EF7724"/>
    <w:rsid w:val="00EF7BE6"/>
    <w:rsid w:val="00EF7D3F"/>
    <w:rsid w:val="00F00040"/>
    <w:rsid w:val="00F0015E"/>
    <w:rsid w:val="00F00382"/>
    <w:rsid w:val="00F00441"/>
    <w:rsid w:val="00F004BF"/>
    <w:rsid w:val="00F00579"/>
    <w:rsid w:val="00F011FD"/>
    <w:rsid w:val="00F012E1"/>
    <w:rsid w:val="00F016E7"/>
    <w:rsid w:val="00F017B8"/>
    <w:rsid w:val="00F01BFC"/>
    <w:rsid w:val="00F02625"/>
    <w:rsid w:val="00F02638"/>
    <w:rsid w:val="00F026D1"/>
    <w:rsid w:val="00F026E9"/>
    <w:rsid w:val="00F02B4E"/>
    <w:rsid w:val="00F02C23"/>
    <w:rsid w:val="00F02C66"/>
    <w:rsid w:val="00F0303F"/>
    <w:rsid w:val="00F031AE"/>
    <w:rsid w:val="00F03340"/>
    <w:rsid w:val="00F03394"/>
    <w:rsid w:val="00F036D6"/>
    <w:rsid w:val="00F0420E"/>
    <w:rsid w:val="00F042BF"/>
    <w:rsid w:val="00F052FD"/>
    <w:rsid w:val="00F053D2"/>
    <w:rsid w:val="00F054EE"/>
    <w:rsid w:val="00F057A7"/>
    <w:rsid w:val="00F057CC"/>
    <w:rsid w:val="00F05838"/>
    <w:rsid w:val="00F059C3"/>
    <w:rsid w:val="00F05E0B"/>
    <w:rsid w:val="00F05ECF"/>
    <w:rsid w:val="00F064BD"/>
    <w:rsid w:val="00F064E3"/>
    <w:rsid w:val="00F0666F"/>
    <w:rsid w:val="00F06981"/>
    <w:rsid w:val="00F06A95"/>
    <w:rsid w:val="00F06E94"/>
    <w:rsid w:val="00F073E6"/>
    <w:rsid w:val="00F07D8D"/>
    <w:rsid w:val="00F10038"/>
    <w:rsid w:val="00F1018B"/>
    <w:rsid w:val="00F103E6"/>
    <w:rsid w:val="00F10450"/>
    <w:rsid w:val="00F104A5"/>
    <w:rsid w:val="00F104F7"/>
    <w:rsid w:val="00F105BC"/>
    <w:rsid w:val="00F108D6"/>
    <w:rsid w:val="00F10B0F"/>
    <w:rsid w:val="00F10C3D"/>
    <w:rsid w:val="00F10CD9"/>
    <w:rsid w:val="00F10FBD"/>
    <w:rsid w:val="00F11044"/>
    <w:rsid w:val="00F11371"/>
    <w:rsid w:val="00F11433"/>
    <w:rsid w:val="00F114D3"/>
    <w:rsid w:val="00F120CF"/>
    <w:rsid w:val="00F12382"/>
    <w:rsid w:val="00F124B3"/>
    <w:rsid w:val="00F12568"/>
    <w:rsid w:val="00F1324F"/>
    <w:rsid w:val="00F132B6"/>
    <w:rsid w:val="00F132D4"/>
    <w:rsid w:val="00F1341A"/>
    <w:rsid w:val="00F136DC"/>
    <w:rsid w:val="00F13925"/>
    <w:rsid w:val="00F13E60"/>
    <w:rsid w:val="00F13FA2"/>
    <w:rsid w:val="00F14387"/>
    <w:rsid w:val="00F14950"/>
    <w:rsid w:val="00F1497A"/>
    <w:rsid w:val="00F14A25"/>
    <w:rsid w:val="00F14C04"/>
    <w:rsid w:val="00F14CE5"/>
    <w:rsid w:val="00F15103"/>
    <w:rsid w:val="00F15440"/>
    <w:rsid w:val="00F1552F"/>
    <w:rsid w:val="00F15797"/>
    <w:rsid w:val="00F15A97"/>
    <w:rsid w:val="00F15AD2"/>
    <w:rsid w:val="00F15AFF"/>
    <w:rsid w:val="00F15EEB"/>
    <w:rsid w:val="00F15F5B"/>
    <w:rsid w:val="00F15FE8"/>
    <w:rsid w:val="00F160B7"/>
    <w:rsid w:val="00F16DEE"/>
    <w:rsid w:val="00F1723B"/>
    <w:rsid w:val="00F17451"/>
    <w:rsid w:val="00F174CE"/>
    <w:rsid w:val="00F17713"/>
    <w:rsid w:val="00F17798"/>
    <w:rsid w:val="00F17A0C"/>
    <w:rsid w:val="00F17D39"/>
    <w:rsid w:val="00F17E53"/>
    <w:rsid w:val="00F20105"/>
    <w:rsid w:val="00F2062B"/>
    <w:rsid w:val="00F209A1"/>
    <w:rsid w:val="00F20C55"/>
    <w:rsid w:val="00F216A5"/>
    <w:rsid w:val="00F21B8D"/>
    <w:rsid w:val="00F21BED"/>
    <w:rsid w:val="00F21CC2"/>
    <w:rsid w:val="00F21EEC"/>
    <w:rsid w:val="00F21F02"/>
    <w:rsid w:val="00F21FD0"/>
    <w:rsid w:val="00F220D6"/>
    <w:rsid w:val="00F224F8"/>
    <w:rsid w:val="00F2294C"/>
    <w:rsid w:val="00F22B74"/>
    <w:rsid w:val="00F22C8D"/>
    <w:rsid w:val="00F23034"/>
    <w:rsid w:val="00F230E2"/>
    <w:rsid w:val="00F23462"/>
    <w:rsid w:val="00F23870"/>
    <w:rsid w:val="00F23947"/>
    <w:rsid w:val="00F23A2D"/>
    <w:rsid w:val="00F23ED7"/>
    <w:rsid w:val="00F2465A"/>
    <w:rsid w:val="00F247E2"/>
    <w:rsid w:val="00F24969"/>
    <w:rsid w:val="00F24B9C"/>
    <w:rsid w:val="00F24BB6"/>
    <w:rsid w:val="00F24BFB"/>
    <w:rsid w:val="00F24F3A"/>
    <w:rsid w:val="00F24F92"/>
    <w:rsid w:val="00F2520D"/>
    <w:rsid w:val="00F258A7"/>
    <w:rsid w:val="00F25D47"/>
    <w:rsid w:val="00F26076"/>
    <w:rsid w:val="00F263AE"/>
    <w:rsid w:val="00F264F4"/>
    <w:rsid w:val="00F266ED"/>
    <w:rsid w:val="00F27617"/>
    <w:rsid w:val="00F27831"/>
    <w:rsid w:val="00F27BAB"/>
    <w:rsid w:val="00F27BD7"/>
    <w:rsid w:val="00F27BDD"/>
    <w:rsid w:val="00F27C30"/>
    <w:rsid w:val="00F27C75"/>
    <w:rsid w:val="00F30084"/>
    <w:rsid w:val="00F302B7"/>
    <w:rsid w:val="00F30300"/>
    <w:rsid w:val="00F30BDD"/>
    <w:rsid w:val="00F30BF9"/>
    <w:rsid w:val="00F30E17"/>
    <w:rsid w:val="00F30EC5"/>
    <w:rsid w:val="00F30EE9"/>
    <w:rsid w:val="00F31096"/>
    <w:rsid w:val="00F318A5"/>
    <w:rsid w:val="00F31A5C"/>
    <w:rsid w:val="00F31F0B"/>
    <w:rsid w:val="00F320FD"/>
    <w:rsid w:val="00F3214F"/>
    <w:rsid w:val="00F32478"/>
    <w:rsid w:val="00F32CD8"/>
    <w:rsid w:val="00F32F5E"/>
    <w:rsid w:val="00F33392"/>
    <w:rsid w:val="00F33687"/>
    <w:rsid w:val="00F337D8"/>
    <w:rsid w:val="00F33C94"/>
    <w:rsid w:val="00F34288"/>
    <w:rsid w:val="00F34738"/>
    <w:rsid w:val="00F3545D"/>
    <w:rsid w:val="00F35626"/>
    <w:rsid w:val="00F359F7"/>
    <w:rsid w:val="00F35FEF"/>
    <w:rsid w:val="00F36150"/>
    <w:rsid w:val="00F363A8"/>
    <w:rsid w:val="00F364D8"/>
    <w:rsid w:val="00F36544"/>
    <w:rsid w:val="00F3687B"/>
    <w:rsid w:val="00F36D90"/>
    <w:rsid w:val="00F370D0"/>
    <w:rsid w:val="00F371F3"/>
    <w:rsid w:val="00F37252"/>
    <w:rsid w:val="00F373B2"/>
    <w:rsid w:val="00F37432"/>
    <w:rsid w:val="00F374BF"/>
    <w:rsid w:val="00F375FC"/>
    <w:rsid w:val="00F3790E"/>
    <w:rsid w:val="00F37A7A"/>
    <w:rsid w:val="00F37B2B"/>
    <w:rsid w:val="00F37E27"/>
    <w:rsid w:val="00F37FF4"/>
    <w:rsid w:val="00F401EC"/>
    <w:rsid w:val="00F40206"/>
    <w:rsid w:val="00F40DA2"/>
    <w:rsid w:val="00F40EC9"/>
    <w:rsid w:val="00F410EE"/>
    <w:rsid w:val="00F41760"/>
    <w:rsid w:val="00F41856"/>
    <w:rsid w:val="00F41BB5"/>
    <w:rsid w:val="00F41D10"/>
    <w:rsid w:val="00F41F1D"/>
    <w:rsid w:val="00F42202"/>
    <w:rsid w:val="00F42427"/>
    <w:rsid w:val="00F42564"/>
    <w:rsid w:val="00F426E7"/>
    <w:rsid w:val="00F42DFC"/>
    <w:rsid w:val="00F42F0D"/>
    <w:rsid w:val="00F433CD"/>
    <w:rsid w:val="00F43516"/>
    <w:rsid w:val="00F436DF"/>
    <w:rsid w:val="00F43B26"/>
    <w:rsid w:val="00F43D65"/>
    <w:rsid w:val="00F43E4F"/>
    <w:rsid w:val="00F441EA"/>
    <w:rsid w:val="00F44385"/>
    <w:rsid w:val="00F443C7"/>
    <w:rsid w:val="00F44464"/>
    <w:rsid w:val="00F44A4B"/>
    <w:rsid w:val="00F4516D"/>
    <w:rsid w:val="00F458F9"/>
    <w:rsid w:val="00F45F76"/>
    <w:rsid w:val="00F46037"/>
    <w:rsid w:val="00F46520"/>
    <w:rsid w:val="00F467BC"/>
    <w:rsid w:val="00F467C4"/>
    <w:rsid w:val="00F46A80"/>
    <w:rsid w:val="00F46AE7"/>
    <w:rsid w:val="00F46C8D"/>
    <w:rsid w:val="00F46D4B"/>
    <w:rsid w:val="00F46E52"/>
    <w:rsid w:val="00F47169"/>
    <w:rsid w:val="00F47257"/>
    <w:rsid w:val="00F475DD"/>
    <w:rsid w:val="00F47CA5"/>
    <w:rsid w:val="00F47D94"/>
    <w:rsid w:val="00F503FF"/>
    <w:rsid w:val="00F5059A"/>
    <w:rsid w:val="00F50730"/>
    <w:rsid w:val="00F50AC0"/>
    <w:rsid w:val="00F50B99"/>
    <w:rsid w:val="00F50DC8"/>
    <w:rsid w:val="00F5114F"/>
    <w:rsid w:val="00F51942"/>
    <w:rsid w:val="00F51D3E"/>
    <w:rsid w:val="00F51FD1"/>
    <w:rsid w:val="00F52140"/>
    <w:rsid w:val="00F52483"/>
    <w:rsid w:val="00F52640"/>
    <w:rsid w:val="00F52F81"/>
    <w:rsid w:val="00F53157"/>
    <w:rsid w:val="00F533D0"/>
    <w:rsid w:val="00F533F8"/>
    <w:rsid w:val="00F53506"/>
    <w:rsid w:val="00F53769"/>
    <w:rsid w:val="00F5380C"/>
    <w:rsid w:val="00F53A57"/>
    <w:rsid w:val="00F53BAB"/>
    <w:rsid w:val="00F540F9"/>
    <w:rsid w:val="00F54363"/>
    <w:rsid w:val="00F54744"/>
    <w:rsid w:val="00F54756"/>
    <w:rsid w:val="00F54832"/>
    <w:rsid w:val="00F548E1"/>
    <w:rsid w:val="00F54C8D"/>
    <w:rsid w:val="00F54D17"/>
    <w:rsid w:val="00F54EFF"/>
    <w:rsid w:val="00F54FA3"/>
    <w:rsid w:val="00F554E0"/>
    <w:rsid w:val="00F5566D"/>
    <w:rsid w:val="00F55727"/>
    <w:rsid w:val="00F55F15"/>
    <w:rsid w:val="00F55F79"/>
    <w:rsid w:val="00F55FF3"/>
    <w:rsid w:val="00F5633F"/>
    <w:rsid w:val="00F5661A"/>
    <w:rsid w:val="00F5693D"/>
    <w:rsid w:val="00F569CE"/>
    <w:rsid w:val="00F56C2D"/>
    <w:rsid w:val="00F56EEC"/>
    <w:rsid w:val="00F570F2"/>
    <w:rsid w:val="00F5713F"/>
    <w:rsid w:val="00F572E7"/>
    <w:rsid w:val="00F57493"/>
    <w:rsid w:val="00F57614"/>
    <w:rsid w:val="00F57735"/>
    <w:rsid w:val="00F57B06"/>
    <w:rsid w:val="00F57E3E"/>
    <w:rsid w:val="00F6014C"/>
    <w:rsid w:val="00F601AC"/>
    <w:rsid w:val="00F60AB4"/>
    <w:rsid w:val="00F60C98"/>
    <w:rsid w:val="00F60DF8"/>
    <w:rsid w:val="00F61358"/>
    <w:rsid w:val="00F6176C"/>
    <w:rsid w:val="00F6200A"/>
    <w:rsid w:val="00F6204A"/>
    <w:rsid w:val="00F6211F"/>
    <w:rsid w:val="00F621B2"/>
    <w:rsid w:val="00F622B2"/>
    <w:rsid w:val="00F62300"/>
    <w:rsid w:val="00F62607"/>
    <w:rsid w:val="00F626C7"/>
    <w:rsid w:val="00F630FC"/>
    <w:rsid w:val="00F63370"/>
    <w:rsid w:val="00F636EE"/>
    <w:rsid w:val="00F63E78"/>
    <w:rsid w:val="00F644CE"/>
    <w:rsid w:val="00F648CE"/>
    <w:rsid w:val="00F64AAF"/>
    <w:rsid w:val="00F64AC4"/>
    <w:rsid w:val="00F64C90"/>
    <w:rsid w:val="00F650B6"/>
    <w:rsid w:val="00F655A6"/>
    <w:rsid w:val="00F6574E"/>
    <w:rsid w:val="00F657DB"/>
    <w:rsid w:val="00F65C24"/>
    <w:rsid w:val="00F65CC8"/>
    <w:rsid w:val="00F66141"/>
    <w:rsid w:val="00F6617D"/>
    <w:rsid w:val="00F66818"/>
    <w:rsid w:val="00F66911"/>
    <w:rsid w:val="00F67242"/>
    <w:rsid w:val="00F67292"/>
    <w:rsid w:val="00F672BA"/>
    <w:rsid w:val="00F67414"/>
    <w:rsid w:val="00F675B7"/>
    <w:rsid w:val="00F676A4"/>
    <w:rsid w:val="00F67853"/>
    <w:rsid w:val="00F67A8E"/>
    <w:rsid w:val="00F67B35"/>
    <w:rsid w:val="00F702A7"/>
    <w:rsid w:val="00F704D7"/>
    <w:rsid w:val="00F7052A"/>
    <w:rsid w:val="00F7071D"/>
    <w:rsid w:val="00F7080B"/>
    <w:rsid w:val="00F70966"/>
    <w:rsid w:val="00F70A2D"/>
    <w:rsid w:val="00F70C28"/>
    <w:rsid w:val="00F70E0B"/>
    <w:rsid w:val="00F70E2E"/>
    <w:rsid w:val="00F70E4D"/>
    <w:rsid w:val="00F71675"/>
    <w:rsid w:val="00F71780"/>
    <w:rsid w:val="00F71CB5"/>
    <w:rsid w:val="00F7254A"/>
    <w:rsid w:val="00F72867"/>
    <w:rsid w:val="00F72B30"/>
    <w:rsid w:val="00F72CE7"/>
    <w:rsid w:val="00F72E7B"/>
    <w:rsid w:val="00F73006"/>
    <w:rsid w:val="00F73734"/>
    <w:rsid w:val="00F7377C"/>
    <w:rsid w:val="00F73790"/>
    <w:rsid w:val="00F73A5C"/>
    <w:rsid w:val="00F73AE6"/>
    <w:rsid w:val="00F740EB"/>
    <w:rsid w:val="00F74458"/>
    <w:rsid w:val="00F74575"/>
    <w:rsid w:val="00F74894"/>
    <w:rsid w:val="00F748B7"/>
    <w:rsid w:val="00F74C7B"/>
    <w:rsid w:val="00F74D3F"/>
    <w:rsid w:val="00F7510A"/>
    <w:rsid w:val="00F75285"/>
    <w:rsid w:val="00F7587F"/>
    <w:rsid w:val="00F75A2C"/>
    <w:rsid w:val="00F75B25"/>
    <w:rsid w:val="00F7666E"/>
    <w:rsid w:val="00F77191"/>
    <w:rsid w:val="00F77731"/>
    <w:rsid w:val="00F77947"/>
    <w:rsid w:val="00F77C3F"/>
    <w:rsid w:val="00F77F0C"/>
    <w:rsid w:val="00F801B5"/>
    <w:rsid w:val="00F8035B"/>
    <w:rsid w:val="00F80755"/>
    <w:rsid w:val="00F807E1"/>
    <w:rsid w:val="00F80888"/>
    <w:rsid w:val="00F80ADA"/>
    <w:rsid w:val="00F810DA"/>
    <w:rsid w:val="00F815F3"/>
    <w:rsid w:val="00F81638"/>
    <w:rsid w:val="00F817F8"/>
    <w:rsid w:val="00F81BE0"/>
    <w:rsid w:val="00F82279"/>
    <w:rsid w:val="00F82493"/>
    <w:rsid w:val="00F82756"/>
    <w:rsid w:val="00F82816"/>
    <w:rsid w:val="00F82A64"/>
    <w:rsid w:val="00F82C57"/>
    <w:rsid w:val="00F83005"/>
    <w:rsid w:val="00F83517"/>
    <w:rsid w:val="00F8359C"/>
    <w:rsid w:val="00F8376C"/>
    <w:rsid w:val="00F83BFC"/>
    <w:rsid w:val="00F83CE8"/>
    <w:rsid w:val="00F83D62"/>
    <w:rsid w:val="00F83D94"/>
    <w:rsid w:val="00F83FF0"/>
    <w:rsid w:val="00F844D1"/>
    <w:rsid w:val="00F84704"/>
    <w:rsid w:val="00F847BC"/>
    <w:rsid w:val="00F84916"/>
    <w:rsid w:val="00F84BE0"/>
    <w:rsid w:val="00F851BB"/>
    <w:rsid w:val="00F8532A"/>
    <w:rsid w:val="00F85FE3"/>
    <w:rsid w:val="00F86253"/>
    <w:rsid w:val="00F86823"/>
    <w:rsid w:val="00F868BF"/>
    <w:rsid w:val="00F86B59"/>
    <w:rsid w:val="00F86FA3"/>
    <w:rsid w:val="00F8703B"/>
    <w:rsid w:val="00F87060"/>
    <w:rsid w:val="00F87342"/>
    <w:rsid w:val="00F873F8"/>
    <w:rsid w:val="00F8764A"/>
    <w:rsid w:val="00F876A5"/>
    <w:rsid w:val="00F8790C"/>
    <w:rsid w:val="00F87CB6"/>
    <w:rsid w:val="00F87E28"/>
    <w:rsid w:val="00F9013A"/>
    <w:rsid w:val="00F901BE"/>
    <w:rsid w:val="00F902CC"/>
    <w:rsid w:val="00F9055F"/>
    <w:rsid w:val="00F9059B"/>
    <w:rsid w:val="00F90629"/>
    <w:rsid w:val="00F90703"/>
    <w:rsid w:val="00F907D1"/>
    <w:rsid w:val="00F90BAC"/>
    <w:rsid w:val="00F90D39"/>
    <w:rsid w:val="00F9100B"/>
    <w:rsid w:val="00F910AD"/>
    <w:rsid w:val="00F91280"/>
    <w:rsid w:val="00F915DD"/>
    <w:rsid w:val="00F917C8"/>
    <w:rsid w:val="00F91844"/>
    <w:rsid w:val="00F92553"/>
    <w:rsid w:val="00F92A8A"/>
    <w:rsid w:val="00F92C1F"/>
    <w:rsid w:val="00F92EE2"/>
    <w:rsid w:val="00F93F1F"/>
    <w:rsid w:val="00F93F61"/>
    <w:rsid w:val="00F94588"/>
    <w:rsid w:val="00F9473F"/>
    <w:rsid w:val="00F947D0"/>
    <w:rsid w:val="00F94AF3"/>
    <w:rsid w:val="00F94DA3"/>
    <w:rsid w:val="00F95832"/>
    <w:rsid w:val="00F95A43"/>
    <w:rsid w:val="00F96407"/>
    <w:rsid w:val="00F966BC"/>
    <w:rsid w:val="00F96CF6"/>
    <w:rsid w:val="00F96E74"/>
    <w:rsid w:val="00F97015"/>
    <w:rsid w:val="00F97508"/>
    <w:rsid w:val="00F97738"/>
    <w:rsid w:val="00F97857"/>
    <w:rsid w:val="00F97883"/>
    <w:rsid w:val="00F97ABC"/>
    <w:rsid w:val="00F97D83"/>
    <w:rsid w:val="00F97DBC"/>
    <w:rsid w:val="00F97E09"/>
    <w:rsid w:val="00F97E84"/>
    <w:rsid w:val="00FA0344"/>
    <w:rsid w:val="00FA09E2"/>
    <w:rsid w:val="00FA0AFE"/>
    <w:rsid w:val="00FA0C0B"/>
    <w:rsid w:val="00FA0FAF"/>
    <w:rsid w:val="00FA10F6"/>
    <w:rsid w:val="00FA1882"/>
    <w:rsid w:val="00FA1967"/>
    <w:rsid w:val="00FA2306"/>
    <w:rsid w:val="00FA234E"/>
    <w:rsid w:val="00FA24B8"/>
    <w:rsid w:val="00FA2E6E"/>
    <w:rsid w:val="00FA2F2F"/>
    <w:rsid w:val="00FA33E3"/>
    <w:rsid w:val="00FA34F6"/>
    <w:rsid w:val="00FA3D2F"/>
    <w:rsid w:val="00FA3F99"/>
    <w:rsid w:val="00FA41FD"/>
    <w:rsid w:val="00FA45CF"/>
    <w:rsid w:val="00FA47C7"/>
    <w:rsid w:val="00FA48B5"/>
    <w:rsid w:val="00FA4BF5"/>
    <w:rsid w:val="00FA4C0C"/>
    <w:rsid w:val="00FA505B"/>
    <w:rsid w:val="00FA5140"/>
    <w:rsid w:val="00FA5206"/>
    <w:rsid w:val="00FA5554"/>
    <w:rsid w:val="00FA561D"/>
    <w:rsid w:val="00FA5724"/>
    <w:rsid w:val="00FA603E"/>
    <w:rsid w:val="00FA60F1"/>
    <w:rsid w:val="00FA612A"/>
    <w:rsid w:val="00FA63A0"/>
    <w:rsid w:val="00FA6854"/>
    <w:rsid w:val="00FA6C1C"/>
    <w:rsid w:val="00FA707D"/>
    <w:rsid w:val="00FA72A7"/>
    <w:rsid w:val="00FA7688"/>
    <w:rsid w:val="00FA7B31"/>
    <w:rsid w:val="00FA7ECE"/>
    <w:rsid w:val="00FB0005"/>
    <w:rsid w:val="00FB01D3"/>
    <w:rsid w:val="00FB01D4"/>
    <w:rsid w:val="00FB09F6"/>
    <w:rsid w:val="00FB0B64"/>
    <w:rsid w:val="00FB11C6"/>
    <w:rsid w:val="00FB1272"/>
    <w:rsid w:val="00FB147D"/>
    <w:rsid w:val="00FB1945"/>
    <w:rsid w:val="00FB1DB3"/>
    <w:rsid w:val="00FB200A"/>
    <w:rsid w:val="00FB2073"/>
    <w:rsid w:val="00FB213A"/>
    <w:rsid w:val="00FB25EF"/>
    <w:rsid w:val="00FB2803"/>
    <w:rsid w:val="00FB2D70"/>
    <w:rsid w:val="00FB3050"/>
    <w:rsid w:val="00FB3058"/>
    <w:rsid w:val="00FB3216"/>
    <w:rsid w:val="00FB361D"/>
    <w:rsid w:val="00FB364E"/>
    <w:rsid w:val="00FB3814"/>
    <w:rsid w:val="00FB3A33"/>
    <w:rsid w:val="00FB3D86"/>
    <w:rsid w:val="00FB48EE"/>
    <w:rsid w:val="00FB49BE"/>
    <w:rsid w:val="00FB4AA8"/>
    <w:rsid w:val="00FB4E76"/>
    <w:rsid w:val="00FB4FF4"/>
    <w:rsid w:val="00FB5288"/>
    <w:rsid w:val="00FB5576"/>
    <w:rsid w:val="00FB55F3"/>
    <w:rsid w:val="00FB58C9"/>
    <w:rsid w:val="00FB5F7C"/>
    <w:rsid w:val="00FB6147"/>
    <w:rsid w:val="00FB6C54"/>
    <w:rsid w:val="00FB6C90"/>
    <w:rsid w:val="00FB6EB9"/>
    <w:rsid w:val="00FB708E"/>
    <w:rsid w:val="00FB71E8"/>
    <w:rsid w:val="00FB71F3"/>
    <w:rsid w:val="00FB7811"/>
    <w:rsid w:val="00FB79FF"/>
    <w:rsid w:val="00FB7A66"/>
    <w:rsid w:val="00FB7BC1"/>
    <w:rsid w:val="00FC0255"/>
    <w:rsid w:val="00FC0256"/>
    <w:rsid w:val="00FC046B"/>
    <w:rsid w:val="00FC087B"/>
    <w:rsid w:val="00FC08B4"/>
    <w:rsid w:val="00FC0A88"/>
    <w:rsid w:val="00FC0F6A"/>
    <w:rsid w:val="00FC16B8"/>
    <w:rsid w:val="00FC16C7"/>
    <w:rsid w:val="00FC1899"/>
    <w:rsid w:val="00FC1D00"/>
    <w:rsid w:val="00FC1D1A"/>
    <w:rsid w:val="00FC1DC4"/>
    <w:rsid w:val="00FC1FF6"/>
    <w:rsid w:val="00FC229A"/>
    <w:rsid w:val="00FC25B9"/>
    <w:rsid w:val="00FC2E67"/>
    <w:rsid w:val="00FC31BF"/>
    <w:rsid w:val="00FC33BC"/>
    <w:rsid w:val="00FC3545"/>
    <w:rsid w:val="00FC377D"/>
    <w:rsid w:val="00FC3838"/>
    <w:rsid w:val="00FC3ED9"/>
    <w:rsid w:val="00FC3EE6"/>
    <w:rsid w:val="00FC46B8"/>
    <w:rsid w:val="00FC4A5C"/>
    <w:rsid w:val="00FC4EDF"/>
    <w:rsid w:val="00FC50DE"/>
    <w:rsid w:val="00FC51DF"/>
    <w:rsid w:val="00FC5683"/>
    <w:rsid w:val="00FC5820"/>
    <w:rsid w:val="00FC5E10"/>
    <w:rsid w:val="00FC624B"/>
    <w:rsid w:val="00FC6B72"/>
    <w:rsid w:val="00FC6D8E"/>
    <w:rsid w:val="00FC714E"/>
    <w:rsid w:val="00FC7482"/>
    <w:rsid w:val="00FD00B0"/>
    <w:rsid w:val="00FD01CF"/>
    <w:rsid w:val="00FD0221"/>
    <w:rsid w:val="00FD0698"/>
    <w:rsid w:val="00FD0DA7"/>
    <w:rsid w:val="00FD13BF"/>
    <w:rsid w:val="00FD18A3"/>
    <w:rsid w:val="00FD1E52"/>
    <w:rsid w:val="00FD1FB9"/>
    <w:rsid w:val="00FD2031"/>
    <w:rsid w:val="00FD207A"/>
    <w:rsid w:val="00FD20C6"/>
    <w:rsid w:val="00FD210C"/>
    <w:rsid w:val="00FD23CE"/>
    <w:rsid w:val="00FD28DF"/>
    <w:rsid w:val="00FD3104"/>
    <w:rsid w:val="00FD3351"/>
    <w:rsid w:val="00FD335C"/>
    <w:rsid w:val="00FD34AD"/>
    <w:rsid w:val="00FD34C0"/>
    <w:rsid w:val="00FD37B7"/>
    <w:rsid w:val="00FD3987"/>
    <w:rsid w:val="00FD3CD8"/>
    <w:rsid w:val="00FD4032"/>
    <w:rsid w:val="00FD41E4"/>
    <w:rsid w:val="00FD4202"/>
    <w:rsid w:val="00FD423F"/>
    <w:rsid w:val="00FD45AE"/>
    <w:rsid w:val="00FD4773"/>
    <w:rsid w:val="00FD47C4"/>
    <w:rsid w:val="00FD4B6A"/>
    <w:rsid w:val="00FD4F6E"/>
    <w:rsid w:val="00FD5130"/>
    <w:rsid w:val="00FD515D"/>
    <w:rsid w:val="00FD51D9"/>
    <w:rsid w:val="00FD5A05"/>
    <w:rsid w:val="00FD5ADD"/>
    <w:rsid w:val="00FD6406"/>
    <w:rsid w:val="00FD6D09"/>
    <w:rsid w:val="00FD6DBB"/>
    <w:rsid w:val="00FD7084"/>
    <w:rsid w:val="00FD784B"/>
    <w:rsid w:val="00FE00CA"/>
    <w:rsid w:val="00FE0348"/>
    <w:rsid w:val="00FE036A"/>
    <w:rsid w:val="00FE1170"/>
    <w:rsid w:val="00FE11C4"/>
    <w:rsid w:val="00FE2167"/>
    <w:rsid w:val="00FE2339"/>
    <w:rsid w:val="00FE234D"/>
    <w:rsid w:val="00FE253F"/>
    <w:rsid w:val="00FE2826"/>
    <w:rsid w:val="00FE2A44"/>
    <w:rsid w:val="00FE2BB4"/>
    <w:rsid w:val="00FE2BC7"/>
    <w:rsid w:val="00FE35E5"/>
    <w:rsid w:val="00FE3716"/>
    <w:rsid w:val="00FE3870"/>
    <w:rsid w:val="00FE38A2"/>
    <w:rsid w:val="00FE3AE5"/>
    <w:rsid w:val="00FE3CFB"/>
    <w:rsid w:val="00FE4148"/>
    <w:rsid w:val="00FE45E1"/>
    <w:rsid w:val="00FE4686"/>
    <w:rsid w:val="00FE5068"/>
    <w:rsid w:val="00FE531A"/>
    <w:rsid w:val="00FE553E"/>
    <w:rsid w:val="00FE57A9"/>
    <w:rsid w:val="00FE5C22"/>
    <w:rsid w:val="00FE5EA5"/>
    <w:rsid w:val="00FE6023"/>
    <w:rsid w:val="00FE6137"/>
    <w:rsid w:val="00FE61A6"/>
    <w:rsid w:val="00FE63FB"/>
    <w:rsid w:val="00FE642D"/>
    <w:rsid w:val="00FE6A17"/>
    <w:rsid w:val="00FE6AA5"/>
    <w:rsid w:val="00FE6DD3"/>
    <w:rsid w:val="00FE6E19"/>
    <w:rsid w:val="00FE6EC3"/>
    <w:rsid w:val="00FE6ED5"/>
    <w:rsid w:val="00FE6FF0"/>
    <w:rsid w:val="00FE7061"/>
    <w:rsid w:val="00FE70B2"/>
    <w:rsid w:val="00FE734B"/>
    <w:rsid w:val="00FE75BD"/>
    <w:rsid w:val="00FE7768"/>
    <w:rsid w:val="00FF0019"/>
    <w:rsid w:val="00FF055C"/>
    <w:rsid w:val="00FF0CA2"/>
    <w:rsid w:val="00FF0CAA"/>
    <w:rsid w:val="00FF0E3A"/>
    <w:rsid w:val="00FF150A"/>
    <w:rsid w:val="00FF1554"/>
    <w:rsid w:val="00FF1558"/>
    <w:rsid w:val="00FF1565"/>
    <w:rsid w:val="00FF16DE"/>
    <w:rsid w:val="00FF1E57"/>
    <w:rsid w:val="00FF2336"/>
    <w:rsid w:val="00FF2475"/>
    <w:rsid w:val="00FF2A3F"/>
    <w:rsid w:val="00FF2E16"/>
    <w:rsid w:val="00FF37D5"/>
    <w:rsid w:val="00FF38DB"/>
    <w:rsid w:val="00FF3B33"/>
    <w:rsid w:val="00FF3BD2"/>
    <w:rsid w:val="00FF42DF"/>
    <w:rsid w:val="00FF4493"/>
    <w:rsid w:val="00FF44A8"/>
    <w:rsid w:val="00FF4627"/>
    <w:rsid w:val="00FF494B"/>
    <w:rsid w:val="00FF4BCA"/>
    <w:rsid w:val="00FF51D2"/>
    <w:rsid w:val="00FF539D"/>
    <w:rsid w:val="00FF59BA"/>
    <w:rsid w:val="00FF59D5"/>
    <w:rsid w:val="00FF5A4E"/>
    <w:rsid w:val="00FF5C9B"/>
    <w:rsid w:val="00FF6221"/>
    <w:rsid w:val="00FF629D"/>
    <w:rsid w:val="00FF6863"/>
    <w:rsid w:val="00FF69D7"/>
    <w:rsid w:val="00FF6FAF"/>
    <w:rsid w:val="00FF7050"/>
    <w:rsid w:val="00FF725E"/>
    <w:rsid w:val="00FF72D4"/>
    <w:rsid w:val="00FF75FA"/>
    <w:rsid w:val="00FF77C3"/>
    <w:rsid w:val="00FF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47F4C94-290C-43C1-8CA3-BD5607DB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f Char1"/>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72A18"/>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DD6309"/>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0">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0"/>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0"/>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1">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0"/>
    <w:uiPriority w:val="99"/>
    <w:qFormat/>
    <w:rsid w:val="00DD23AB"/>
    <w:pPr>
      <w:ind w:firstLine="360"/>
      <w:jc w:val="both"/>
    </w:pPr>
    <w:rPr>
      <w:rFonts w:ascii="Times Armenian" w:hAnsi="Times Armenian"/>
      <w:lang w:val="af-ZA"/>
    </w:rPr>
  </w:style>
  <w:style w:type="paragraph" w:customStyle="1" w:styleId="a2">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0"/>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2"/>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1"/>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3">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3"/>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3"/>
      </w:numPr>
    </w:pPr>
  </w:style>
  <w:style w:type="paragraph" w:customStyle="1" w:styleId="22">
    <w:name w:val="???????? ????? ? ???????? 2"/>
    <w:basedOn w:val="a0"/>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4">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5">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6">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4"/>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7">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5"/>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8">
    <w:name w:val="Գծապատկեր"/>
    <w:basedOn w:val="Normal"/>
    <w:link w:val="Char0"/>
    <w:autoRedefine/>
    <w:qFormat/>
    <w:rsid w:val="008A3FDC"/>
    <w:pPr>
      <w:keepNext/>
      <w:keepLines/>
      <w:tabs>
        <w:tab w:val="left" w:pos="0"/>
        <w:tab w:val="left" w:pos="284"/>
        <w:tab w:val="left" w:pos="709"/>
        <w:tab w:val="left" w:pos="1276"/>
        <w:tab w:val="left" w:pos="1888"/>
        <w:tab w:val="left" w:pos="1985"/>
      </w:tabs>
      <w:autoSpaceDE w:val="0"/>
      <w:autoSpaceDN w:val="0"/>
      <w:adjustRightInd w:val="0"/>
      <w:spacing w:after="200" w:line="276" w:lineRule="auto"/>
    </w:pPr>
    <w:rPr>
      <w:rFonts w:ascii="GHEA Grapalat" w:eastAsia="GHEA Grapalat" w:hAnsi="GHEA Grapalat" w:cs="GHEA Grapalat"/>
      <w:noProof/>
      <w:sz w:val="22"/>
      <w:szCs w:val="22"/>
    </w:rPr>
  </w:style>
  <w:style w:type="character" w:customStyle="1" w:styleId="Char0">
    <w:name w:val="Գծապատկեր Char"/>
    <w:link w:val="a8"/>
    <w:rsid w:val="008A3FDC"/>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
    <w:name w:val="Աղյուսակ"/>
    <w:basedOn w:val="Normal"/>
    <w:next w:val="Normal"/>
    <w:link w:val="Chara"/>
    <w:uiPriority w:val="99"/>
    <w:qFormat/>
    <w:rsid w:val="00DD23AB"/>
    <w:pPr>
      <w:keepNext/>
      <w:numPr>
        <w:numId w:val="6"/>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8"/>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 w:type="table" w:customStyle="1" w:styleId="TableGrid2">
    <w:name w:val="Table Grid2"/>
    <w:basedOn w:val="TableNormal"/>
    <w:next w:val="TableGrid"/>
    <w:uiPriority w:val="39"/>
    <w:rsid w:val="0069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56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589967049">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41699218">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0816776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conomy.gov.ru/" TargetMode="External"/><Relationship Id="rId2" Type="http://schemas.openxmlformats.org/officeDocument/2006/relationships/hyperlink" Target="http://www.stats.gov.cn/" TargetMode="External"/><Relationship Id="rId1" Type="http://schemas.openxmlformats.org/officeDocument/2006/relationships/hyperlink" Target="https://ec.europa.eu/eurostat/" TargetMode="External"/><Relationship Id="rId5" Type="http://schemas.openxmlformats.org/officeDocument/2006/relationships/hyperlink" Target="https://www.fao.org/worldfoodsituation/foodpricesindex/en/" TargetMode="External"/><Relationship Id="rId4" Type="http://schemas.openxmlformats.org/officeDocument/2006/relationships/hyperlink" Target="https://www.worldbank.org/en/research/commodity-market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3.xml"/><Relationship Id="rId1" Type="http://schemas.microsoft.com/office/2011/relationships/chartStyle" Target="style3.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8.xml"/><Relationship Id="rId1" Type="http://schemas.microsoft.com/office/2011/relationships/chartStyle" Target="style8.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17.xml"/><Relationship Id="rId1" Type="http://schemas.microsoft.com/office/2011/relationships/chartStyle" Target="style1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915187347413592E-2"/>
          <c:y val="5.6314429424361309E-2"/>
          <c:w val="0.91395352869346824"/>
          <c:h val="0.5866182731543319"/>
        </c:manualLayout>
      </c:layout>
      <c:lineChart>
        <c:grouping val="standard"/>
        <c:varyColors val="0"/>
        <c:ser>
          <c:idx val="3"/>
          <c:order val="0"/>
          <c:tx>
            <c:strRef>
              <c:f>Sheet1!$C$1</c:f>
              <c:strCache>
                <c:ptCount val="1"/>
                <c:pt idx="0">
                  <c:v>ԱՄՆ</c:v>
                </c:pt>
              </c:strCache>
            </c:strRef>
          </c:tx>
          <c:spPr>
            <a:ln w="25400">
              <a:solidFill>
                <a:srgbClr val="4472C4">
                  <a:lumMod val="50000"/>
                </a:srgbClr>
              </a:solidFill>
            </a:ln>
          </c:spPr>
          <c:marker>
            <c:symbol val="none"/>
          </c:marker>
          <c:cat>
            <c:multiLvlStrRef>
              <c:f>Sheet1!$A$6:$B$27</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Sheet1!$C$6:$C$27</c:f>
              <c:numCache>
                <c:formatCode>0.0</c:formatCode>
                <c:ptCount val="22"/>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1.7</c:v>
                </c:pt>
                <c:pt idx="17" formatCode="General">
                  <c:v>2.4</c:v>
                </c:pt>
                <c:pt idx="18" formatCode="General">
                  <c:v>2.9</c:v>
                </c:pt>
                <c:pt idx="19" formatCode="General">
                  <c:v>3.1</c:v>
                </c:pt>
                <c:pt idx="20">
                  <c:v>2.9</c:v>
                </c:pt>
                <c:pt idx="21" formatCode="General">
                  <c:v>2.8</c:v>
                </c:pt>
              </c:numCache>
            </c:numRef>
          </c:val>
          <c:smooth val="0"/>
          <c:extLst>
            <c:ext xmlns:c16="http://schemas.microsoft.com/office/drawing/2014/chart" uri="{C3380CC4-5D6E-409C-BE32-E72D297353CC}">
              <c16:uniqueId val="{00000000-9BC3-4A50-9563-9D46A6A09A96}"/>
            </c:ext>
          </c:extLst>
        </c:ser>
        <c:ser>
          <c:idx val="0"/>
          <c:order val="1"/>
          <c:tx>
            <c:strRef>
              <c:f>Sheet1!$D$1</c:f>
              <c:strCache>
                <c:ptCount val="1"/>
                <c:pt idx="0">
                  <c:v>ԵԳ</c:v>
                </c:pt>
              </c:strCache>
            </c:strRef>
          </c:tx>
          <c:spPr>
            <a:ln w="25400">
              <a:solidFill>
                <a:srgbClr val="4472C4"/>
              </a:solidFill>
            </a:ln>
          </c:spPr>
          <c:marker>
            <c:symbol val="none"/>
          </c:marker>
          <c:cat>
            <c:multiLvlStrRef>
              <c:f>Sheet1!$A$6:$B$27</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Sheet1!$D$6:$D$27</c:f>
              <c:numCache>
                <c:formatCode>0.0</c:formatCode>
                <c:ptCount val="22"/>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0.00">
                  <c:v>1.3</c:v>
                </c:pt>
                <c:pt idx="17" formatCode="0.00">
                  <c:v>0.6</c:v>
                </c:pt>
                <c:pt idx="18" formatCode="0.00">
                  <c:v>0.1</c:v>
                </c:pt>
                <c:pt idx="19" formatCode="0.00">
                  <c:v>0.1</c:v>
                </c:pt>
                <c:pt idx="20" formatCode="General">
                  <c:v>0.4</c:v>
                </c:pt>
                <c:pt idx="21" formatCode="General">
                  <c:v>0.6</c:v>
                </c:pt>
              </c:numCache>
            </c:numRef>
          </c:val>
          <c:smooth val="0"/>
          <c:extLst>
            <c:ext xmlns:c16="http://schemas.microsoft.com/office/drawing/2014/chart" uri="{C3380CC4-5D6E-409C-BE32-E72D297353CC}">
              <c16:uniqueId val="{00000001-9BC3-4A50-9563-9D46A6A09A96}"/>
            </c:ext>
          </c:extLst>
        </c:ser>
        <c:ser>
          <c:idx val="1"/>
          <c:order val="2"/>
          <c:tx>
            <c:strRef>
              <c:f>Sheet1!$E$1</c:f>
              <c:strCache>
                <c:ptCount val="1"/>
                <c:pt idx="0">
                  <c:v>Չինաստան</c:v>
                </c:pt>
              </c:strCache>
            </c:strRef>
          </c:tx>
          <c:spPr>
            <a:ln w="25400">
              <a:solidFill>
                <a:sysClr val="window" lastClr="FFFFFF">
                  <a:lumMod val="50000"/>
                </a:sysClr>
              </a:solidFill>
            </a:ln>
          </c:spPr>
          <c:marker>
            <c:symbol val="none"/>
          </c:marker>
          <c:cat>
            <c:multiLvlStrRef>
              <c:f>Sheet1!$A$6:$B$27</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Sheet1!$E$6:$E$27</c:f>
              <c:numCache>
                <c:formatCode>0.0</c:formatCode>
                <c:ptCount val="22"/>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pt idx="17" formatCode="General">
                  <c:v>6.3</c:v>
                </c:pt>
                <c:pt idx="18" formatCode="General">
                  <c:v>4.9000000000000004</c:v>
                </c:pt>
                <c:pt idx="19" formatCode="General">
                  <c:v>5.2</c:v>
                </c:pt>
                <c:pt idx="20" formatCode="General">
                  <c:v>5.3</c:v>
                </c:pt>
                <c:pt idx="21" formatCode="General">
                  <c:v>4.7</c:v>
                </c:pt>
              </c:numCache>
            </c:numRef>
          </c:val>
          <c:smooth val="0"/>
          <c:extLst>
            <c:ext xmlns:c16="http://schemas.microsoft.com/office/drawing/2014/chart" uri="{C3380CC4-5D6E-409C-BE32-E72D297353CC}">
              <c16:uniqueId val="{00000002-9BC3-4A50-9563-9D46A6A09A96}"/>
            </c:ext>
          </c:extLst>
        </c:ser>
        <c:ser>
          <c:idx val="2"/>
          <c:order val="3"/>
          <c:tx>
            <c:strRef>
              <c:f>Sheet1!$F$1</c:f>
              <c:strCache>
                <c:ptCount val="1"/>
                <c:pt idx="0">
                  <c:v>ՌԴ</c:v>
                </c:pt>
              </c:strCache>
            </c:strRef>
          </c:tx>
          <c:spPr>
            <a:ln>
              <a:solidFill>
                <a:srgbClr val="F79646">
                  <a:lumMod val="60000"/>
                  <a:lumOff val="40000"/>
                </a:srgbClr>
              </a:solidFill>
            </a:ln>
          </c:spPr>
          <c:marker>
            <c:symbol val="none"/>
          </c:marker>
          <c:cat>
            <c:multiLvlStrRef>
              <c:f>Sheet1!$A$6:$B$27</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Sheet1!$F$6:$F$27</c:f>
              <c:numCache>
                <c:formatCode>0.0</c:formatCode>
                <c:ptCount val="22"/>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-1.8</c:v>
                </c:pt>
                <c:pt idx="17" formatCode="General">
                  <c:v>4.9000000000000004</c:v>
                </c:pt>
                <c:pt idx="18" formatCode="General">
                  <c:v>5.5</c:v>
                </c:pt>
                <c:pt idx="19" formatCode="General">
                  <c:v>4.9000000000000004</c:v>
                </c:pt>
                <c:pt idx="20" formatCode="General">
                  <c:v>5.4</c:v>
                </c:pt>
                <c:pt idx="21">
                  <c:v>4</c:v>
                </c:pt>
              </c:numCache>
            </c:numRef>
          </c:val>
          <c:smooth val="0"/>
          <c:extLst>
            <c:ext xmlns:c16="http://schemas.microsoft.com/office/drawing/2014/chart" uri="{C3380CC4-5D6E-409C-BE32-E72D297353CC}">
              <c16:uniqueId val="{00000003-9BC3-4A50-9563-9D46A6A09A96}"/>
            </c:ext>
          </c:extLst>
        </c:ser>
        <c:dLbls>
          <c:showLegendKey val="0"/>
          <c:showVal val="0"/>
          <c:showCatName val="0"/>
          <c:showSerName val="0"/>
          <c:showPercent val="0"/>
          <c:showBubbleSize val="0"/>
        </c:dLbls>
        <c:smooth val="0"/>
        <c:axId val="-2138207184"/>
        <c:axId val="-2138189232"/>
      </c:lineChart>
      <c:catAx>
        <c:axId val="-2138207184"/>
        <c:scaling>
          <c:orientation val="minMax"/>
        </c:scaling>
        <c:delete val="0"/>
        <c:axPos val="b"/>
        <c:numFmt formatCode="General" sourceLinked="1"/>
        <c:majorTickMark val="none"/>
        <c:minorTickMark val="none"/>
        <c:tickLblPos val="low"/>
        <c:spPr>
          <a:noFill/>
          <a:ln w="9522" cap="flat" cmpd="sng" algn="ctr">
            <a:solidFill>
              <a:sysClr val="window" lastClr="FFFFFF">
                <a:lumMod val="8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189232"/>
        <c:crosses val="autoZero"/>
        <c:auto val="1"/>
        <c:lblAlgn val="ctr"/>
        <c:lblOffset val="0"/>
        <c:noMultiLvlLbl val="0"/>
      </c:catAx>
      <c:valAx>
        <c:axId val="-2138189232"/>
        <c:scaling>
          <c:orientation val="minMax"/>
          <c:max val="20"/>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207184"/>
        <c:crosses val="autoZero"/>
        <c:crossBetween val="between"/>
      </c:valAx>
      <c:spPr>
        <a:noFill/>
        <a:ln w="25393">
          <a:noFill/>
        </a:ln>
      </c:spPr>
    </c:plotArea>
    <c:legend>
      <c:legendPos val="b"/>
      <c:layout>
        <c:manualLayout>
          <c:xMode val="edge"/>
          <c:yMode val="edge"/>
          <c:x val="0.16474070658825468"/>
          <c:y val="0.87843029914881954"/>
          <c:w val="0.68058455181665878"/>
          <c:h val="0.10149056207663545"/>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ysClr val="window" lastClr="FFFFFF">
                <a:lumMod val="75000"/>
              </a:sys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3.5738800866835252</c:v>
                </c:pt>
                <c:pt idx="1">
                  <c:v>6.907032499134484</c:v>
                </c:pt>
                <c:pt idx="2">
                  <c:v>5.7219116413741435</c:v>
                </c:pt>
                <c:pt idx="3">
                  <c:v>3.0739072248158812</c:v>
                </c:pt>
                <c:pt idx="4">
                  <c:v>1.2777084247728678</c:v>
                </c:pt>
                <c:pt idx="5">
                  <c:v>0.25924518763507548</c:v>
                </c:pt>
              </c:numCache>
            </c:numRef>
          </c:val>
          <c:extLst>
            <c:ext xmlns:c16="http://schemas.microsoft.com/office/drawing/2014/chart" uri="{C3380CC4-5D6E-409C-BE32-E72D297353CC}">
              <c16:uniqueId val="{00000000-2BDB-4C39-A34C-05B9F81801BB}"/>
            </c:ext>
          </c:extLst>
        </c:ser>
        <c:ser>
          <c:idx val="2"/>
          <c:order val="2"/>
          <c:tx>
            <c:strRef>
              <c:f>Sheet1!$A$4</c:f>
              <c:strCache>
                <c:ptCount val="1"/>
                <c:pt idx="0">
                  <c:v>շինարարություն</c:v>
                </c:pt>
              </c:strCache>
            </c:strRef>
          </c:tx>
          <c:spPr>
            <a:solidFill>
              <a:srgbClr val="1F497D">
                <a:lumMod val="60000"/>
                <a:lumOff val="40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0.71574930986669694</c:v>
                </c:pt>
                <c:pt idx="1">
                  <c:v>0.88150178162530068</c:v>
                </c:pt>
                <c:pt idx="2">
                  <c:v>0.98698062728986591</c:v>
                </c:pt>
                <c:pt idx="3">
                  <c:v>1.3410881805923371</c:v>
                </c:pt>
                <c:pt idx="4">
                  <c:v>1.363690790377601</c:v>
                </c:pt>
                <c:pt idx="5">
                  <c:v>1.3561565871158467</c:v>
                </c:pt>
              </c:numCache>
            </c:numRef>
          </c:val>
          <c:extLst>
            <c:ext xmlns:c16="http://schemas.microsoft.com/office/drawing/2014/chart" uri="{C3380CC4-5D6E-409C-BE32-E72D297353CC}">
              <c16:uniqueId val="{00000001-2BDB-4C39-A34C-05B9F81801BB}"/>
            </c:ext>
          </c:extLst>
        </c:ser>
        <c:ser>
          <c:idx val="3"/>
          <c:order val="3"/>
          <c:tx>
            <c:strRef>
              <c:f>Sheet1!$A$5</c:f>
              <c:strCache>
                <c:ptCount val="1"/>
                <c:pt idx="0">
                  <c:v>ծառայություններ</c:v>
                </c:pt>
              </c:strCache>
            </c:strRef>
          </c:tx>
          <c:spPr>
            <a:solidFill>
              <a:srgbClr val="4F81BD">
                <a:lumMod val="75000"/>
              </a:srgbClr>
            </a:solidFill>
            <a:ln>
              <a:noFill/>
            </a:ln>
            <a:effectLst/>
          </c:spPr>
          <c:invertIfNegative val="0"/>
          <c:dPt>
            <c:idx val="0"/>
            <c:invertIfNegative val="0"/>
            <c:bubble3D val="0"/>
            <c:extLst>
              <c:ext xmlns:c16="http://schemas.microsoft.com/office/drawing/2014/chart" uri="{C3380CC4-5D6E-409C-BE32-E72D297353CC}">
                <c16:uniqueId val="{00000002-2BDB-4C39-A34C-05B9F81801BB}"/>
              </c:ext>
            </c:extLst>
          </c:dPt>
          <c:dPt>
            <c:idx val="1"/>
            <c:invertIfNegative val="0"/>
            <c:bubble3D val="0"/>
            <c:extLst>
              <c:ext xmlns:c16="http://schemas.microsoft.com/office/drawing/2014/chart" uri="{C3380CC4-5D6E-409C-BE32-E72D297353CC}">
                <c16:uniqueId val="{00000003-2BDB-4C39-A34C-05B9F81801BB}"/>
              </c:ext>
            </c:extLst>
          </c:dPt>
          <c:dPt>
            <c:idx val="2"/>
            <c:invertIfNegative val="0"/>
            <c:bubble3D val="0"/>
            <c:extLst>
              <c:ext xmlns:c16="http://schemas.microsoft.com/office/drawing/2014/chart" uri="{C3380CC4-5D6E-409C-BE32-E72D297353CC}">
                <c16:uniqueId val="{00000004-2BDB-4C39-A34C-05B9F81801BB}"/>
              </c:ext>
            </c:extLst>
          </c:dPt>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2.2897413010306322</c:v>
                </c:pt>
                <c:pt idx="1">
                  <c:v>3.0529884013741766</c:v>
                </c:pt>
                <c:pt idx="2">
                  <c:v>0.96677966043515873</c:v>
                </c:pt>
                <c:pt idx="3">
                  <c:v>1.8317930408245029</c:v>
                </c:pt>
                <c:pt idx="4">
                  <c:v>1.3738447806183809</c:v>
                </c:pt>
                <c:pt idx="5">
                  <c:v>3.9688849217864277</c:v>
                </c:pt>
              </c:numCache>
            </c:numRef>
          </c:val>
          <c:extLst>
            <c:ext xmlns:c16="http://schemas.microsoft.com/office/drawing/2014/chart" uri="{C3380CC4-5D6E-409C-BE32-E72D297353CC}">
              <c16:uniqueId val="{00000005-2BDB-4C39-A34C-05B9F81801BB}"/>
            </c:ext>
          </c:extLst>
        </c:ser>
        <c:ser>
          <c:idx val="4"/>
          <c:order val="4"/>
          <c:tx>
            <c:strRef>
              <c:f>Sheet1!$A$6</c:f>
              <c:strCache>
                <c:ptCount val="1"/>
                <c:pt idx="0">
                  <c:v>առևտուր</c:v>
                </c:pt>
              </c:strCache>
            </c:strRef>
          </c:tx>
          <c:spPr>
            <a:solidFill>
              <a:srgbClr val="F79646"/>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2.6691306451346861</c:v>
                </c:pt>
                <c:pt idx="1">
                  <c:v>3.9138029667000858</c:v>
                </c:pt>
                <c:pt idx="2">
                  <c:v>4.2042265083986781</c:v>
                </c:pt>
                <c:pt idx="3">
                  <c:v>3.7616763496198691</c:v>
                </c:pt>
                <c:pt idx="4">
                  <c:v>2.4340258732834439</c:v>
                </c:pt>
                <c:pt idx="5">
                  <c:v>2.2404101788177164</c:v>
                </c:pt>
              </c:numCache>
            </c:numRef>
          </c:val>
          <c:extLst>
            <c:ext xmlns:c16="http://schemas.microsoft.com/office/drawing/2014/chart" uri="{C3380CC4-5D6E-409C-BE32-E72D297353CC}">
              <c16:uniqueId val="{00000006-2BDB-4C39-A34C-05B9F81801BB}"/>
            </c:ext>
          </c:extLst>
        </c:ser>
        <c:dLbls>
          <c:showLegendKey val="0"/>
          <c:showVal val="0"/>
          <c:showCatName val="0"/>
          <c:showSerName val="0"/>
          <c:showPercent val="0"/>
          <c:showBubbleSize val="0"/>
        </c:dLbls>
        <c:gapWidth val="219"/>
        <c:overlap val="100"/>
        <c:axId val="187919360"/>
        <c:axId val="187953920"/>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Sheet1!$B$1:$G$1</c15:sqref>
                        </c15:formulaRef>
                      </c:ext>
                    </c:extLst>
                    <c:strCache>
                      <c:ptCount val="6"/>
                      <c:pt idx="0">
                        <c:v>I</c:v>
                      </c:pt>
                      <c:pt idx="1">
                        <c:v>II</c:v>
                      </c:pt>
                      <c:pt idx="2">
                        <c:v>III</c:v>
                      </c:pt>
                      <c:pt idx="3">
                        <c:v>IV</c:v>
                      </c:pt>
                      <c:pt idx="4">
                        <c:v>V</c:v>
                      </c:pt>
                      <c:pt idx="5">
                        <c:v>VI</c:v>
                      </c:pt>
                    </c:strCache>
                  </c:strRef>
                </c:cat>
                <c:val>
                  <c:numRef>
                    <c:extLst>
                      <c:ext uri="{02D57815-91ED-43cb-92C2-25804820EDAC}">
                        <c15:formulaRef>
                          <c15:sqref>Sheet1!$B$7:$G$7</c15:sqref>
                        </c15:formulaRef>
                      </c:ext>
                    </c:extLst>
                    <c:numCache>
                      <c:formatCode>0.0</c:formatCode>
                      <c:ptCount val="6"/>
                      <c:pt idx="0">
                        <c:v>1.2002719467931389</c:v>
                      </c:pt>
                      <c:pt idx="1">
                        <c:v>1.6493951444294748</c:v>
                      </c:pt>
                      <c:pt idx="2">
                        <c:v>1.9939507775136285</c:v>
                      </c:pt>
                      <c:pt idx="3">
                        <c:v>1.0296420512285618</c:v>
                      </c:pt>
                      <c:pt idx="4">
                        <c:v>-1.2538481749060031</c:v>
                      </c:pt>
                      <c:pt idx="5">
                        <c:v>-0.74130340331310407</c:v>
                      </c:pt>
                    </c:numCache>
                  </c:numRef>
                </c:val>
                <c:extLst>
                  <c:ext xmlns:c16="http://schemas.microsoft.com/office/drawing/2014/chart" uri="{C3380CC4-5D6E-409C-BE32-E72D297353CC}">
                    <c16:uniqueId val="{00000012-2BDB-4C39-A34C-05B9F81801BB}"/>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674720647068E-2"/>
                  <c:y val="-4.9847318625519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BDB-4C39-A34C-05B9F81801BB}"/>
                </c:ext>
              </c:extLst>
            </c:dLbl>
            <c:dLbl>
              <c:idx val="1"/>
              <c:layout>
                <c:manualLayout>
                  <c:x val="-7.4726720869769225E-2"/>
                  <c:y val="-4.33641913249097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BDB-4C39-A34C-05B9F81801BB}"/>
                </c:ext>
              </c:extLst>
            </c:dLbl>
            <c:dLbl>
              <c:idx val="2"/>
              <c:layout>
                <c:manualLayout>
                  <c:x val="-7.4325849615916068E-2"/>
                  <c:y val="-6.0282735342454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BDB-4C39-A34C-05B9F81801BB}"/>
                </c:ext>
              </c:extLst>
            </c:dLbl>
            <c:dLbl>
              <c:idx val="3"/>
              <c:layout>
                <c:manualLayout>
                  <c:x val="-7.012210038990474E-2"/>
                  <c:y val="-5.10135415912643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BDB-4C39-A34C-05B9F81801BB}"/>
                </c:ext>
              </c:extLst>
            </c:dLbl>
            <c:dLbl>
              <c:idx val="4"/>
              <c:layout>
                <c:manualLayout>
                  <c:x val="-6.6230814784320802E-2"/>
                  <c:y val="-5.03599205359799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BDB-4C39-A34C-05B9F81801BB}"/>
                </c:ext>
              </c:extLst>
            </c:dLbl>
            <c:dLbl>
              <c:idx val="5"/>
              <c:layout>
                <c:manualLayout>
                  <c:x val="-4.6028995679161355E-2"/>
                  <c:y val="-5.1863946015941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BDB-4C39-A34C-05B9F81801BB}"/>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DB-4C39-A34C-05B9F81801BB}"/>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BDB-4C39-A34C-05B9F81801BB}"/>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BDB-4C39-A34C-05B9F81801BB}"/>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BDB-4C39-A34C-05B9F81801BB}"/>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10.448773289508679</c:v>
                </c:pt>
                <c:pt idx="1">
                  <c:v>16.404720793263522</c:v>
                </c:pt>
                <c:pt idx="2">
                  <c:v>13.873849215011475</c:v>
                </c:pt>
                <c:pt idx="3">
                  <c:v>11.038106847081153</c:v>
                </c:pt>
                <c:pt idx="4">
                  <c:v>5.1954216941462903</c:v>
                </c:pt>
                <c:pt idx="5">
                  <c:v>7.083393472041962</c:v>
                </c:pt>
              </c:numCache>
            </c:numRef>
          </c:val>
          <c:smooth val="0"/>
          <c:extLst>
            <c:ext xmlns:c16="http://schemas.microsoft.com/office/drawing/2014/chart" uri="{C3380CC4-5D6E-409C-BE32-E72D297353CC}">
              <c16:uniqueId val="{00000011-2BDB-4C39-A34C-05B9F81801BB}"/>
            </c:ext>
          </c:extLst>
        </c:ser>
        <c:dLbls>
          <c:showLegendKey val="0"/>
          <c:showVal val="0"/>
          <c:showCatName val="0"/>
          <c:showSerName val="0"/>
          <c:showPercent val="0"/>
          <c:showBubbleSize val="0"/>
        </c:dLbls>
        <c:marker val="1"/>
        <c:smooth val="0"/>
        <c:axId val="187919360"/>
        <c:axId val="187953920"/>
      </c:lineChart>
      <c:catAx>
        <c:axId val="1879193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53920"/>
        <c:crosses val="autoZero"/>
        <c:auto val="1"/>
        <c:lblAlgn val="ctr"/>
        <c:lblOffset val="100"/>
        <c:noMultiLvlLbl val="0"/>
      </c:catAx>
      <c:valAx>
        <c:axId val="187953920"/>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19360"/>
        <c:crosses val="autoZero"/>
        <c:crossBetween val="between"/>
        <c:majorUnit val="6"/>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4664972655310515"/>
        </c:manualLayout>
      </c:layout>
      <c:barChart>
        <c:barDir val="col"/>
        <c:grouping val="clustered"/>
        <c:varyColors val="0"/>
        <c:ser>
          <c:idx val="1"/>
          <c:order val="0"/>
          <c:tx>
            <c:strRef>
              <c:f>Sheet1!$E$1</c:f>
              <c:strCache>
                <c:ptCount val="1"/>
                <c:pt idx="0">
                  <c:v>Գործազուրկներ, հազ. մարդ</c:v>
                </c:pt>
              </c:strCache>
            </c:strRef>
          </c:tx>
          <c:spPr>
            <a:solidFill>
              <a:srgbClr val="1F497D"/>
            </a:solidFill>
            <a:ln>
              <a:solidFill>
                <a:srgbClr val="1F497D"/>
              </a:solidFill>
            </a:ln>
            <a:effectLst/>
          </c:spPr>
          <c:invertIfNegative val="0"/>
          <c:cat>
            <c:multiLvlStrRef>
              <c:f>Sheet1!$A$2:$B$14</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Sheet1!$E$2:$E$14</c:f>
              <c:numCache>
                <c:formatCode>0.0</c:formatCode>
                <c:ptCount val="9"/>
                <c:pt idx="0">
                  <c:v>186.4</c:v>
                </c:pt>
                <c:pt idx="1">
                  <c:v>170</c:v>
                </c:pt>
                <c:pt idx="2">
                  <c:v>158</c:v>
                </c:pt>
                <c:pt idx="3">
                  <c:v>165.8</c:v>
                </c:pt>
                <c:pt idx="4">
                  <c:v>179.6</c:v>
                </c:pt>
                <c:pt idx="5">
                  <c:v>160.69999999999999</c:v>
                </c:pt>
                <c:pt idx="6">
                  <c:v>167.2</c:v>
                </c:pt>
                <c:pt idx="7">
                  <c:v>177.4</c:v>
                </c:pt>
                <c:pt idx="8">
                  <c:v>204.4</c:v>
                </c:pt>
              </c:numCache>
            </c:numRef>
          </c:val>
          <c:extLst>
            <c:ext xmlns:c16="http://schemas.microsoft.com/office/drawing/2014/chart" uri="{C3380CC4-5D6E-409C-BE32-E72D297353CC}">
              <c16:uniqueId val="{00000000-9913-4157-A4A8-052C5A0916CA}"/>
            </c:ext>
          </c:extLst>
        </c:ser>
        <c:ser>
          <c:idx val="0"/>
          <c:order val="2"/>
          <c:tx>
            <c:strRef>
              <c:f>Sheet1!$D$1</c:f>
              <c:strCache>
                <c:ptCount val="1"/>
                <c:pt idx="0">
                  <c:v>Զբաղվածներ, հազ. մարդ</c:v>
                </c:pt>
              </c:strCache>
            </c:strRef>
          </c:tx>
          <c:spPr>
            <a:solidFill>
              <a:srgbClr val="9BBB59"/>
            </a:solidFill>
            <a:ln>
              <a:solidFill>
                <a:srgbClr val="9BBB59"/>
              </a:solidFill>
            </a:ln>
          </c:spPr>
          <c:invertIfNegative val="0"/>
          <c:cat>
            <c:multiLvlStrRef>
              <c:f>Sheet1!$A$2:$B$14</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Sheet1!$D$2:$D$14</c:f>
              <c:numCache>
                <c:formatCode>0.0</c:formatCode>
                <c:ptCount val="9"/>
                <c:pt idx="0">
                  <c:v>1070.5</c:v>
                </c:pt>
                <c:pt idx="1">
                  <c:v>1142.4000000000001</c:v>
                </c:pt>
                <c:pt idx="2">
                  <c:v>1202.4000000000001</c:v>
                </c:pt>
                <c:pt idx="3">
                  <c:v>1141.2</c:v>
                </c:pt>
                <c:pt idx="4">
                  <c:v>1129.7</c:v>
                </c:pt>
                <c:pt idx="5">
                  <c:v>1211.4000000000001</c:v>
                </c:pt>
                <c:pt idx="6">
                  <c:v>1220.5999999999999</c:v>
                </c:pt>
                <c:pt idx="7">
                  <c:v>1177.0999999999999</c:v>
                </c:pt>
                <c:pt idx="8">
                  <c:v>1116.4000000000001</c:v>
                </c:pt>
              </c:numCache>
            </c:numRef>
          </c:val>
          <c:extLst>
            <c:ext xmlns:c16="http://schemas.microsoft.com/office/drawing/2014/chart" uri="{C3380CC4-5D6E-409C-BE32-E72D297353CC}">
              <c16:uniqueId val="{00000001-9913-4157-A4A8-052C5A0916CA}"/>
            </c:ext>
          </c:extLst>
        </c:ser>
        <c:ser>
          <c:idx val="3"/>
          <c:order val="3"/>
          <c:tx>
            <c:strRef>
              <c:f>Sheet1!$C$1</c:f>
              <c:strCache>
                <c:ptCount val="1"/>
                <c:pt idx="0">
                  <c:v>Վարձու աշխատողներ, հազ. մարդ (աճողական)</c:v>
                </c:pt>
              </c:strCache>
            </c:strRef>
          </c:tx>
          <c:invertIfNegative val="0"/>
          <c:cat>
            <c:multiLvlStrRef>
              <c:f>Sheet1!$A$2:$B$14</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Sheet1!$C$2:$C$14</c:f>
              <c:numCache>
                <c:formatCode>0.0</c:formatCode>
                <c:ptCount val="9"/>
                <c:pt idx="0">
                  <c:v>658.80399999999997</c:v>
                </c:pt>
                <c:pt idx="1">
                  <c:v>671.90499999999997</c:v>
                </c:pt>
                <c:pt idx="2">
                  <c:v>677.56200000000001</c:v>
                </c:pt>
                <c:pt idx="3">
                  <c:v>684.78300000000002</c:v>
                </c:pt>
                <c:pt idx="4">
                  <c:v>699.23900000000003</c:v>
                </c:pt>
                <c:pt idx="5">
                  <c:v>710.34500000000003</c:v>
                </c:pt>
                <c:pt idx="6">
                  <c:v>716.48500000000001</c:v>
                </c:pt>
                <c:pt idx="7">
                  <c:v>722.75699999999995</c:v>
                </c:pt>
                <c:pt idx="8">
                  <c:v>735.92100000000005</c:v>
                </c:pt>
              </c:numCache>
            </c:numRef>
          </c:val>
          <c:extLst>
            <c:ext xmlns:c16="http://schemas.microsoft.com/office/drawing/2014/chart" uri="{C3380CC4-5D6E-409C-BE32-E72D297353CC}">
              <c16:uniqueId val="{00000002-9913-4157-A4A8-052C5A0916CA}"/>
            </c:ext>
          </c:extLst>
        </c:ser>
        <c:dLbls>
          <c:showLegendKey val="0"/>
          <c:showVal val="0"/>
          <c:showCatName val="0"/>
          <c:showSerName val="0"/>
          <c:showPercent val="0"/>
          <c:showBubbleSize val="0"/>
        </c:dLbls>
        <c:gapWidth val="150"/>
        <c:axId val="121480768"/>
        <c:axId val="1"/>
      </c:barChart>
      <c:lineChart>
        <c:grouping val="standard"/>
        <c:varyColors val="0"/>
        <c:ser>
          <c:idx val="2"/>
          <c:order val="1"/>
          <c:tx>
            <c:strRef>
              <c:f>Sheet1!$F$1</c:f>
              <c:strCache>
                <c:ptCount val="1"/>
                <c:pt idx="0">
                  <c:v>Գործազրկության մակարդակ, %, աջ առանցք</c:v>
                </c:pt>
              </c:strCache>
            </c:strRef>
          </c:tx>
          <c:spPr>
            <a:ln>
              <a:solidFill>
                <a:srgbClr val="4F81BD"/>
              </a:solidFill>
            </a:ln>
            <a:effectLst/>
          </c:spPr>
          <c:marker>
            <c:spPr>
              <a:solidFill>
                <a:srgbClr val="4F81BD"/>
              </a:solidFill>
              <a:ln>
                <a:solidFill>
                  <a:srgbClr val="4F81BD"/>
                </a:solidFill>
              </a:ln>
            </c:spPr>
          </c:marker>
          <c:dLbls>
            <c:dLbl>
              <c:idx val="0"/>
              <c:layout>
                <c:manualLayout>
                  <c:x val="-6.5966963710374527E-2"/>
                  <c:y val="-3.73335006430969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913-4157-A4A8-052C5A0916CA}"/>
                </c:ext>
              </c:extLst>
            </c:dLbl>
            <c:dLbl>
              <c:idx val="1"/>
              <c:layout>
                <c:manualLayout>
                  <c:x val="-7.0205415939774002E-2"/>
                  <c:y val="-3.20000836548817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913-4157-A4A8-052C5A0916CA}"/>
                </c:ext>
              </c:extLst>
            </c:dLbl>
            <c:dLbl>
              <c:idx val="2"/>
              <c:layout>
                <c:manualLayout>
                  <c:x val="-6.1516966067864269E-2"/>
                  <c:y val="-2.67900576172998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913-4157-A4A8-052C5A0916CA}"/>
                </c:ext>
              </c:extLst>
            </c:dLbl>
            <c:dLbl>
              <c:idx val="3"/>
              <c:layout>
                <c:manualLayout>
                  <c:x val="-7.4003803416788472E-2"/>
                  <c:y val="-3.75380368290617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913-4157-A4A8-052C5A0916CA}"/>
                </c:ext>
              </c:extLst>
            </c:dLbl>
            <c:dLbl>
              <c:idx val="4"/>
              <c:layout>
                <c:manualLayout>
                  <c:x val="-5.9880239520958084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913-4157-A4A8-052C5A0916CA}"/>
                </c:ext>
              </c:extLst>
            </c:dLbl>
            <c:dLbl>
              <c:idx val="5"/>
              <c:layout>
                <c:manualLayout>
                  <c:x val="-5.588822355289421E-2"/>
                  <c:y val="-2.12483399734395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913-4157-A4A8-052C5A0916CA}"/>
                </c:ext>
              </c:extLst>
            </c:dLbl>
            <c:dLbl>
              <c:idx val="6"/>
              <c:layout>
                <c:manualLayout>
                  <c:x val="-6.3872255489021951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913-4157-A4A8-052C5A0916CA}"/>
                </c:ext>
              </c:extLst>
            </c:dLbl>
            <c:dLbl>
              <c:idx val="7"/>
              <c:layout>
                <c:manualLayout>
                  <c:x val="-6.3872255489022103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913-4157-A4A8-052C5A0916CA}"/>
                </c:ext>
              </c:extLst>
            </c:dLbl>
            <c:dLbl>
              <c:idx val="8"/>
              <c:layout>
                <c:manualLayout>
                  <c:x val="-5.988023952095823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913-4157-A4A8-052C5A0916CA}"/>
                </c:ext>
              </c:extLst>
            </c:dLbl>
            <c:spPr>
              <a:noFill/>
              <a:ln w="25392">
                <a:noFill/>
              </a:ln>
            </c:spPr>
            <c:txPr>
              <a:bodyPr wrap="square" lIns="38100" tIns="19050" rIns="38100" bIns="19050" anchor="ctr">
                <a:spAutoFit/>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Sheet1!$B$2:$B$14</c:f>
              <c:strCache>
                <c:ptCount val="9"/>
                <c:pt idx="0">
                  <c:v>I</c:v>
                </c:pt>
                <c:pt idx="1">
                  <c:v>II</c:v>
                </c:pt>
                <c:pt idx="2">
                  <c:v>III</c:v>
                </c:pt>
                <c:pt idx="3">
                  <c:v>IV</c:v>
                </c:pt>
                <c:pt idx="4">
                  <c:v>I</c:v>
                </c:pt>
                <c:pt idx="5">
                  <c:v>II</c:v>
                </c:pt>
                <c:pt idx="6">
                  <c:v>III</c:v>
                </c:pt>
                <c:pt idx="7">
                  <c:v>IV</c:v>
                </c:pt>
                <c:pt idx="8">
                  <c:v>I</c:v>
                </c:pt>
              </c:strCache>
            </c:strRef>
          </c:cat>
          <c:val>
            <c:numRef>
              <c:f>Sheet1!$F$2:$F$14</c:f>
              <c:numCache>
                <c:formatCode>0.0</c:formatCode>
                <c:ptCount val="9"/>
                <c:pt idx="0">
                  <c:v>14.830137640225951</c:v>
                </c:pt>
                <c:pt idx="1">
                  <c:v>12.953367875647666</c:v>
                </c:pt>
                <c:pt idx="2">
                  <c:v>11.614231108497499</c:v>
                </c:pt>
                <c:pt idx="3">
                  <c:v>12.685539403213467</c:v>
                </c:pt>
                <c:pt idx="4">
                  <c:v>13.71725349423356</c:v>
                </c:pt>
                <c:pt idx="5">
                  <c:v>11.711974345893156</c:v>
                </c:pt>
                <c:pt idx="6">
                  <c:v>12.04871369892628</c:v>
                </c:pt>
                <c:pt idx="7">
                  <c:v>13.097083794758213</c:v>
                </c:pt>
                <c:pt idx="8">
                  <c:v>15.476641175134398</c:v>
                </c:pt>
              </c:numCache>
            </c:numRef>
          </c:val>
          <c:smooth val="0"/>
          <c:extLst>
            <c:ext xmlns:c16="http://schemas.microsoft.com/office/drawing/2014/chart" uri="{C3380CC4-5D6E-409C-BE32-E72D297353CC}">
              <c16:uniqueId val="{0000000C-9913-4157-A4A8-052C5A0916CA}"/>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scaling>
        <c:delete val="0"/>
        <c:axPos val="r"/>
        <c:numFmt formatCode="0.0" sourceLinked="1"/>
        <c:majorTickMark val="out"/>
        <c:minorTickMark val="none"/>
        <c:tickLblPos val="nextTo"/>
        <c:txPr>
          <a:bodyPr/>
          <a:lstStyle/>
          <a:p>
            <a:pPr>
              <a:defRPr sz="700">
                <a:latin typeface="GHEA Grapalat" panose="02000506050000020003" pitchFamily="50" charset="0"/>
              </a:defRPr>
            </a:pPr>
            <a:endParaRPr lang="en-US"/>
          </a:p>
        </c:txPr>
        <c:crossAx val="3"/>
        <c:crosses val="max"/>
        <c:crossBetween val="between"/>
      </c:valAx>
      <c:spPr>
        <a:solidFill>
          <a:schemeClr val="bg1"/>
        </a:solidFill>
        <a:ln>
          <a:noFill/>
        </a:ln>
        <a:effectLst/>
      </c:spPr>
    </c:plotArea>
    <c:legend>
      <c:legendPos val="b"/>
      <c:layout>
        <c:manualLayout>
          <c:xMode val="edge"/>
          <c:yMode val="edge"/>
          <c:x val="3.0738208622125826E-2"/>
          <c:y val="0.79563405171963064"/>
          <c:w val="0.92413804311612757"/>
          <c:h val="0.1937417782936495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716784724618586"/>
        </c:manualLayout>
      </c:layout>
      <c:barChart>
        <c:barDir val="col"/>
        <c:grouping val="clustered"/>
        <c:varyColors val="0"/>
        <c:ser>
          <c:idx val="1"/>
          <c:order val="2"/>
          <c:tx>
            <c:strRef>
              <c:f>Sheet1!$E$1</c:f>
              <c:strCache>
                <c:ptCount val="1"/>
                <c:pt idx="0">
                  <c:v>Պետական հատված</c:v>
                </c:pt>
              </c:strCache>
            </c:strRef>
          </c:tx>
          <c:spPr>
            <a:solidFill>
              <a:sysClr val="window" lastClr="FFFFFF">
                <a:lumMod val="65000"/>
              </a:sysClr>
            </a:solidFill>
            <a:effectLst/>
          </c:spPr>
          <c:invertIfNegative val="0"/>
          <c:cat>
            <c:strRef>
              <c:f>Sheet1!$B$2:$B$11</c:f>
              <c:strCache>
                <c:ptCount val="10"/>
                <c:pt idx="0">
                  <c:v>I</c:v>
                </c:pt>
                <c:pt idx="1">
                  <c:v>I-II</c:v>
                </c:pt>
                <c:pt idx="2">
                  <c:v>I-III</c:v>
                </c:pt>
                <c:pt idx="3">
                  <c:v>I-IV</c:v>
                </c:pt>
                <c:pt idx="4">
                  <c:v>I</c:v>
                </c:pt>
                <c:pt idx="5">
                  <c:v>I-II</c:v>
                </c:pt>
                <c:pt idx="6">
                  <c:v>I-III</c:v>
                </c:pt>
                <c:pt idx="7">
                  <c:v>I-IV</c:v>
                </c:pt>
                <c:pt idx="8">
                  <c:v>I</c:v>
                </c:pt>
                <c:pt idx="9">
                  <c:v>I-II</c:v>
                </c:pt>
              </c:strCache>
            </c:strRef>
          </c:cat>
          <c:val>
            <c:numRef>
              <c:f>Sheet1!$E$2:$E$11</c:f>
              <c:numCache>
                <c:formatCode>0.0</c:formatCode>
                <c:ptCount val="10"/>
                <c:pt idx="0">
                  <c:v>4.0999999999999943</c:v>
                </c:pt>
                <c:pt idx="1">
                  <c:v>4.5</c:v>
                </c:pt>
                <c:pt idx="2">
                  <c:v>4.5</c:v>
                </c:pt>
                <c:pt idx="3">
                  <c:v>4.2999999999999972</c:v>
                </c:pt>
                <c:pt idx="4">
                  <c:v>9.0999999999999943</c:v>
                </c:pt>
                <c:pt idx="5" formatCode="General">
                  <c:v>9.2000000000000028</c:v>
                </c:pt>
                <c:pt idx="6" formatCode="General">
                  <c:v>10</c:v>
                </c:pt>
                <c:pt idx="7">
                  <c:v>11.4</c:v>
                </c:pt>
                <c:pt idx="8">
                  <c:v>10.199999999999999</c:v>
                </c:pt>
                <c:pt idx="9">
                  <c:v>9.9995315159622891</c:v>
                </c:pt>
              </c:numCache>
            </c:numRef>
          </c:val>
          <c:extLst>
            <c:ext xmlns:c16="http://schemas.microsoft.com/office/drawing/2014/chart" uri="{C3380CC4-5D6E-409C-BE32-E72D297353CC}">
              <c16:uniqueId val="{00000000-7ACC-485B-A196-7AA04F55067D}"/>
            </c:ext>
          </c:extLst>
        </c:ser>
        <c:ser>
          <c:idx val="2"/>
          <c:order val="3"/>
          <c:tx>
            <c:strRef>
              <c:f>Sheet1!$F$1</c:f>
              <c:strCache>
                <c:ptCount val="1"/>
                <c:pt idx="0">
                  <c:v>Մասնավոր հատված</c:v>
                </c:pt>
              </c:strCache>
            </c:strRef>
          </c:tx>
          <c:spPr>
            <a:solidFill>
              <a:srgbClr val="1F497D">
                <a:lumMod val="60000"/>
                <a:lumOff val="40000"/>
              </a:srgbClr>
            </a:solidFill>
          </c:spPr>
          <c:invertIfNegative val="0"/>
          <c:cat>
            <c:strRef>
              <c:f>Sheet1!$B$2:$B$11</c:f>
              <c:strCache>
                <c:ptCount val="10"/>
                <c:pt idx="0">
                  <c:v>I</c:v>
                </c:pt>
                <c:pt idx="1">
                  <c:v>I-II</c:v>
                </c:pt>
                <c:pt idx="2">
                  <c:v>I-III</c:v>
                </c:pt>
                <c:pt idx="3">
                  <c:v>I-IV</c:v>
                </c:pt>
                <c:pt idx="4">
                  <c:v>I</c:v>
                </c:pt>
                <c:pt idx="5">
                  <c:v>I-II</c:v>
                </c:pt>
                <c:pt idx="6">
                  <c:v>I-III</c:v>
                </c:pt>
                <c:pt idx="7">
                  <c:v>I-IV</c:v>
                </c:pt>
                <c:pt idx="8">
                  <c:v>I</c:v>
                </c:pt>
                <c:pt idx="9">
                  <c:v>I-II</c:v>
                </c:pt>
              </c:strCache>
            </c:strRef>
          </c:cat>
          <c:val>
            <c:numRef>
              <c:f>Sheet1!$F$2:$F$11</c:f>
              <c:numCache>
                <c:formatCode>0.0</c:formatCode>
                <c:ptCount val="10"/>
                <c:pt idx="0">
                  <c:v>11.200000000000003</c:v>
                </c:pt>
                <c:pt idx="1">
                  <c:v>13.200000000000003</c:v>
                </c:pt>
                <c:pt idx="2">
                  <c:v>16.200000000000003</c:v>
                </c:pt>
                <c:pt idx="3">
                  <c:v>19</c:v>
                </c:pt>
                <c:pt idx="4">
                  <c:v>26.700000000000003</c:v>
                </c:pt>
                <c:pt idx="5" formatCode="General">
                  <c:v>22.099999999999994</c:v>
                </c:pt>
                <c:pt idx="6" formatCode="General">
                  <c:v>17.900000000000006</c:v>
                </c:pt>
                <c:pt idx="7">
                  <c:v>15</c:v>
                </c:pt>
                <c:pt idx="8">
                  <c:v>7.3</c:v>
                </c:pt>
                <c:pt idx="9">
                  <c:v>5.5748756639013379</c:v>
                </c:pt>
              </c:numCache>
            </c:numRef>
          </c:val>
          <c:extLst>
            <c:ext xmlns:c16="http://schemas.microsoft.com/office/drawing/2014/chart" uri="{C3380CC4-5D6E-409C-BE32-E72D297353CC}">
              <c16:uniqueId val="{00000001-7ACC-485B-A196-7AA04F55067D}"/>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spPr>
            <a:ln>
              <a:solidFill>
                <a:srgbClr val="F79646">
                  <a:lumMod val="60000"/>
                  <a:lumOff val="40000"/>
                </a:srgbClr>
              </a:solidFill>
            </a:ln>
          </c:spPr>
          <c:marker>
            <c:spPr>
              <a:solidFill>
                <a:srgbClr val="F79646">
                  <a:lumMod val="60000"/>
                  <a:lumOff val="40000"/>
                </a:srgbClr>
              </a:solidFill>
              <a:ln>
                <a:solidFill>
                  <a:srgbClr val="F79646">
                    <a:lumMod val="60000"/>
                    <a:lumOff val="40000"/>
                  </a:srgbClr>
                </a:solidFill>
              </a:ln>
            </c:spPr>
          </c:marker>
          <c:dLbls>
            <c:dLbl>
              <c:idx val="0"/>
              <c:layout>
                <c:manualLayout>
                  <c:x val="-0.10015054424503243"/>
                  <c:y val="1.0205895577793812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ACC-485B-A196-7AA04F55067D}"/>
                </c:ext>
              </c:extLst>
            </c:dLbl>
            <c:dLbl>
              <c:idx val="1"/>
              <c:layout>
                <c:manualLayout>
                  <c:x val="-6.4187021667336627E-2"/>
                  <c:y val="1.62089698946994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CC-485B-A196-7AA04F55067D}"/>
                </c:ext>
              </c:extLst>
            </c:dLbl>
            <c:dLbl>
              <c:idx val="2"/>
              <c:layout>
                <c:manualLayout>
                  <c:x val="-6.4093069447400189E-2"/>
                  <c:y val="2.1248339973439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ACC-485B-A196-7AA04F55067D}"/>
                </c:ext>
              </c:extLst>
            </c:dLbl>
            <c:dLbl>
              <c:idx val="3"/>
              <c:layout>
                <c:manualLayout>
                  <c:x val="-5.618626500516264E-2"/>
                  <c:y val="2.62538298250567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ACC-485B-A196-7AA04F55067D}"/>
                </c:ext>
              </c:extLst>
            </c:dLbl>
            <c:dLbl>
              <c:idx val="4"/>
              <c:layout>
                <c:manualLayout>
                  <c:x val="-7.225272516611099E-2"/>
                  <c:y val="3.16679737741945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ACC-485B-A196-7AA04F55067D}"/>
                </c:ext>
              </c:extLst>
            </c:dLbl>
            <c:dLbl>
              <c:idx val="5"/>
              <c:layout>
                <c:manualLayout>
                  <c:x val="-7.6076076076075999E-2"/>
                  <c:y val="4.2496679946879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ACC-485B-A196-7AA04F55067D}"/>
                </c:ext>
              </c:extLst>
            </c:dLbl>
            <c:dLbl>
              <c:idx val="6"/>
              <c:layout>
                <c:manualLayout>
                  <c:x val="-6.8068068068067991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ACC-485B-A196-7AA04F55067D}"/>
                </c:ext>
              </c:extLst>
            </c:dLbl>
            <c:dLbl>
              <c:idx val="7"/>
              <c:layout>
                <c:manualLayout>
                  <c:x val="-8.808808808808824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ACC-485B-A196-7AA04F55067D}"/>
                </c:ext>
              </c:extLst>
            </c:dLbl>
            <c:dLbl>
              <c:idx val="8"/>
              <c:layout>
                <c:manualLayout>
                  <c:x val="-4.0040040040040185E-2"/>
                  <c:y val="-3.47250078119632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ACC-485B-A196-7AA04F55067D}"/>
                </c:ext>
              </c:extLst>
            </c:dLbl>
            <c:dLbl>
              <c:idx val="9"/>
              <c:layout>
                <c:manualLayout>
                  <c:x val="-4.8048048048048048E-2"/>
                  <c:y val="-5.28802320762536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ACC-485B-A196-7AA04F55067D}"/>
                </c:ext>
              </c:extLst>
            </c:dLbl>
            <c:dLbl>
              <c:idx val="10"/>
              <c:layout>
                <c:manualLayout>
                  <c:x val="-1.2012012012012012E-2"/>
                  <c:y val="5.3120849933598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CC-485B-A196-7AA04F55067D}"/>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Sheet1!$A$2:$B$11</c:f>
              <c:multiLvlStrCache>
                <c:ptCount val="10"/>
                <c:lvl>
                  <c:pt idx="0">
                    <c:v>I</c:v>
                  </c:pt>
                  <c:pt idx="1">
                    <c:v>I-II</c:v>
                  </c:pt>
                  <c:pt idx="2">
                    <c:v>I-III</c:v>
                  </c:pt>
                  <c:pt idx="3">
                    <c:v>I-IV</c:v>
                  </c:pt>
                  <c:pt idx="4">
                    <c:v>I</c:v>
                  </c:pt>
                  <c:pt idx="5">
                    <c:v>I-II</c:v>
                  </c:pt>
                  <c:pt idx="6">
                    <c:v>I-III</c:v>
                  </c:pt>
                  <c:pt idx="7">
                    <c:v>I-IV</c:v>
                  </c:pt>
                  <c:pt idx="8">
                    <c:v>I</c:v>
                  </c:pt>
                  <c:pt idx="9">
                    <c:v>I-II</c:v>
                  </c:pt>
                </c:lvl>
                <c:lvl>
                  <c:pt idx="0">
                    <c:v>2022</c:v>
                  </c:pt>
                  <c:pt idx="4">
                    <c:v>2023</c:v>
                  </c:pt>
                  <c:pt idx="8">
                    <c:v>2024</c:v>
                  </c:pt>
                </c:lvl>
              </c:multiLvlStrCache>
            </c:multiLvlStrRef>
          </c:cat>
          <c:val>
            <c:numRef>
              <c:f>Sheet1!$C$2:$C$11</c:f>
              <c:numCache>
                <c:formatCode>0.0</c:formatCode>
                <c:ptCount val="10"/>
                <c:pt idx="0">
                  <c:v>2.4346780252902533</c:v>
                </c:pt>
                <c:pt idx="1">
                  <c:v>2.9426608849344404</c:v>
                </c:pt>
                <c:pt idx="2">
                  <c:v>4.4551420845944563</c:v>
                </c:pt>
                <c:pt idx="3">
                  <c:v>6.3135414103774963</c:v>
                </c:pt>
                <c:pt idx="4">
                  <c:v>14.673843183135602</c:v>
                </c:pt>
                <c:pt idx="5">
                  <c:v>14.680918523523445</c:v>
                </c:pt>
                <c:pt idx="6">
                  <c:v>13.456569463172755</c:v>
                </c:pt>
                <c:pt idx="7">
                  <c:v>12.374514024642465</c:v>
                </c:pt>
                <c:pt idx="8">
                  <c:v>9.5330375975447197</c:v>
                </c:pt>
                <c:pt idx="9">
                  <c:v>7.3959519851725304</c:v>
                </c:pt>
              </c:numCache>
            </c:numRef>
          </c:val>
          <c:smooth val="0"/>
          <c:extLst>
            <c:ext xmlns:c16="http://schemas.microsoft.com/office/drawing/2014/chart" uri="{C3380CC4-5D6E-409C-BE32-E72D297353CC}">
              <c16:uniqueId val="{0000000D-7ACC-485B-A196-7AA04F55067D}"/>
            </c:ext>
          </c:extLst>
        </c:ser>
        <c:ser>
          <c:idx val="0"/>
          <c:order val="1"/>
          <c:tx>
            <c:strRef>
              <c:f>Sheet1!$D$1</c:f>
              <c:strCache>
                <c:ptCount val="1"/>
                <c:pt idx="0">
                  <c:v>Ընդամենը (անվանական)</c:v>
                </c:pt>
              </c:strCache>
            </c:strRef>
          </c:tx>
          <c:spPr>
            <a:ln w="28535" cap="rnd">
              <a:solidFill>
                <a:srgbClr val="1F497D"/>
              </a:solidFill>
              <a:round/>
            </a:ln>
            <a:effectLst/>
          </c:spPr>
          <c:marker>
            <c:spPr>
              <a:solidFill>
                <a:srgbClr val="1F497D"/>
              </a:solidFill>
              <a:ln>
                <a:solidFill>
                  <a:srgbClr val="1F497D"/>
                </a:solidFill>
              </a:ln>
            </c:spPr>
          </c:marker>
          <c:dLbls>
            <c:dLbl>
              <c:idx val="0"/>
              <c:layout>
                <c:manualLayout>
                  <c:x val="-6.6323331205220964E-2"/>
                  <c:y val="-3.7347303698591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ACC-485B-A196-7AA04F55067D}"/>
                </c:ext>
              </c:extLst>
            </c:dLbl>
            <c:dLbl>
              <c:idx val="1"/>
              <c:layout>
                <c:manualLayout>
                  <c:x val="-6.610074641570704E-2"/>
                  <c:y val="-3.4189750185609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ACC-485B-A196-7AA04F55067D}"/>
                </c:ext>
              </c:extLst>
            </c:dLbl>
            <c:dLbl>
              <c:idx val="2"/>
              <c:layout>
                <c:manualLayout>
                  <c:x val="-6.1471235014542103E-2"/>
                  <c:y val="-3.71197624201357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ACC-485B-A196-7AA04F55067D}"/>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ACC-485B-A196-7AA04F55067D}"/>
                </c:ext>
              </c:extLst>
            </c:dLbl>
            <c:dLbl>
              <c:idx val="4"/>
              <c:layout>
                <c:manualLayout>
                  <c:x val="-7.7966785683321119E-2"/>
                  <c:y val="-3.73335006430969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ACC-485B-A196-7AA04F55067D}"/>
                </c:ext>
              </c:extLst>
            </c:dLbl>
            <c:dLbl>
              <c:idx val="5"/>
              <c:layout>
                <c:manualLayout>
                  <c:x val="-7.4296658863588078E-2"/>
                  <c:y val="-4.26664993569030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ACC-485B-A196-7AA04F55067D}"/>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ACC-485B-A196-7AA04F55067D}"/>
                </c:ext>
              </c:extLst>
            </c:dLbl>
            <c:dLbl>
              <c:idx val="7"/>
              <c:layout>
                <c:manualLayout>
                  <c:x val="-7.7855493288564004E-2"/>
                  <c:y val="-3.20000836548817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7ACC-485B-A196-7AA04F55067D}"/>
                </c:ext>
              </c:extLst>
            </c:dLbl>
            <c:dLbl>
              <c:idx val="8"/>
              <c:layout>
                <c:manualLayout>
                  <c:x val="-8.0080080080080232E-2"/>
                  <c:y val="3.38505111572564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ACC-485B-A196-7AA04F55067D}"/>
                </c:ext>
              </c:extLst>
            </c:dLbl>
            <c:dLbl>
              <c:idx val="9"/>
              <c:layout>
                <c:manualLayout>
                  <c:x val="-7.2072072072072071E-2"/>
                  <c:y val="3.53592727450019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ACC-485B-A196-7AA04F55067D}"/>
                </c:ext>
              </c:extLst>
            </c:dLbl>
            <c:spPr>
              <a:noFill/>
              <a:ln w="25364">
                <a:noFill/>
              </a:ln>
            </c:spPr>
            <c:txPr>
              <a:bodyPr rot="0" spcFirstLastPara="1" vertOverflow="ellipsis" vert="horz" wrap="square" lIns="38100" tIns="19050" rIns="38100" bIns="19050" anchor="ctr" anchorCtr="1">
                <a:spAutoFit/>
              </a:bodyPr>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Sheet1!$A$2:$B$11</c:f>
              <c:multiLvlStrCache>
                <c:ptCount val="10"/>
                <c:lvl>
                  <c:pt idx="0">
                    <c:v>I</c:v>
                  </c:pt>
                  <c:pt idx="1">
                    <c:v>I-II</c:v>
                  </c:pt>
                  <c:pt idx="2">
                    <c:v>I-III</c:v>
                  </c:pt>
                  <c:pt idx="3">
                    <c:v>I-IV</c:v>
                  </c:pt>
                  <c:pt idx="4">
                    <c:v>I</c:v>
                  </c:pt>
                  <c:pt idx="5">
                    <c:v>I-II</c:v>
                  </c:pt>
                  <c:pt idx="6">
                    <c:v>I-III</c:v>
                  </c:pt>
                  <c:pt idx="7">
                    <c:v>I-IV</c:v>
                  </c:pt>
                  <c:pt idx="8">
                    <c:v>I</c:v>
                  </c:pt>
                  <c:pt idx="9">
                    <c:v>I-II</c:v>
                  </c:pt>
                </c:lvl>
                <c:lvl>
                  <c:pt idx="0">
                    <c:v>2022</c:v>
                  </c:pt>
                  <c:pt idx="4">
                    <c:v>2023</c:v>
                  </c:pt>
                  <c:pt idx="8">
                    <c:v>2024</c:v>
                  </c:pt>
                </c:lvl>
              </c:multiLvlStrCache>
            </c:multiLvlStrRef>
          </c:cat>
          <c:val>
            <c:numRef>
              <c:f>Sheet1!$D$2:$D$11</c:f>
              <c:numCache>
                <c:formatCode>0.0</c:formatCode>
                <c:ptCount val="10"/>
                <c:pt idx="0">
                  <c:v>9.5999999999999943</c:v>
                </c:pt>
                <c:pt idx="1">
                  <c:v>11.299999999999997</c:v>
                </c:pt>
                <c:pt idx="2">
                  <c:v>13.400000000000006</c:v>
                </c:pt>
                <c:pt idx="3">
                  <c:v>15.5</c:v>
                </c:pt>
                <c:pt idx="4">
                  <c:v>22.900000000000006</c:v>
                </c:pt>
                <c:pt idx="5">
                  <c:v>19.5</c:v>
                </c:pt>
                <c:pt idx="6">
                  <c:v>16.599999999999994</c:v>
                </c:pt>
                <c:pt idx="7">
                  <c:v>14.6</c:v>
                </c:pt>
                <c:pt idx="8">
                  <c:v>8.1999999999999993</c:v>
                </c:pt>
                <c:pt idx="9">
                  <c:v>6.7515762732615059</c:v>
                </c:pt>
              </c:numCache>
            </c:numRef>
          </c:val>
          <c:smooth val="0"/>
          <c:extLst>
            <c:ext xmlns:c16="http://schemas.microsoft.com/office/drawing/2014/chart" uri="{C3380CC4-5D6E-409C-BE32-E72D297353CC}">
              <c16:uniqueId val="{00000018-7ACC-485B-A196-7AA04F55067D}"/>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200"/>
        <c:noMultiLvlLbl val="0"/>
      </c:catAx>
      <c:valAx>
        <c:axId val="1"/>
        <c:scaling>
          <c:orientation val="minMax"/>
          <c:max val="30"/>
          <c:min val="-5"/>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5"/>
      </c:valAx>
      <c:spPr>
        <a:solidFill>
          <a:schemeClr val="bg1"/>
        </a:solidFill>
        <a:ln>
          <a:noFill/>
        </a:ln>
        <a:effectLst/>
      </c:spPr>
    </c:plotArea>
    <c:legend>
      <c:legendPos val="b"/>
      <c:layout>
        <c:manualLayout>
          <c:xMode val="edge"/>
          <c:yMode val="edge"/>
          <c:x val="3.1627848320761709E-2"/>
          <c:y val="0.85932804216206027"/>
          <c:w val="0.91926004744902379"/>
          <c:h val="0.10348736288442033"/>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58048628217723552"/>
        </c:manualLayout>
      </c:layout>
      <c:lineChart>
        <c:grouping val="standard"/>
        <c:varyColors val="0"/>
        <c:ser>
          <c:idx val="0"/>
          <c:order val="0"/>
          <c:tx>
            <c:strRef>
              <c:f>Sheet1!$D$1</c:f>
              <c:strCache>
                <c:ptCount val="1"/>
                <c:pt idx="0">
                  <c:v>12 ամսյա գնաճ, %</c:v>
                </c:pt>
              </c:strCache>
            </c:strRef>
          </c:tx>
          <c:spPr>
            <a:ln w="28564" cap="rnd">
              <a:solidFill>
                <a:srgbClr val="ED7D31">
                  <a:lumMod val="60000"/>
                  <a:lumOff val="40000"/>
                </a:srgbClr>
              </a:solidFill>
              <a:round/>
            </a:ln>
            <a:effectLst/>
          </c:spPr>
          <c:marker>
            <c:symbol val="none"/>
          </c:marker>
          <c:cat>
            <c:multiLvlStrRef>
              <c:f>Sheet1!$A$14:$B$79</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Sheet1!$D$2:$D$79</c:f>
              <c:numCache>
                <c:formatCode>0.0</c:formatCode>
                <c:ptCount val="54"/>
                <c:pt idx="0">
                  <c:v>0.27658563406973258</c:v>
                </c:pt>
                <c:pt idx="1">
                  <c:v>-0.54084569473241118</c:v>
                </c:pt>
                <c:pt idx="2">
                  <c:v>-0.11022336893752538</c:v>
                </c:pt>
                <c:pt idx="3">
                  <c:v>0.85542195074623351</c:v>
                </c:pt>
                <c:pt idx="4">
                  <c:v>1.1580085630596528</c:v>
                </c:pt>
                <c:pt idx="5">
                  <c:v>1.6775261712177212</c:v>
                </c:pt>
                <c:pt idx="6">
                  <c:v>1.5187898303232146</c:v>
                </c:pt>
                <c:pt idx="7">
                  <c:v>1.8167405331190878</c:v>
                </c:pt>
                <c:pt idx="8">
                  <c:v>1.4326844717312213</c:v>
                </c:pt>
                <c:pt idx="9">
                  <c:v>1.3441364663858479</c:v>
                </c:pt>
                <c:pt idx="10">
                  <c:v>1.5585891969706438</c:v>
                </c:pt>
                <c:pt idx="11">
                  <c:v>3.6638246566360237</c:v>
                </c:pt>
                <c:pt idx="12">
                  <c:v>4.5148886220006261</c:v>
                </c:pt>
                <c:pt idx="13">
                  <c:v>5.3267515218621924</c:v>
                </c:pt>
                <c:pt idx="14">
                  <c:v>5.7810093225161552</c:v>
                </c:pt>
                <c:pt idx="15">
                  <c:v>6.1569193415054002</c:v>
                </c:pt>
                <c:pt idx="16">
                  <c:v>5.9006948589342016</c:v>
                </c:pt>
                <c:pt idx="17">
                  <c:v>6.5046445234588646</c:v>
                </c:pt>
                <c:pt idx="18">
                  <c:v>8.2227275731544154</c:v>
                </c:pt>
                <c:pt idx="19">
                  <c:v>8.7823860822581139</c:v>
                </c:pt>
                <c:pt idx="20">
                  <c:v>8.8886539553763413</c:v>
                </c:pt>
                <c:pt idx="21">
                  <c:v>9.1040943851299545</c:v>
                </c:pt>
                <c:pt idx="22">
                  <c:v>9.5566762184085832</c:v>
                </c:pt>
                <c:pt idx="23">
                  <c:v>7.6754534627573037</c:v>
                </c:pt>
                <c:pt idx="24">
                  <c:v>7.0769205766379315</c:v>
                </c:pt>
                <c:pt idx="25">
                  <c:v>6.5432090002156116</c:v>
                </c:pt>
                <c:pt idx="26">
                  <c:v>7.3617969746003382</c:v>
                </c:pt>
                <c:pt idx="27">
                  <c:v>8.4252580519207356</c:v>
                </c:pt>
                <c:pt idx="28">
                  <c:v>8.9862917816955417</c:v>
                </c:pt>
                <c:pt idx="29">
                  <c:v>10.274467693331786</c:v>
                </c:pt>
                <c:pt idx="30">
                  <c:v>9.3216627279495867</c:v>
                </c:pt>
                <c:pt idx="31">
                  <c:v>9.1287829914562479</c:v>
                </c:pt>
                <c:pt idx="32">
                  <c:v>9.9151144159470022</c:v>
                </c:pt>
                <c:pt idx="33">
                  <c:v>9.5</c:v>
                </c:pt>
                <c:pt idx="34">
                  <c:v>8.8446621147540014</c:v>
                </c:pt>
                <c:pt idx="35">
                  <c:v>8.3026886372339987</c:v>
                </c:pt>
                <c:pt idx="36">
                  <c:v>8.0513101873760036</c:v>
                </c:pt>
                <c:pt idx="37">
                  <c:v>8.0504413480060038</c:v>
                </c:pt>
                <c:pt idx="38">
                  <c:v>5.4496798492630063</c:v>
                </c:pt>
                <c:pt idx="39">
                  <c:v>3.2368670906421926</c:v>
                </c:pt>
                <c:pt idx="40">
                  <c:v>1.3</c:v>
                </c:pt>
                <c:pt idx="41">
                  <c:v>-0.5</c:v>
                </c:pt>
                <c:pt idx="42">
                  <c:v>-0.10059999999999999</c:v>
                </c:pt>
                <c:pt idx="43">
                  <c:v>-0.16830000000000001</c:v>
                </c:pt>
                <c:pt idx="44">
                  <c:v>0.1</c:v>
                </c:pt>
                <c:pt idx="45">
                  <c:v>0.1</c:v>
                </c:pt>
                <c:pt idx="46">
                  <c:v>-0.5</c:v>
                </c:pt>
                <c:pt idx="47">
                  <c:v>-0.6</c:v>
                </c:pt>
                <c:pt idx="48">
                  <c:v>-0.9</c:v>
                </c:pt>
                <c:pt idx="49">
                  <c:v>-1.7</c:v>
                </c:pt>
                <c:pt idx="50">
                  <c:v>-1.2</c:v>
                </c:pt>
                <c:pt idx="51">
                  <c:v>-0.7</c:v>
                </c:pt>
                <c:pt idx="52">
                  <c:v>0.3</c:v>
                </c:pt>
                <c:pt idx="53">
                  <c:v>0.8</c:v>
                </c:pt>
              </c:numCache>
            </c:numRef>
          </c:val>
          <c:smooth val="0"/>
          <c:extLst>
            <c:ext xmlns:c16="http://schemas.microsoft.com/office/drawing/2014/chart" uri="{C3380CC4-5D6E-409C-BE32-E72D297353CC}">
              <c16:uniqueId val="{00000000-DE64-4192-A4BE-5C6716C47F43}"/>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Sheet1!$A$14:$B$79</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Sheet1!$E$2:$E$79</c:f>
              <c:numCache>
                <c:formatCode>0.00</c:formatCode>
                <c:ptCount val="54"/>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c:v>10</c:v>
                </c:pt>
                <c:pt idx="33">
                  <c:v>10</c:v>
                </c:pt>
                <c:pt idx="34">
                  <c:v>10.5</c:v>
                </c:pt>
                <c:pt idx="35">
                  <c:v>10.75</c:v>
                </c:pt>
                <c:pt idx="36">
                  <c:v>10.75</c:v>
                </c:pt>
                <c:pt idx="37">
                  <c:v>10.75</c:v>
                </c:pt>
                <c:pt idx="38">
                  <c:v>10.75</c:v>
                </c:pt>
                <c:pt idx="39">
                  <c:v>10.75</c:v>
                </c:pt>
                <c:pt idx="40">
                  <c:v>10.75</c:v>
                </c:pt>
                <c:pt idx="41">
                  <c:v>10.5</c:v>
                </c:pt>
                <c:pt idx="42">
                  <c:v>10.5</c:v>
                </c:pt>
                <c:pt idx="43">
                  <c:v>10.25</c:v>
                </c:pt>
                <c:pt idx="44">
                  <c:v>9.75</c:v>
                </c:pt>
                <c:pt idx="45">
                  <c:v>9.75</c:v>
                </c:pt>
                <c:pt idx="46">
                  <c:v>9.5</c:v>
                </c:pt>
                <c:pt idx="47">
                  <c:v>9.25</c:v>
                </c:pt>
                <c:pt idx="48">
                  <c:v>9.25</c:v>
                </c:pt>
                <c:pt idx="49">
                  <c:v>8.75</c:v>
                </c:pt>
                <c:pt idx="50">
                  <c:v>8.5</c:v>
                </c:pt>
                <c:pt idx="51">
                  <c:v>8.25</c:v>
                </c:pt>
                <c:pt idx="52">
                  <c:v>8.25</c:v>
                </c:pt>
                <c:pt idx="53">
                  <c:v>8</c:v>
                </c:pt>
              </c:numCache>
            </c:numRef>
          </c:val>
          <c:smooth val="0"/>
          <c:extLst>
            <c:ext xmlns:c16="http://schemas.microsoft.com/office/drawing/2014/chart" uri="{C3380CC4-5D6E-409C-BE32-E72D297353CC}">
              <c16:uniqueId val="{00000001-DE64-4192-A4BE-5C6716C47F43}"/>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cat>
            <c:multiLvlStrRef>
              <c:f>Sheet1!$A$14:$B$79</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Sheet1!$C$14:$C$79</c:f>
              <c:numCache>
                <c:formatCode>0.0</c:formatCode>
                <c:ptCount val="54"/>
                <c:pt idx="0">
                  <c:v>0.86538957196520983</c:v>
                </c:pt>
                <c:pt idx="1">
                  <c:v>0.77184062474053405</c:v>
                </c:pt>
                <c:pt idx="2">
                  <c:v>0.54227164049494547</c:v>
                </c:pt>
                <c:pt idx="3">
                  <c:v>1.1321822131247927</c:v>
                </c:pt>
                <c:pt idx="4">
                  <c:v>0.86253079378988673</c:v>
                </c:pt>
                <c:pt idx="5">
                  <c:v>0.77684596156544217</c:v>
                </c:pt>
                <c:pt idx="6">
                  <c:v>0.8340682821257559</c:v>
                </c:pt>
                <c:pt idx="7">
                  <c:v>1.0666176019744</c:v>
                </c:pt>
                <c:pt idx="8">
                  <c:v>1.3397678509690962</c:v>
                </c:pt>
                <c:pt idx="9">
                  <c:v>1.677154081686254</c:v>
                </c:pt>
                <c:pt idx="10">
                  <c:v>1.9837670848593518</c:v>
                </c:pt>
                <c:pt idx="11">
                  <c:v>3.6204833935339735</c:v>
                </c:pt>
                <c:pt idx="12">
                  <c:v>4.6779235852640682</c:v>
                </c:pt>
                <c:pt idx="13">
                  <c:v>5.4846481634119186</c:v>
                </c:pt>
                <c:pt idx="14">
                  <c:v>6.6300845552899972</c:v>
                </c:pt>
                <c:pt idx="15">
                  <c:v>6.7626395686116751</c:v>
                </c:pt>
                <c:pt idx="16">
                  <c:v>7.4114337608134804</c:v>
                </c:pt>
                <c:pt idx="17">
                  <c:v>7.8323845176300608</c:v>
                </c:pt>
                <c:pt idx="18">
                  <c:v>8.1093537485616309</c:v>
                </c:pt>
                <c:pt idx="19">
                  <c:v>8.0379242186285609</c:v>
                </c:pt>
                <c:pt idx="20">
                  <c:v>7.9880734583744442</c:v>
                </c:pt>
                <c:pt idx="21">
                  <c:v>7.8765202676341914</c:v>
                </c:pt>
                <c:pt idx="22">
                  <c:v>8.3772656385054063</c:v>
                </c:pt>
                <c:pt idx="23">
                  <c:v>7.2509011281681808</c:v>
                </c:pt>
                <c:pt idx="24">
                  <c:v>6.60162670741569</c:v>
                </c:pt>
                <c:pt idx="25">
                  <c:v>6.3614506423955959</c:v>
                </c:pt>
                <c:pt idx="26">
                  <c:v>6.9671454857929405</c:v>
                </c:pt>
                <c:pt idx="27">
                  <c:v>7.9799047833968757</c:v>
                </c:pt>
                <c:pt idx="28">
                  <c:v>8.3564098161367042</c:v>
                </c:pt>
                <c:pt idx="29">
                  <c:v>9.4404331247470736</c:v>
                </c:pt>
                <c:pt idx="30">
                  <c:v>10.10041008820204</c:v>
                </c:pt>
                <c:pt idx="31">
                  <c:v>10.230227924035546</c:v>
                </c:pt>
                <c:pt idx="32">
                  <c:v>10.540276376631112</c:v>
                </c:pt>
                <c:pt idx="33">
                  <c:v>10.488322377082326</c:v>
                </c:pt>
                <c:pt idx="34">
                  <c:v>9.8756503499295007</c:v>
                </c:pt>
                <c:pt idx="35">
                  <c:v>9.4793414473783173</c:v>
                </c:pt>
                <c:pt idx="36">
                  <c:v>9.0991561824239966</c:v>
                </c:pt>
                <c:pt idx="37">
                  <c:v>8.3569861398929959</c:v>
                </c:pt>
                <c:pt idx="38">
                  <c:v>6.4066571555730008</c:v>
                </c:pt>
                <c:pt idx="39">
                  <c:v>4.3045803295163267</c:v>
                </c:pt>
                <c:pt idx="40">
                  <c:v>3.0865032447455718</c:v>
                </c:pt>
                <c:pt idx="41">
                  <c:v>1.4518285160379776</c:v>
                </c:pt>
                <c:pt idx="42">
                  <c:v>0.59949055114458361</c:v>
                </c:pt>
                <c:pt idx="43">
                  <c:v>0.35313145780541788</c:v>
                </c:pt>
                <c:pt idx="44">
                  <c:v>-8.0847536483943827E-2</c:v>
                </c:pt>
                <c:pt idx="45">
                  <c:v>-4.6504096578033227E-2</c:v>
                </c:pt>
                <c:pt idx="46">
                  <c:v>-0.24390438070011555</c:v>
                </c:pt>
                <c:pt idx="47">
                  <c:v>-0.39353895237825043</c:v>
                </c:pt>
                <c:pt idx="48">
                  <c:v>-0.44083532430917671</c:v>
                </c:pt>
                <c:pt idx="49">
                  <c:v>-0.65415810312974543</c:v>
                </c:pt>
                <c:pt idx="50">
                  <c:v>-0.70986287761924416</c:v>
                </c:pt>
                <c:pt idx="51">
                  <c:v>-0.53692140460677251</c:v>
                </c:pt>
                <c:pt idx="52">
                  <c:v>-0.29513107679599671</c:v>
                </c:pt>
                <c:pt idx="53">
                  <c:v>3.9019835541694192E-2</c:v>
                </c:pt>
              </c:numCache>
            </c:numRef>
          </c:val>
          <c:smooth val="0"/>
          <c:extLst>
            <c:ext xmlns:c16="http://schemas.microsoft.com/office/drawing/2014/chart" uri="{C3380CC4-5D6E-409C-BE32-E72D297353CC}">
              <c16:uniqueId val="{00000002-DE64-4192-A4BE-5C6716C47F43}"/>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0"/>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layout>
        <c:manualLayout>
          <c:xMode val="edge"/>
          <c:yMode val="edge"/>
          <c:x val="5.1996007984031936E-2"/>
          <c:y val="0.8765120094468829"/>
          <c:w val="0.9"/>
          <c:h val="0.11923182708807457"/>
        </c:manualLayout>
      </c:layout>
      <c:overlay val="0"/>
      <c:spPr>
        <a:noFill/>
        <a:ln w="2539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12</a:t>
            </a:r>
            <a:r>
              <a:rPr lang="hy-AM" sz="1080" b="0"/>
              <a:t> ամսյա գնաճը</a:t>
            </a:r>
            <a:r>
              <a:rPr lang="en-US" sz="1080" b="0"/>
              <a:t>,</a:t>
            </a:r>
            <a:r>
              <a:rPr lang="en-US" sz="1080" b="0" baseline="0"/>
              <a:t> %</a:t>
            </a:r>
            <a:endParaRPr lang="en-US" sz="1080" b="0"/>
          </a:p>
        </c:rich>
      </c:tx>
      <c:layout>
        <c:manualLayout>
          <c:xMode val="edge"/>
          <c:yMode val="edge"/>
          <c:x val="0.2986081380545994"/>
          <c:y val="5.5555555555555558E-3"/>
        </c:manualLayout>
      </c:layout>
      <c:overlay val="0"/>
      <c:spPr>
        <a:noFill/>
        <a:ln>
          <a:noFill/>
        </a:ln>
        <a:effectLst/>
      </c:spPr>
    </c:title>
    <c:autoTitleDeleted val="0"/>
    <c:plotArea>
      <c:layout>
        <c:manualLayout>
          <c:layoutTarget val="inner"/>
          <c:xMode val="edge"/>
          <c:yMode val="edge"/>
          <c:x val="9.2748361544627275E-2"/>
          <c:y val="0.1312423813132145"/>
          <c:w val="0.86286104955443443"/>
          <c:h val="0.60185288547792282"/>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Sheet1!$D$28:$D$69</c:f>
              <c:numCache>
                <c:formatCode>0.0</c:formatCode>
                <c:ptCount val="18"/>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pt idx="12">
                  <c:v>1.9252499999999997</c:v>
                </c:pt>
                <c:pt idx="13">
                  <c:v>-2.0762499999999999</c:v>
                </c:pt>
                <c:pt idx="14">
                  <c:v>-1.17025</c:v>
                </c:pt>
                <c:pt idx="15">
                  <c:v>-1.8119999999999998</c:v>
                </c:pt>
                <c:pt idx="16">
                  <c:v>-2.31616</c:v>
                </c:pt>
                <c:pt idx="17">
                  <c:v>-0.28952</c:v>
                </c:pt>
              </c:numCache>
            </c:numRef>
          </c:val>
          <c:extLst>
            <c:ext xmlns:c16="http://schemas.microsoft.com/office/drawing/2014/chart" uri="{C3380CC4-5D6E-409C-BE32-E72D297353CC}">
              <c16:uniqueId val="{00000000-3C3A-4C11-8A76-F9D82F4C6C21}"/>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Sheet1!$E$28:$E$69</c:f>
              <c:numCache>
                <c:formatCode>0.0</c:formatCode>
                <c:ptCount val="18"/>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pt idx="12">
                  <c:v>0.31872</c:v>
                </c:pt>
                <c:pt idx="13">
                  <c:v>0.33024000000000003</c:v>
                </c:pt>
                <c:pt idx="14">
                  <c:v>0.31872</c:v>
                </c:pt>
                <c:pt idx="15">
                  <c:v>0.32256000000000001</c:v>
                </c:pt>
                <c:pt idx="16">
                  <c:v>0.33596000000000004</c:v>
                </c:pt>
                <c:pt idx="17">
                  <c:v>0.21791999999999997</c:v>
                </c:pt>
              </c:numCache>
            </c:numRef>
          </c:val>
          <c:extLst>
            <c:ext xmlns:c16="http://schemas.microsoft.com/office/drawing/2014/chart" uri="{C3380CC4-5D6E-409C-BE32-E72D297353CC}">
              <c16:uniqueId val="{00000001-3C3A-4C11-8A76-F9D82F4C6C21}"/>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Sheet1!$F$28:$F$69</c:f>
              <c:numCache>
                <c:formatCode>0.0</c:formatCode>
                <c:ptCount val="18"/>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pt idx="12">
                  <c:v>1.06996</c:v>
                </c:pt>
                <c:pt idx="13">
                  <c:v>6.9780000000000009E-2</c:v>
                </c:pt>
                <c:pt idx="14">
                  <c:v>0</c:v>
                </c:pt>
                <c:pt idx="15">
                  <c:v>2.3259999999999999E-2</c:v>
                </c:pt>
                <c:pt idx="16">
                  <c:v>-2.1680000000000001E-2</c:v>
                </c:pt>
                <c:pt idx="17">
                  <c:v>-4.3360000000000003E-2</c:v>
                </c:pt>
              </c:numCache>
            </c:numRef>
          </c:val>
          <c:extLst>
            <c:ext xmlns:c16="http://schemas.microsoft.com/office/drawing/2014/chart" uri="{C3380CC4-5D6E-409C-BE32-E72D297353CC}">
              <c16:uniqueId val="{00000002-3C3A-4C11-8A76-F9D82F4C6C21}"/>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Sheet1!$G$28:$G$69</c:f>
              <c:numCache>
                <c:formatCode>0.0</c:formatCode>
                <c:ptCount val="18"/>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pt idx="12">
                  <c:v>2.109</c:v>
                </c:pt>
                <c:pt idx="13">
                  <c:v>1.3708499999999999</c:v>
                </c:pt>
                <c:pt idx="14">
                  <c:v>1.1248</c:v>
                </c:pt>
                <c:pt idx="15">
                  <c:v>1.0545</c:v>
                </c:pt>
                <c:pt idx="16">
                  <c:v>0.81050000000000011</c:v>
                </c:pt>
                <c:pt idx="17">
                  <c:v>0.87534000000000001</c:v>
                </c:pt>
              </c:numCache>
            </c:numRef>
          </c:val>
          <c:extLst>
            <c:ext xmlns:c16="http://schemas.microsoft.com/office/drawing/2014/chart" uri="{C3380CC4-5D6E-409C-BE32-E72D297353CC}">
              <c16:uniqueId val="{00000003-3C3A-4C11-8A76-F9D82F4C6C21}"/>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3C3A-4C11-8A76-F9D82F4C6C21}"/>
              </c:ext>
            </c:extLst>
          </c:dPt>
          <c:dPt>
            <c:idx val="7"/>
            <c:marker>
              <c:symbol val="square"/>
              <c:size val="6"/>
              <c:spPr>
                <a:noFill/>
                <a:ln w="15875">
                  <a:noFill/>
                  <a:round/>
                </a:ln>
                <a:effectLst/>
              </c:spPr>
            </c:marker>
            <c:bubble3D val="0"/>
            <c:extLst>
              <c:ext xmlns:c16="http://schemas.microsoft.com/office/drawing/2014/chart" uri="{C3380CC4-5D6E-409C-BE32-E72D297353CC}">
                <c16:uniqueId val="{00000005-3C3A-4C11-8A76-F9D82F4C6C21}"/>
              </c:ext>
            </c:extLst>
          </c:dPt>
          <c:dLbls>
            <c:dLbl>
              <c:idx val="9"/>
              <c:layout>
                <c:manualLayout>
                  <c:x val="-8.8253728762946543E-2"/>
                  <c:y val="-5.29587361706369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C3A-4C11-8A76-F9D82F4C6C21}"/>
                </c:ext>
              </c:extLst>
            </c:dLbl>
            <c:dLbl>
              <c:idx val="13"/>
              <c:layout>
                <c:manualLayout>
                  <c:x val="-8.0269696826818948E-2"/>
                  <c:y val="7.57362204724408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C3A-4C11-8A76-F9D82F4C6C21}"/>
                </c:ext>
              </c:extLst>
            </c:dLbl>
            <c:dLbl>
              <c:idx val="14"/>
              <c:layout>
                <c:manualLayout>
                  <c:x val="-2.6127901676961184E-2"/>
                  <c:y val="-6.8708223972003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C3A-4C11-8A76-F9D82F4C6C21}"/>
                </c:ext>
              </c:extLst>
            </c:dLbl>
            <c:dLbl>
              <c:idx val="15"/>
              <c:layout>
                <c:manualLayout>
                  <c:x val="-7.56688198406337E-2"/>
                  <c:y val="7.5736220472440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C3A-4C11-8A76-F9D82F4C6C21}"/>
                </c:ext>
              </c:extLst>
            </c:dLbl>
            <c:dLbl>
              <c:idx val="16"/>
              <c:layout>
                <c:manualLayout>
                  <c:x val="-2.8133968283904631E-2"/>
                  <c:y val="6.4625109361329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C3A-4C11-8A76-F9D82F4C6C21}"/>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Sheet1!$A$40:$B$69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Sheet1!$C$28:$C$69</c:f>
              <c:numCache>
                <c:formatCode>0.0</c:formatCode>
                <c:ptCount val="18"/>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pt idx="12">
                  <c:v>5.4</c:v>
                </c:pt>
                <c:pt idx="13">
                  <c:v>-0.5</c:v>
                </c:pt>
                <c:pt idx="14">
                  <c:v>0.1</c:v>
                </c:pt>
                <c:pt idx="15">
                  <c:v>-0.6</c:v>
                </c:pt>
                <c:pt idx="16">
                  <c:v>-1.2</c:v>
                </c:pt>
                <c:pt idx="17">
                  <c:v>0.8</c:v>
                </c:pt>
              </c:numCache>
            </c:numRef>
          </c:val>
          <c:smooth val="0"/>
          <c:extLst>
            <c:ext xmlns:c16="http://schemas.microsoft.com/office/drawing/2014/chart" uri="{C3380CC4-5D6E-409C-BE32-E72D297353CC}">
              <c16:uniqueId val="{0000000B-3C3A-4C11-8A76-F9D82F4C6C21}"/>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257600"/>
        <c:crosses val="autoZero"/>
        <c:auto val="1"/>
        <c:lblAlgn val="ctr"/>
        <c:lblOffset val="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Մ</a:t>
            </a:r>
            <a:r>
              <a:rPr lang="hy-AM" sz="1080" b="0"/>
              <a:t>իջին գնաճը</a:t>
            </a:r>
            <a:r>
              <a:rPr lang="en-US" sz="1080" b="0"/>
              <a:t>,</a:t>
            </a:r>
            <a:r>
              <a:rPr lang="en-US" sz="1080" b="0" baseline="0"/>
              <a:t> %</a:t>
            </a:r>
            <a:endParaRPr lang="en-US" sz="1080" b="0"/>
          </a:p>
        </c:rich>
      </c:tx>
      <c:layout>
        <c:manualLayout>
          <c:xMode val="edge"/>
          <c:yMode val="edge"/>
          <c:x val="0.35016046646863752"/>
          <c:y val="2.2222222222222223E-2"/>
        </c:manualLayout>
      </c:layout>
      <c:overlay val="0"/>
      <c:spPr>
        <a:noFill/>
        <a:ln>
          <a:noFill/>
        </a:ln>
        <a:effectLst/>
      </c:spPr>
    </c:title>
    <c:autoTitleDeleted val="0"/>
    <c:plotArea>
      <c:layout>
        <c:manualLayout>
          <c:layoutTarget val="inner"/>
          <c:xMode val="edge"/>
          <c:yMode val="edge"/>
          <c:x val="8.8756345576563395E-2"/>
          <c:y val="0.14797878298685471"/>
          <c:w val="0.88914737454225412"/>
          <c:h val="0.60928585667297919"/>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Sheet1!$D$2:$D$69</c:f>
              <c:numCache>
                <c:formatCode>0.0</c:formatCode>
                <c:ptCount val="18"/>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pt idx="12">
                  <c:v>3.05775</c:v>
                </c:pt>
                <c:pt idx="13">
                  <c:v>1.0947499999999999</c:v>
                </c:pt>
                <c:pt idx="14">
                  <c:v>0.26424999999999998</c:v>
                </c:pt>
                <c:pt idx="15">
                  <c:v>-0.18875</c:v>
                </c:pt>
                <c:pt idx="16">
                  <c:v>-2.60568</c:v>
                </c:pt>
                <c:pt idx="17">
                  <c:v>-1.8198400000000001</c:v>
                </c:pt>
              </c:numCache>
            </c:numRef>
          </c:val>
          <c:extLst>
            <c:ext xmlns:c16="http://schemas.microsoft.com/office/drawing/2014/chart" uri="{C3380CC4-5D6E-409C-BE32-E72D297353CC}">
              <c16:uniqueId val="{00000000-503E-47E3-B6EE-14DB9C71D412}"/>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Sheet1!$E$2:$E$69</c:f>
              <c:numCache>
                <c:formatCode>0.0</c:formatCode>
                <c:ptCount val="18"/>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pt idx="12">
                  <c:v>0.34943999999999997</c:v>
                </c:pt>
                <c:pt idx="13">
                  <c:v>0.33024000000000003</c:v>
                </c:pt>
                <c:pt idx="14">
                  <c:v>0.32640000000000002</c:v>
                </c:pt>
                <c:pt idx="15">
                  <c:v>0.32640000000000002</c:v>
                </c:pt>
                <c:pt idx="16">
                  <c:v>0.33596000000000004</c:v>
                </c:pt>
                <c:pt idx="17">
                  <c:v>0.30418000000000001</c:v>
                </c:pt>
              </c:numCache>
            </c:numRef>
          </c:val>
          <c:extLst>
            <c:ext xmlns:c16="http://schemas.microsoft.com/office/drawing/2014/chart" uri="{C3380CC4-5D6E-409C-BE32-E72D297353CC}">
              <c16:uniqueId val="{00000001-503E-47E3-B6EE-14DB9C71D412}"/>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Sheet1!$F$2:$F$69</c:f>
              <c:numCache>
                <c:formatCode>0.0</c:formatCode>
                <c:ptCount val="18"/>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pt idx="12">
                  <c:v>1.25604</c:v>
                </c:pt>
                <c:pt idx="13">
                  <c:v>0.76757999999999993</c:v>
                </c:pt>
                <c:pt idx="14">
                  <c:v>0.51172000000000006</c:v>
                </c:pt>
                <c:pt idx="15">
                  <c:v>0.39541999999999999</c:v>
                </c:pt>
                <c:pt idx="16">
                  <c:v>8.6720000000000005E-2</c:v>
                </c:pt>
                <c:pt idx="17">
                  <c:v>2.1680000000000001E-2</c:v>
                </c:pt>
              </c:numCache>
            </c:numRef>
          </c:val>
          <c:extLst>
            <c:ext xmlns:c16="http://schemas.microsoft.com/office/drawing/2014/chart" uri="{C3380CC4-5D6E-409C-BE32-E72D297353CC}">
              <c16:uniqueId val="{00000002-503E-47E3-B6EE-14DB9C71D412}"/>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Sheet1!$G$2:$G$69</c:f>
              <c:numCache>
                <c:formatCode>0.0</c:formatCode>
                <c:ptCount val="18"/>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pt idx="12">
                  <c:v>2.4253499999999999</c:v>
                </c:pt>
                <c:pt idx="13">
                  <c:v>2.0035499999999997</c:v>
                </c:pt>
                <c:pt idx="14">
                  <c:v>1.7575000000000001</c:v>
                </c:pt>
                <c:pt idx="15">
                  <c:v>1.5817499999999998</c:v>
                </c:pt>
                <c:pt idx="16">
                  <c:v>0.97260000000000002</c:v>
                </c:pt>
                <c:pt idx="17">
                  <c:v>0.90776000000000001</c:v>
                </c:pt>
              </c:numCache>
            </c:numRef>
          </c:val>
          <c:extLst>
            <c:ext xmlns:c16="http://schemas.microsoft.com/office/drawing/2014/chart" uri="{C3380CC4-5D6E-409C-BE32-E72D297353CC}">
              <c16:uniqueId val="{00000003-503E-47E3-B6EE-14DB9C71D412}"/>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noFill/>
                <a:ln w="15875">
                  <a:noFill/>
                  <a:round/>
                </a:ln>
                <a:effectLst/>
              </c:spPr>
            </c:marker>
            <c:bubble3D val="0"/>
            <c:extLst>
              <c:ext xmlns:c16="http://schemas.microsoft.com/office/drawing/2014/chart" uri="{C3380CC4-5D6E-409C-BE32-E72D297353CC}">
                <c16:uniqueId val="{00000004-503E-47E3-B6EE-14DB9C71D412}"/>
              </c:ext>
            </c:extLst>
          </c:dPt>
          <c:dLbls>
            <c:dLbl>
              <c:idx val="4"/>
              <c:layout>
                <c:manualLayout>
                  <c:x val="-8.8323510459396209E-2"/>
                  <c:y val="-4.09304461942257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03E-47E3-B6EE-14DB9C71D412}"/>
                </c:ext>
              </c:extLst>
            </c:dLbl>
            <c:dLbl>
              <c:idx val="5"/>
              <c:layout>
                <c:manualLayout>
                  <c:x val="-7.6337403932292935E-2"/>
                  <c:y val="-5.75971128608924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03E-47E3-B6EE-14DB9C71D412}"/>
                </c:ext>
              </c:extLst>
            </c:dLbl>
            <c:dLbl>
              <c:idx val="6"/>
              <c:layout>
                <c:manualLayout>
                  <c:x val="-7.6816445848460632E-2"/>
                  <c:y val="-5.7597112860892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03E-47E3-B6EE-14DB9C71D412}"/>
                </c:ext>
              </c:extLst>
            </c:dLbl>
            <c:dLbl>
              <c:idx val="7"/>
              <c:layout>
                <c:manualLayout>
                  <c:x val="-6.9630817105945583E-2"/>
                  <c:y val="-6.59304461942257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03E-47E3-B6EE-14DB9C71D412}"/>
                </c:ext>
              </c:extLst>
            </c:dLbl>
            <c:dLbl>
              <c:idx val="8"/>
              <c:layout>
                <c:manualLayout>
                  <c:x val="-6.8363430619076876E-2"/>
                  <c:y val="-5.20415573053368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03E-47E3-B6EE-14DB9C71D412}"/>
                </c:ext>
              </c:extLst>
            </c:dLbl>
            <c:dLbl>
              <c:idx val="9"/>
              <c:layout>
                <c:manualLayout>
                  <c:x val="-8.0329419900356844E-2"/>
                  <c:y val="-5.7597112860892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03E-47E3-B6EE-14DB9C71D412}"/>
                </c:ext>
              </c:extLst>
            </c:dLbl>
            <c:dLbl>
              <c:idx val="10"/>
              <c:layout>
                <c:manualLayout>
                  <c:x val="-7.2824429880396765E-2"/>
                  <c:y val="-5.7597112860892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03E-47E3-B6EE-14DB9C71D412}"/>
                </c:ext>
              </c:extLst>
            </c:dLbl>
            <c:dLbl>
              <c:idx val="11"/>
              <c:layout>
                <c:manualLayout>
                  <c:x val="-6.3642793153849783E-2"/>
                  <c:y val="-4.09304461942257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03E-47E3-B6EE-14DB9C71D412}"/>
                </c:ext>
              </c:extLst>
            </c:dLbl>
            <c:dLbl>
              <c:idx val="12"/>
              <c:layout>
                <c:manualLayout>
                  <c:x val="-3.712574850299416E-2"/>
                  <c:y val="-4.09304461942257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03E-47E3-B6EE-14DB9C71D412}"/>
                </c:ext>
              </c:extLst>
            </c:dLbl>
            <c:dLbl>
              <c:idx val="13"/>
              <c:layout>
                <c:manualLayout>
                  <c:x val="-4.7994090559039401E-2"/>
                  <c:y val="-5.7597112860892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03E-47E3-B6EE-14DB9C71D412}"/>
                </c:ext>
              </c:extLst>
            </c:dLbl>
            <c:dLbl>
              <c:idx val="14"/>
              <c:layout>
                <c:manualLayout>
                  <c:x val="-5.2944190359438606E-2"/>
                  <c:y val="-6.31526684164479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03E-47E3-B6EE-14DB9C71D412}"/>
                </c:ext>
              </c:extLst>
            </c:dLbl>
            <c:dLbl>
              <c:idx val="15"/>
              <c:layout>
                <c:manualLayout>
                  <c:x val="-4.6157763213730017E-2"/>
                  <c:y val="-6.8708223972003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03E-47E3-B6EE-14DB9C71D412}"/>
                </c:ext>
              </c:extLst>
            </c:dLbl>
            <c:dLbl>
              <c:idx val="16"/>
              <c:layout>
                <c:manualLayout>
                  <c:x val="-1.5738601537083313E-2"/>
                  <c:y val="7.5736220472440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03E-47E3-B6EE-14DB9C71D412}"/>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Sheet1!$A$40:$B$69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Sheet1!$C$2:$C$69</c:f>
              <c:numCache>
                <c:formatCode>0.0</c:formatCode>
                <c:ptCount val="18"/>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pt idx="12">
                  <c:v>7.2</c:v>
                </c:pt>
                <c:pt idx="13">
                  <c:v>4.2</c:v>
                </c:pt>
                <c:pt idx="14">
                  <c:v>2.8</c:v>
                </c:pt>
                <c:pt idx="15">
                  <c:v>2</c:v>
                </c:pt>
                <c:pt idx="16">
                  <c:v>-1.2</c:v>
                </c:pt>
                <c:pt idx="17">
                  <c:v>-0.6</c:v>
                </c:pt>
              </c:numCache>
            </c:numRef>
          </c:val>
          <c:smooth val="0"/>
          <c:extLst>
            <c:ext xmlns:c16="http://schemas.microsoft.com/office/drawing/2014/chart" uri="{C3380CC4-5D6E-409C-BE32-E72D297353CC}">
              <c16:uniqueId val="{00000011-503E-47E3-B6EE-14DB9C71D412}"/>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651584"/>
        <c:crosses val="autoZero"/>
        <c:auto val="1"/>
        <c:lblAlgn val="ctr"/>
        <c:lblOffset val="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8A68-446E-93B4-850B73C2EC5A}"/>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8A68-446E-93B4-850B73C2EC5A}"/>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8A68-446E-93B4-850B73C2EC5A}"/>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8A68-446E-93B4-850B73C2EC5A}"/>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8A68-446E-93B4-850B73C2EC5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8A68-446E-93B4-850B73C2EC5A}"/>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8A68-446E-93B4-850B73C2EC5A}"/>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19995682426606E-2"/>
          <c:y val="2.942241868889196E-2"/>
          <c:w val="0.9295048203643429"/>
          <c:h val="0.53710035149115132"/>
        </c:manualLayout>
      </c:layout>
      <c:lineChart>
        <c:grouping val="standard"/>
        <c:varyColors val="0"/>
        <c:ser>
          <c:idx val="1"/>
          <c:order val="0"/>
          <c:tx>
            <c:strRef>
              <c:f>Sheet1!$C$1</c:f>
              <c:strCache>
                <c:ptCount val="1"/>
                <c:pt idx="0">
                  <c:v>ԿԲ ռեպո</c:v>
                </c:pt>
              </c:strCache>
            </c:strRef>
          </c:tx>
          <c:spPr>
            <a:ln w="28575" cap="rnd">
              <a:solidFill>
                <a:schemeClr val="tx2">
                  <a:lumMod val="75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Sheet1!$C$2:$C$55</c:f>
              <c:numCache>
                <c:formatCode>General</c:formatCode>
                <c:ptCount val="54"/>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c:v>10</c:v>
                </c:pt>
                <c:pt idx="33">
                  <c:v>10</c:v>
                </c:pt>
                <c:pt idx="34">
                  <c:v>10.48</c:v>
                </c:pt>
                <c:pt idx="35">
                  <c:v>10.65</c:v>
                </c:pt>
                <c:pt idx="36">
                  <c:v>10.75</c:v>
                </c:pt>
                <c:pt idx="37">
                  <c:v>10.75</c:v>
                </c:pt>
                <c:pt idx="38">
                  <c:v>10.75</c:v>
                </c:pt>
                <c:pt idx="39">
                  <c:v>10.75</c:v>
                </c:pt>
                <c:pt idx="40">
                  <c:v>10.75</c:v>
                </c:pt>
                <c:pt idx="41">
                  <c:v>10.5</c:v>
                </c:pt>
                <c:pt idx="42">
                  <c:v>10.5</c:v>
                </c:pt>
                <c:pt idx="43">
                  <c:v>10.25</c:v>
                </c:pt>
                <c:pt idx="44">
                  <c:v>9.75</c:v>
                </c:pt>
                <c:pt idx="45">
                  <c:v>9.75</c:v>
                </c:pt>
                <c:pt idx="46">
                  <c:v>9.5</c:v>
                </c:pt>
                <c:pt idx="47">
                  <c:v>9.25</c:v>
                </c:pt>
                <c:pt idx="48">
                  <c:v>9.25</c:v>
                </c:pt>
                <c:pt idx="49">
                  <c:v>8.75</c:v>
                </c:pt>
                <c:pt idx="50">
                  <c:v>8.5</c:v>
                </c:pt>
                <c:pt idx="51">
                  <c:v>8.25</c:v>
                </c:pt>
                <c:pt idx="52">
                  <c:v>8.25</c:v>
                </c:pt>
                <c:pt idx="53">
                  <c:v>8</c:v>
                </c:pt>
              </c:numCache>
            </c:numRef>
          </c:val>
          <c:smooth val="0"/>
          <c:extLst>
            <c:ext xmlns:c16="http://schemas.microsoft.com/office/drawing/2014/chart" uri="{C3380CC4-5D6E-409C-BE32-E72D297353CC}">
              <c16:uniqueId val="{00000000-20B2-44DB-88D1-06E86155BE6B}"/>
            </c:ext>
          </c:extLst>
        </c:ser>
        <c:ser>
          <c:idx val="2"/>
          <c:order val="1"/>
          <c:tx>
            <c:strRef>
              <c:f>Sheet1!$D$1</c:f>
              <c:strCache>
                <c:ptCount val="1"/>
                <c:pt idx="0">
                  <c:v>Պետական պարտատոմսեր, 1տ․</c:v>
                </c:pt>
              </c:strCache>
            </c:strRef>
          </c:tx>
          <c:spPr>
            <a:ln w="19050" cap="rnd">
              <a:solidFill>
                <a:schemeClr val="accent3"/>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Sheet1!$D$2:$D$55</c:f>
              <c:numCache>
                <c:formatCode>General</c:formatCode>
                <c:ptCount val="54"/>
                <c:pt idx="0">
                  <c:v>5.9</c:v>
                </c:pt>
                <c:pt idx="1">
                  <c:v>5.9</c:v>
                </c:pt>
                <c:pt idx="2">
                  <c:v>5.8</c:v>
                </c:pt>
                <c:pt idx="3">
                  <c:v>5.8</c:v>
                </c:pt>
                <c:pt idx="4">
                  <c:v>5.9</c:v>
                </c:pt>
                <c:pt idx="5">
                  <c:v>5.5</c:v>
                </c:pt>
                <c:pt idx="6">
                  <c:v>5.5</c:v>
                </c:pt>
                <c:pt idx="7">
                  <c:v>5.6</c:v>
                </c:pt>
                <c:pt idx="8">
                  <c:v>5.6</c:v>
                </c:pt>
                <c:pt idx="9">
                  <c:v>5.7</c:v>
                </c:pt>
                <c:pt idx="10">
                  <c:v>6</c:v>
                </c:pt>
                <c:pt idx="11">
                  <c:v>6.5</c:v>
                </c:pt>
                <c:pt idx="12">
                  <c:v>6.9</c:v>
                </c:pt>
                <c:pt idx="13">
                  <c:v>6.8</c:v>
                </c:pt>
                <c:pt idx="14">
                  <c:v>6.9</c:v>
                </c:pt>
                <c:pt idx="15">
                  <c:v>6.9</c:v>
                </c:pt>
                <c:pt idx="16">
                  <c:v>7.1</c:v>
                </c:pt>
                <c:pt idx="17">
                  <c:v>7.4</c:v>
                </c:pt>
                <c:pt idx="18">
                  <c:v>7.9</c:v>
                </c:pt>
                <c:pt idx="19">
                  <c:v>8.3000000000000007</c:v>
                </c:pt>
                <c:pt idx="20">
                  <c:v>8.4</c:v>
                </c:pt>
                <c:pt idx="21">
                  <c:v>8.6999999999999993</c:v>
                </c:pt>
                <c:pt idx="22">
                  <c:v>8.9</c:v>
                </c:pt>
                <c:pt idx="23">
                  <c:v>9</c:v>
                </c:pt>
                <c:pt idx="24">
                  <c:v>9.1</c:v>
                </c:pt>
                <c:pt idx="25">
                  <c:v>9</c:v>
                </c:pt>
                <c:pt idx="26">
                  <c:v>9.6999999999999993</c:v>
                </c:pt>
                <c:pt idx="27">
                  <c:v>10.199999999999999</c:v>
                </c:pt>
                <c:pt idx="28">
                  <c:v>10.3</c:v>
                </c:pt>
                <c:pt idx="29">
                  <c:v>10.3</c:v>
                </c:pt>
                <c:pt idx="30">
                  <c:v>10.4</c:v>
                </c:pt>
                <c:pt idx="31">
                  <c:v>10.5</c:v>
                </c:pt>
                <c:pt idx="32">
                  <c:v>10.6</c:v>
                </c:pt>
                <c:pt idx="33">
                  <c:v>11.1</c:v>
                </c:pt>
                <c:pt idx="34">
                  <c:v>11.4</c:v>
                </c:pt>
                <c:pt idx="35">
                  <c:v>11.7</c:v>
                </c:pt>
                <c:pt idx="36">
                  <c:v>11.6</c:v>
                </c:pt>
                <c:pt idx="37">
                  <c:v>11.5</c:v>
                </c:pt>
                <c:pt idx="38">
                  <c:v>11.6</c:v>
                </c:pt>
                <c:pt idx="39">
                  <c:v>11.6</c:v>
                </c:pt>
                <c:pt idx="40">
                  <c:v>11.4</c:v>
                </c:pt>
                <c:pt idx="41">
                  <c:v>11.1</c:v>
                </c:pt>
                <c:pt idx="42">
                  <c:v>11.1</c:v>
                </c:pt>
                <c:pt idx="43">
                  <c:v>10.7</c:v>
                </c:pt>
                <c:pt idx="44">
                  <c:v>10.3</c:v>
                </c:pt>
                <c:pt idx="45">
                  <c:v>10.4</c:v>
                </c:pt>
                <c:pt idx="46">
                  <c:v>10.4</c:v>
                </c:pt>
                <c:pt idx="47">
                  <c:v>10.5</c:v>
                </c:pt>
                <c:pt idx="48">
                  <c:v>10.6</c:v>
                </c:pt>
                <c:pt idx="49">
                  <c:v>10.199999999999999</c:v>
                </c:pt>
                <c:pt idx="50">
                  <c:v>9.6999999999999993</c:v>
                </c:pt>
                <c:pt idx="51">
                  <c:v>9.6</c:v>
                </c:pt>
                <c:pt idx="52">
                  <c:v>9.4</c:v>
                </c:pt>
                <c:pt idx="53">
                  <c:v>9.1999999999999993</c:v>
                </c:pt>
              </c:numCache>
            </c:numRef>
          </c:val>
          <c:smooth val="0"/>
          <c:extLst>
            <c:ext xmlns:c16="http://schemas.microsoft.com/office/drawing/2014/chart" uri="{C3380CC4-5D6E-409C-BE32-E72D297353CC}">
              <c16:uniqueId val="{00000001-20B2-44DB-88D1-06E86155BE6B}"/>
            </c:ext>
          </c:extLst>
        </c:ser>
        <c:ser>
          <c:idx val="3"/>
          <c:order val="2"/>
          <c:tx>
            <c:strRef>
              <c:f>Sheet1!$E$1</c:f>
              <c:strCache>
                <c:ptCount val="1"/>
                <c:pt idx="0">
                  <c:v>Պետական պարտատոմսեր, 10տ․</c:v>
                </c:pt>
              </c:strCache>
            </c:strRef>
          </c:tx>
          <c:spPr>
            <a:ln w="19050" cap="rnd">
              <a:solidFill>
                <a:schemeClr val="accent4"/>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Sheet1!$E$2:$E$55</c:f>
              <c:numCache>
                <c:formatCode>General</c:formatCode>
                <c:ptCount val="54"/>
                <c:pt idx="0">
                  <c:v>8.4</c:v>
                </c:pt>
                <c:pt idx="1">
                  <c:v>8.1</c:v>
                </c:pt>
                <c:pt idx="2">
                  <c:v>7.7</c:v>
                </c:pt>
                <c:pt idx="3">
                  <c:v>8.3000000000000007</c:v>
                </c:pt>
                <c:pt idx="4">
                  <c:v>8</c:v>
                </c:pt>
                <c:pt idx="5">
                  <c:v>7.8</c:v>
                </c:pt>
                <c:pt idx="6">
                  <c:v>7.8</c:v>
                </c:pt>
                <c:pt idx="7">
                  <c:v>7.7</c:v>
                </c:pt>
                <c:pt idx="8">
                  <c:v>7.7</c:v>
                </c:pt>
                <c:pt idx="9">
                  <c:v>8.1999999999999993</c:v>
                </c:pt>
                <c:pt idx="10">
                  <c:v>8.1999999999999993</c:v>
                </c:pt>
                <c:pt idx="11">
                  <c:v>8.8000000000000007</c:v>
                </c:pt>
                <c:pt idx="12">
                  <c:v>9.1</c:v>
                </c:pt>
                <c:pt idx="13">
                  <c:v>8.6999999999999993</c:v>
                </c:pt>
                <c:pt idx="14">
                  <c:v>8.8000000000000007</c:v>
                </c:pt>
                <c:pt idx="15">
                  <c:v>8.9</c:v>
                </c:pt>
                <c:pt idx="16">
                  <c:v>9</c:v>
                </c:pt>
                <c:pt idx="17">
                  <c:v>9</c:v>
                </c:pt>
                <c:pt idx="18">
                  <c:v>9.3000000000000007</c:v>
                </c:pt>
                <c:pt idx="19">
                  <c:v>9.6</c:v>
                </c:pt>
                <c:pt idx="20">
                  <c:v>10</c:v>
                </c:pt>
                <c:pt idx="21">
                  <c:v>10</c:v>
                </c:pt>
                <c:pt idx="22">
                  <c:v>10</c:v>
                </c:pt>
                <c:pt idx="23">
                  <c:v>10</c:v>
                </c:pt>
                <c:pt idx="24">
                  <c:v>10.1</c:v>
                </c:pt>
                <c:pt idx="25">
                  <c:v>10</c:v>
                </c:pt>
                <c:pt idx="26">
                  <c:v>10.7</c:v>
                </c:pt>
                <c:pt idx="27">
                  <c:v>11.2</c:v>
                </c:pt>
                <c:pt idx="28">
                  <c:v>11.1</c:v>
                </c:pt>
                <c:pt idx="29">
                  <c:v>11.2</c:v>
                </c:pt>
                <c:pt idx="30">
                  <c:v>11.4</c:v>
                </c:pt>
                <c:pt idx="31">
                  <c:v>11.4</c:v>
                </c:pt>
                <c:pt idx="32">
                  <c:v>11.5</c:v>
                </c:pt>
                <c:pt idx="33">
                  <c:v>11.9</c:v>
                </c:pt>
                <c:pt idx="34">
                  <c:v>12</c:v>
                </c:pt>
                <c:pt idx="35">
                  <c:v>12</c:v>
                </c:pt>
                <c:pt idx="36">
                  <c:v>11.8</c:v>
                </c:pt>
                <c:pt idx="37">
                  <c:v>11.6</c:v>
                </c:pt>
                <c:pt idx="38">
                  <c:v>11.7</c:v>
                </c:pt>
                <c:pt idx="39">
                  <c:v>11.6</c:v>
                </c:pt>
                <c:pt idx="40">
                  <c:v>11.3</c:v>
                </c:pt>
                <c:pt idx="41">
                  <c:v>10.9</c:v>
                </c:pt>
                <c:pt idx="42">
                  <c:v>10.7</c:v>
                </c:pt>
                <c:pt idx="43">
                  <c:v>10.4</c:v>
                </c:pt>
                <c:pt idx="44">
                  <c:v>10.199999999999999</c:v>
                </c:pt>
                <c:pt idx="45">
                  <c:v>10.4</c:v>
                </c:pt>
                <c:pt idx="46">
                  <c:v>10.6</c:v>
                </c:pt>
                <c:pt idx="47">
                  <c:v>10.8</c:v>
                </c:pt>
                <c:pt idx="48">
                  <c:v>10.7</c:v>
                </c:pt>
                <c:pt idx="49">
                  <c:v>10.199999999999999</c:v>
                </c:pt>
                <c:pt idx="50">
                  <c:v>9.8000000000000007</c:v>
                </c:pt>
                <c:pt idx="51">
                  <c:v>9.6999999999999993</c:v>
                </c:pt>
                <c:pt idx="52">
                  <c:v>9.6999999999999993</c:v>
                </c:pt>
                <c:pt idx="53">
                  <c:v>9.6999999999999993</c:v>
                </c:pt>
              </c:numCache>
            </c:numRef>
          </c:val>
          <c:smooth val="0"/>
          <c:extLst>
            <c:ext xmlns:c16="http://schemas.microsoft.com/office/drawing/2014/chart" uri="{C3380CC4-5D6E-409C-BE32-E72D297353CC}">
              <c16:uniqueId val="{00000002-20B2-44DB-88D1-06E86155BE6B}"/>
            </c:ext>
          </c:extLst>
        </c:ser>
        <c:ser>
          <c:idx val="4"/>
          <c:order val="3"/>
          <c:tx>
            <c:strRef>
              <c:f>Sheet1!$F$1</c:f>
              <c:strCache>
                <c:ptCount val="1"/>
                <c:pt idx="0">
                  <c:v>Ավանդներ, մինչև 1տ․</c:v>
                </c:pt>
              </c:strCache>
            </c:strRef>
          </c:tx>
          <c:spPr>
            <a:ln w="19050" cap="rnd">
              <a:solidFill>
                <a:schemeClr val="accent6">
                  <a:lumMod val="60000"/>
                  <a:lumOff val="40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Sheet1!$F$2:$F$55</c:f>
              <c:numCache>
                <c:formatCode>General</c:formatCode>
                <c:ptCount val="54"/>
                <c:pt idx="0">
                  <c:v>9.1</c:v>
                </c:pt>
                <c:pt idx="1">
                  <c:v>8.6</c:v>
                </c:pt>
                <c:pt idx="2">
                  <c:v>7.2</c:v>
                </c:pt>
                <c:pt idx="3">
                  <c:v>8.1</c:v>
                </c:pt>
                <c:pt idx="4">
                  <c:v>8.3000000000000007</c:v>
                </c:pt>
                <c:pt idx="5">
                  <c:v>7.9</c:v>
                </c:pt>
                <c:pt idx="6">
                  <c:v>8.1</c:v>
                </c:pt>
                <c:pt idx="7">
                  <c:v>8.1999999999999993</c:v>
                </c:pt>
                <c:pt idx="8">
                  <c:v>8.4</c:v>
                </c:pt>
                <c:pt idx="9">
                  <c:v>7.9</c:v>
                </c:pt>
                <c:pt idx="10">
                  <c:v>8</c:v>
                </c:pt>
                <c:pt idx="11">
                  <c:v>7.4</c:v>
                </c:pt>
                <c:pt idx="12">
                  <c:v>8.3000000000000007</c:v>
                </c:pt>
                <c:pt idx="13">
                  <c:v>8.1999999999999993</c:v>
                </c:pt>
                <c:pt idx="14">
                  <c:v>7.7</c:v>
                </c:pt>
                <c:pt idx="15">
                  <c:v>8.3000000000000007</c:v>
                </c:pt>
                <c:pt idx="16">
                  <c:v>8.3000000000000007</c:v>
                </c:pt>
                <c:pt idx="17">
                  <c:v>8</c:v>
                </c:pt>
                <c:pt idx="18">
                  <c:v>8.4</c:v>
                </c:pt>
                <c:pt idx="19">
                  <c:v>8.4</c:v>
                </c:pt>
                <c:pt idx="20">
                  <c:v>8.3000000000000007</c:v>
                </c:pt>
                <c:pt idx="21">
                  <c:v>8.4</c:v>
                </c:pt>
                <c:pt idx="22">
                  <c:v>8.1999999999999993</c:v>
                </c:pt>
                <c:pt idx="23">
                  <c:v>8.3000000000000007</c:v>
                </c:pt>
                <c:pt idx="24">
                  <c:v>8.4</c:v>
                </c:pt>
                <c:pt idx="25">
                  <c:v>8.5</c:v>
                </c:pt>
                <c:pt idx="26">
                  <c:v>9.3000000000000007</c:v>
                </c:pt>
                <c:pt idx="27">
                  <c:v>9.1999999999999993</c:v>
                </c:pt>
                <c:pt idx="28">
                  <c:v>8.5</c:v>
                </c:pt>
                <c:pt idx="29">
                  <c:v>8.1</c:v>
                </c:pt>
                <c:pt idx="30">
                  <c:v>8</c:v>
                </c:pt>
                <c:pt idx="31">
                  <c:v>8.1999999999999993</c:v>
                </c:pt>
                <c:pt idx="32">
                  <c:v>7.6</c:v>
                </c:pt>
                <c:pt idx="33">
                  <c:v>8.3000000000000007</c:v>
                </c:pt>
                <c:pt idx="34">
                  <c:v>8.5</c:v>
                </c:pt>
                <c:pt idx="35">
                  <c:v>8.6</c:v>
                </c:pt>
                <c:pt idx="36">
                  <c:v>8.4</c:v>
                </c:pt>
                <c:pt idx="37">
                  <c:v>8.1999999999999993</c:v>
                </c:pt>
                <c:pt idx="38">
                  <c:v>8.1999999999999993</c:v>
                </c:pt>
                <c:pt idx="39">
                  <c:v>8.5</c:v>
                </c:pt>
                <c:pt idx="40">
                  <c:v>8.3000000000000007</c:v>
                </c:pt>
                <c:pt idx="41">
                  <c:v>8.4</c:v>
                </c:pt>
                <c:pt idx="42">
                  <c:v>8.1999999999999993</c:v>
                </c:pt>
                <c:pt idx="43">
                  <c:v>8.6</c:v>
                </c:pt>
                <c:pt idx="44">
                  <c:v>8.6</c:v>
                </c:pt>
                <c:pt idx="45">
                  <c:v>8.1999999999999993</c:v>
                </c:pt>
                <c:pt idx="46">
                  <c:v>8.6</c:v>
                </c:pt>
                <c:pt idx="47">
                  <c:v>8.1999999999999993</c:v>
                </c:pt>
                <c:pt idx="48">
                  <c:v>8.1</c:v>
                </c:pt>
                <c:pt idx="49">
                  <c:v>7.8</c:v>
                </c:pt>
                <c:pt idx="50">
                  <c:v>8</c:v>
                </c:pt>
                <c:pt idx="51">
                  <c:v>8.4</c:v>
                </c:pt>
                <c:pt idx="52">
                  <c:v>8.4</c:v>
                </c:pt>
                <c:pt idx="53">
                  <c:v>8.3000000000000007</c:v>
                </c:pt>
              </c:numCache>
            </c:numRef>
          </c:val>
          <c:smooth val="0"/>
          <c:extLst>
            <c:ext xmlns:c16="http://schemas.microsoft.com/office/drawing/2014/chart" uri="{C3380CC4-5D6E-409C-BE32-E72D297353CC}">
              <c16:uniqueId val="{00000003-20B2-44DB-88D1-06E86155BE6B}"/>
            </c:ext>
          </c:extLst>
        </c:ser>
        <c:ser>
          <c:idx val="5"/>
          <c:order val="4"/>
          <c:tx>
            <c:strRef>
              <c:f>Sheet1!$G$1</c:f>
              <c:strCache>
                <c:ptCount val="1"/>
                <c:pt idx="0">
                  <c:v>Իրավաբանական անձանց վարկեր</c:v>
                </c:pt>
              </c:strCache>
            </c:strRef>
          </c:tx>
          <c:spPr>
            <a:ln w="19050" cap="rnd">
              <a:solidFill>
                <a:schemeClr val="accent5">
                  <a:lumMod val="75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Sheet1!$G$2:$G$55</c:f>
              <c:numCache>
                <c:formatCode>General</c:formatCode>
                <c:ptCount val="54"/>
                <c:pt idx="0">
                  <c:v>10.5</c:v>
                </c:pt>
                <c:pt idx="1">
                  <c:v>10.8</c:v>
                </c:pt>
                <c:pt idx="2">
                  <c:v>10.7</c:v>
                </c:pt>
                <c:pt idx="3">
                  <c:v>10.6</c:v>
                </c:pt>
                <c:pt idx="4">
                  <c:v>10.6</c:v>
                </c:pt>
                <c:pt idx="5">
                  <c:v>10.5</c:v>
                </c:pt>
                <c:pt idx="6">
                  <c:v>10.4</c:v>
                </c:pt>
                <c:pt idx="7">
                  <c:v>10</c:v>
                </c:pt>
                <c:pt idx="8">
                  <c:v>10.6</c:v>
                </c:pt>
                <c:pt idx="9">
                  <c:v>10.4</c:v>
                </c:pt>
                <c:pt idx="10">
                  <c:v>10.1</c:v>
                </c:pt>
                <c:pt idx="11">
                  <c:v>10.3</c:v>
                </c:pt>
                <c:pt idx="12">
                  <c:v>10</c:v>
                </c:pt>
                <c:pt idx="13">
                  <c:v>10.7</c:v>
                </c:pt>
                <c:pt idx="14">
                  <c:v>10.7</c:v>
                </c:pt>
                <c:pt idx="15">
                  <c:v>10.4</c:v>
                </c:pt>
                <c:pt idx="16">
                  <c:v>10.199999999999999</c:v>
                </c:pt>
                <c:pt idx="17">
                  <c:v>8.9</c:v>
                </c:pt>
                <c:pt idx="18">
                  <c:v>10.7</c:v>
                </c:pt>
                <c:pt idx="19">
                  <c:v>10.9</c:v>
                </c:pt>
                <c:pt idx="20">
                  <c:v>11</c:v>
                </c:pt>
                <c:pt idx="21">
                  <c:v>10.6</c:v>
                </c:pt>
                <c:pt idx="22">
                  <c:v>10.4</c:v>
                </c:pt>
                <c:pt idx="23">
                  <c:v>11.2</c:v>
                </c:pt>
                <c:pt idx="24">
                  <c:v>10.7</c:v>
                </c:pt>
                <c:pt idx="25">
                  <c:v>10.9</c:v>
                </c:pt>
                <c:pt idx="26">
                  <c:v>10.9</c:v>
                </c:pt>
                <c:pt idx="27">
                  <c:v>10.3</c:v>
                </c:pt>
                <c:pt idx="28">
                  <c:v>10.4</c:v>
                </c:pt>
                <c:pt idx="29">
                  <c:v>10</c:v>
                </c:pt>
                <c:pt idx="30">
                  <c:v>10.6</c:v>
                </c:pt>
                <c:pt idx="31">
                  <c:v>10.4</c:v>
                </c:pt>
                <c:pt idx="32">
                  <c:v>10.4</c:v>
                </c:pt>
                <c:pt idx="33">
                  <c:v>10.6</c:v>
                </c:pt>
                <c:pt idx="34">
                  <c:v>9.6999999999999993</c:v>
                </c:pt>
                <c:pt idx="35">
                  <c:v>10.7</c:v>
                </c:pt>
                <c:pt idx="36">
                  <c:v>10.3</c:v>
                </c:pt>
                <c:pt idx="37">
                  <c:v>10.4</c:v>
                </c:pt>
                <c:pt idx="38">
                  <c:v>10.9</c:v>
                </c:pt>
                <c:pt idx="39">
                  <c:v>11.9</c:v>
                </c:pt>
                <c:pt idx="40">
                  <c:v>11.2</c:v>
                </c:pt>
                <c:pt idx="41">
                  <c:v>10.9</c:v>
                </c:pt>
                <c:pt idx="42">
                  <c:v>10.9</c:v>
                </c:pt>
                <c:pt idx="43">
                  <c:v>11</c:v>
                </c:pt>
                <c:pt idx="44">
                  <c:v>11.5</c:v>
                </c:pt>
                <c:pt idx="45">
                  <c:v>11.1</c:v>
                </c:pt>
                <c:pt idx="46">
                  <c:v>11.5</c:v>
                </c:pt>
                <c:pt idx="47">
                  <c:v>11.5</c:v>
                </c:pt>
                <c:pt idx="48">
                  <c:v>11.2</c:v>
                </c:pt>
                <c:pt idx="49">
                  <c:v>11.6</c:v>
                </c:pt>
                <c:pt idx="50">
                  <c:v>10.5</c:v>
                </c:pt>
                <c:pt idx="51">
                  <c:v>11</c:v>
                </c:pt>
                <c:pt idx="52">
                  <c:v>11.5</c:v>
                </c:pt>
                <c:pt idx="53">
                  <c:v>11.4</c:v>
                </c:pt>
              </c:numCache>
            </c:numRef>
          </c:val>
          <c:smooth val="0"/>
          <c:extLst>
            <c:ext xmlns:c16="http://schemas.microsoft.com/office/drawing/2014/chart" uri="{C3380CC4-5D6E-409C-BE32-E72D297353CC}">
              <c16:uniqueId val="{00000004-20B2-44DB-88D1-06E86155BE6B}"/>
            </c:ext>
          </c:extLst>
        </c:ser>
        <c:ser>
          <c:idx val="6"/>
          <c:order val="5"/>
          <c:tx>
            <c:strRef>
              <c:f>Sheet1!$H$1</c:f>
              <c:strCache>
                <c:ptCount val="1"/>
                <c:pt idx="0">
                  <c:v>Հիփոթեքային վարկեր</c:v>
                </c:pt>
              </c:strCache>
            </c:strRef>
          </c:tx>
          <c:spPr>
            <a:ln w="19050" cap="rnd">
              <a:solidFill>
                <a:schemeClr val="accent4">
                  <a:lumMod val="60000"/>
                  <a:lumOff val="40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Sheet1!$H$2:$H$55</c:f>
              <c:numCache>
                <c:formatCode>General</c:formatCode>
                <c:ptCount val="54"/>
                <c:pt idx="0">
                  <c:v>10.9</c:v>
                </c:pt>
                <c:pt idx="1">
                  <c:v>10.8</c:v>
                </c:pt>
                <c:pt idx="2">
                  <c:v>10.6</c:v>
                </c:pt>
                <c:pt idx="3">
                  <c:v>10.8</c:v>
                </c:pt>
                <c:pt idx="4">
                  <c:v>10.9</c:v>
                </c:pt>
                <c:pt idx="5">
                  <c:v>10.9</c:v>
                </c:pt>
                <c:pt idx="6">
                  <c:v>10.9</c:v>
                </c:pt>
                <c:pt idx="7">
                  <c:v>10.8</c:v>
                </c:pt>
                <c:pt idx="8">
                  <c:v>10.8</c:v>
                </c:pt>
                <c:pt idx="9">
                  <c:v>10.6</c:v>
                </c:pt>
                <c:pt idx="10">
                  <c:v>10.3</c:v>
                </c:pt>
                <c:pt idx="11">
                  <c:v>10.4</c:v>
                </c:pt>
                <c:pt idx="12">
                  <c:v>10.1</c:v>
                </c:pt>
                <c:pt idx="13">
                  <c:v>10.3</c:v>
                </c:pt>
                <c:pt idx="14">
                  <c:v>10.7</c:v>
                </c:pt>
                <c:pt idx="15">
                  <c:v>10.5</c:v>
                </c:pt>
                <c:pt idx="16">
                  <c:v>10.8</c:v>
                </c:pt>
                <c:pt idx="17">
                  <c:v>10.7</c:v>
                </c:pt>
                <c:pt idx="18">
                  <c:v>10.8</c:v>
                </c:pt>
                <c:pt idx="19">
                  <c:v>10.8</c:v>
                </c:pt>
                <c:pt idx="20">
                  <c:v>10.7</c:v>
                </c:pt>
                <c:pt idx="21">
                  <c:v>10.9</c:v>
                </c:pt>
                <c:pt idx="22">
                  <c:v>10.8</c:v>
                </c:pt>
                <c:pt idx="23">
                  <c:v>10.7</c:v>
                </c:pt>
                <c:pt idx="24">
                  <c:v>10.8</c:v>
                </c:pt>
                <c:pt idx="25">
                  <c:v>11.1</c:v>
                </c:pt>
                <c:pt idx="26">
                  <c:v>11.1</c:v>
                </c:pt>
                <c:pt idx="27">
                  <c:v>11.6</c:v>
                </c:pt>
                <c:pt idx="28">
                  <c:v>11.4</c:v>
                </c:pt>
                <c:pt idx="29">
                  <c:v>11.5</c:v>
                </c:pt>
                <c:pt idx="30">
                  <c:v>11.7</c:v>
                </c:pt>
                <c:pt idx="31">
                  <c:v>11.8</c:v>
                </c:pt>
                <c:pt idx="32">
                  <c:v>11.7</c:v>
                </c:pt>
                <c:pt idx="33">
                  <c:v>11.3</c:v>
                </c:pt>
                <c:pt idx="34">
                  <c:v>11.8</c:v>
                </c:pt>
                <c:pt idx="35">
                  <c:v>11.7</c:v>
                </c:pt>
                <c:pt idx="36">
                  <c:v>12.3</c:v>
                </c:pt>
                <c:pt idx="37">
                  <c:v>12.5</c:v>
                </c:pt>
                <c:pt idx="38">
                  <c:v>12.5</c:v>
                </c:pt>
                <c:pt idx="39">
                  <c:v>12.3</c:v>
                </c:pt>
                <c:pt idx="40">
                  <c:v>12.5</c:v>
                </c:pt>
                <c:pt idx="41">
                  <c:v>12.5</c:v>
                </c:pt>
                <c:pt idx="42">
                  <c:v>12.5</c:v>
                </c:pt>
                <c:pt idx="43">
                  <c:v>12.4</c:v>
                </c:pt>
                <c:pt idx="44">
                  <c:v>12.6</c:v>
                </c:pt>
                <c:pt idx="45">
                  <c:v>12.6</c:v>
                </c:pt>
                <c:pt idx="46">
                  <c:v>12.7</c:v>
                </c:pt>
                <c:pt idx="47">
                  <c:v>12.5</c:v>
                </c:pt>
                <c:pt idx="48">
                  <c:v>12.7</c:v>
                </c:pt>
                <c:pt idx="49">
                  <c:v>12.6</c:v>
                </c:pt>
                <c:pt idx="50">
                  <c:v>12.6</c:v>
                </c:pt>
                <c:pt idx="51">
                  <c:v>12.6</c:v>
                </c:pt>
                <c:pt idx="52">
                  <c:v>12.6</c:v>
                </c:pt>
                <c:pt idx="53">
                  <c:v>12.6</c:v>
                </c:pt>
              </c:numCache>
            </c:numRef>
          </c:val>
          <c:smooth val="0"/>
          <c:extLst>
            <c:ext xmlns:c16="http://schemas.microsoft.com/office/drawing/2014/chart" uri="{C3380CC4-5D6E-409C-BE32-E72D297353CC}">
              <c16:uniqueId val="{00000005-20B2-44DB-88D1-06E86155BE6B}"/>
            </c:ext>
          </c:extLst>
        </c:ser>
        <c:ser>
          <c:idx val="7"/>
          <c:order val="6"/>
          <c:tx>
            <c:strRef>
              <c:f>Sheet1!$I$1</c:f>
              <c:strCache>
                <c:ptCount val="1"/>
                <c:pt idx="0">
                  <c:v>Սպառողական վարկեր</c:v>
                </c:pt>
              </c:strCache>
            </c:strRef>
          </c:tx>
          <c:spPr>
            <a:ln w="19050" cap="rnd">
              <a:solidFill>
                <a:schemeClr val="accent3">
                  <a:lumMod val="60000"/>
                  <a:lumOff val="40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Sheet1!$I$2:$I$55</c:f>
              <c:numCache>
                <c:formatCode>General</c:formatCode>
                <c:ptCount val="54"/>
                <c:pt idx="0">
                  <c:v>14.1</c:v>
                </c:pt>
                <c:pt idx="1">
                  <c:v>14.1</c:v>
                </c:pt>
                <c:pt idx="2">
                  <c:v>14</c:v>
                </c:pt>
                <c:pt idx="3">
                  <c:v>13.8</c:v>
                </c:pt>
                <c:pt idx="4">
                  <c:v>13.4</c:v>
                </c:pt>
                <c:pt idx="5">
                  <c:v>13.7</c:v>
                </c:pt>
                <c:pt idx="6">
                  <c:v>13.8</c:v>
                </c:pt>
                <c:pt idx="7">
                  <c:v>14</c:v>
                </c:pt>
                <c:pt idx="8">
                  <c:v>13.8</c:v>
                </c:pt>
                <c:pt idx="9">
                  <c:v>13.7</c:v>
                </c:pt>
                <c:pt idx="10">
                  <c:v>13.7</c:v>
                </c:pt>
                <c:pt idx="11">
                  <c:v>13.6</c:v>
                </c:pt>
                <c:pt idx="12">
                  <c:v>14.1</c:v>
                </c:pt>
                <c:pt idx="13">
                  <c:v>14</c:v>
                </c:pt>
                <c:pt idx="14">
                  <c:v>14</c:v>
                </c:pt>
                <c:pt idx="15">
                  <c:v>14</c:v>
                </c:pt>
                <c:pt idx="16">
                  <c:v>14.2</c:v>
                </c:pt>
                <c:pt idx="17">
                  <c:v>14.2</c:v>
                </c:pt>
                <c:pt idx="18">
                  <c:v>14.3</c:v>
                </c:pt>
                <c:pt idx="19">
                  <c:v>14.4</c:v>
                </c:pt>
                <c:pt idx="20">
                  <c:v>14.4</c:v>
                </c:pt>
                <c:pt idx="21">
                  <c:v>14.5</c:v>
                </c:pt>
                <c:pt idx="22">
                  <c:v>14.5</c:v>
                </c:pt>
                <c:pt idx="23">
                  <c:v>14.2</c:v>
                </c:pt>
                <c:pt idx="24">
                  <c:v>14.8</c:v>
                </c:pt>
                <c:pt idx="25">
                  <c:v>14.8</c:v>
                </c:pt>
                <c:pt idx="26">
                  <c:v>15.1</c:v>
                </c:pt>
                <c:pt idx="27">
                  <c:v>15</c:v>
                </c:pt>
                <c:pt idx="28">
                  <c:v>15.1</c:v>
                </c:pt>
                <c:pt idx="29">
                  <c:v>15</c:v>
                </c:pt>
                <c:pt idx="30">
                  <c:v>14.9</c:v>
                </c:pt>
                <c:pt idx="31">
                  <c:v>15.1</c:v>
                </c:pt>
                <c:pt idx="32">
                  <c:v>15.5</c:v>
                </c:pt>
                <c:pt idx="33">
                  <c:v>15.8</c:v>
                </c:pt>
                <c:pt idx="34">
                  <c:v>15.9</c:v>
                </c:pt>
                <c:pt idx="35">
                  <c:v>15.9</c:v>
                </c:pt>
                <c:pt idx="36">
                  <c:v>16.3</c:v>
                </c:pt>
                <c:pt idx="37">
                  <c:v>16.399999999999999</c:v>
                </c:pt>
                <c:pt idx="38">
                  <c:v>16.399999999999999</c:v>
                </c:pt>
                <c:pt idx="39">
                  <c:v>16.2</c:v>
                </c:pt>
                <c:pt idx="40">
                  <c:v>16.399999999999999</c:v>
                </c:pt>
                <c:pt idx="41">
                  <c:v>16.5</c:v>
                </c:pt>
                <c:pt idx="42">
                  <c:v>16.8</c:v>
                </c:pt>
                <c:pt idx="43">
                  <c:v>16.8</c:v>
                </c:pt>
                <c:pt idx="44">
                  <c:v>16.8</c:v>
                </c:pt>
                <c:pt idx="45">
                  <c:v>16.399999999999999</c:v>
                </c:pt>
                <c:pt idx="46">
                  <c:v>16.8</c:v>
                </c:pt>
                <c:pt idx="47">
                  <c:v>16.8</c:v>
                </c:pt>
                <c:pt idx="48">
                  <c:v>16.5</c:v>
                </c:pt>
                <c:pt idx="49">
                  <c:v>16.7</c:v>
                </c:pt>
                <c:pt idx="50">
                  <c:v>16.8</c:v>
                </c:pt>
                <c:pt idx="51">
                  <c:v>16.7</c:v>
                </c:pt>
                <c:pt idx="52">
                  <c:v>16.399999999999999</c:v>
                </c:pt>
                <c:pt idx="53">
                  <c:v>16.7</c:v>
                </c:pt>
              </c:numCache>
            </c:numRef>
          </c:val>
          <c:smooth val="0"/>
          <c:extLst>
            <c:ext xmlns:c16="http://schemas.microsoft.com/office/drawing/2014/chart" uri="{C3380CC4-5D6E-409C-BE32-E72D297353CC}">
              <c16:uniqueId val="{00000006-20B2-44DB-88D1-06E86155BE6B}"/>
            </c:ext>
          </c:extLst>
        </c:ser>
        <c:dLbls>
          <c:showLegendKey val="0"/>
          <c:showVal val="0"/>
          <c:showCatName val="0"/>
          <c:showSerName val="0"/>
          <c:showPercent val="0"/>
          <c:showBubbleSize val="0"/>
        </c:dLbls>
        <c:smooth val="0"/>
        <c:axId val="1935221391"/>
        <c:axId val="2099307727"/>
      </c:lineChart>
      <c:catAx>
        <c:axId val="193522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99307727"/>
        <c:crosses val="autoZero"/>
        <c:auto val="1"/>
        <c:lblAlgn val="ctr"/>
        <c:lblOffset val="100"/>
        <c:noMultiLvlLbl val="0"/>
      </c:catAx>
      <c:valAx>
        <c:axId val="2099307727"/>
        <c:scaling>
          <c:orientation val="minMax"/>
          <c:max val="18"/>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35221391"/>
        <c:crosses val="autoZero"/>
        <c:crossBetween val="between"/>
        <c:majorUnit val="3"/>
        <c:minorUnit val="3"/>
      </c:valAx>
      <c:spPr>
        <a:noFill/>
        <a:ln>
          <a:noFill/>
        </a:ln>
        <a:effectLst/>
      </c:spPr>
    </c:plotArea>
    <c:legend>
      <c:legendPos val="b"/>
      <c:layout>
        <c:manualLayout>
          <c:xMode val="edge"/>
          <c:yMode val="edge"/>
          <c:x val="2.3437439234519634E-2"/>
          <c:y val="0.7375612039723104"/>
          <c:w val="0.96141137029779355"/>
          <c:h val="0.258122668876916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Sheet1!$B$1:$I$1</c:f>
              <c:strCache>
                <c:ptCount val="6"/>
                <c:pt idx="0">
                  <c:v>2019</c:v>
                </c:pt>
                <c:pt idx="1">
                  <c:v>2020</c:v>
                </c:pt>
                <c:pt idx="2">
                  <c:v>2021</c:v>
                </c:pt>
                <c:pt idx="3">
                  <c:v>2022</c:v>
                </c:pt>
                <c:pt idx="4">
                  <c:v>2023</c:v>
                </c:pt>
                <c:pt idx="5">
                  <c:v>2024</c:v>
                </c:pt>
              </c:strCache>
            </c:strRef>
          </c:cat>
          <c:val>
            <c:numRef>
              <c:f>Sheet1!$B$2:$I$2</c:f>
              <c:numCache>
                <c:formatCode>0</c:formatCode>
                <c:ptCount val="6"/>
                <c:pt idx="0">
                  <c:v>1185.7264734813</c:v>
                </c:pt>
                <c:pt idx="1">
                  <c:v>1118.4431101583998</c:v>
                </c:pt>
                <c:pt idx="2">
                  <c:v>1380.0889666928003</c:v>
                </c:pt>
                <c:pt idx="3">
                  <c:v>1890.6431293906001</c:v>
                </c:pt>
                <c:pt idx="4">
                  <c:v>3381.5233882606012</c:v>
                </c:pt>
                <c:pt idx="5">
                  <c:v>7927.5590110161984</c:v>
                </c:pt>
              </c:numCache>
            </c:numRef>
          </c:val>
          <c:extLst>
            <c:ext xmlns:c16="http://schemas.microsoft.com/office/drawing/2014/chart" uri="{C3380CC4-5D6E-409C-BE32-E72D297353CC}">
              <c16:uniqueId val="{00000000-E9A5-4133-89C0-571E2A883E19}"/>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Sheet1!$B$1:$I$1</c:f>
              <c:strCache>
                <c:ptCount val="6"/>
                <c:pt idx="0">
                  <c:v>2019</c:v>
                </c:pt>
                <c:pt idx="1">
                  <c:v>2020</c:v>
                </c:pt>
                <c:pt idx="2">
                  <c:v>2021</c:v>
                </c:pt>
                <c:pt idx="3">
                  <c:v>2022</c:v>
                </c:pt>
                <c:pt idx="4">
                  <c:v>2023</c:v>
                </c:pt>
                <c:pt idx="5">
                  <c:v>2024</c:v>
                </c:pt>
              </c:strCache>
            </c:strRef>
          </c:cat>
          <c:val>
            <c:numRef>
              <c:f>Sheet1!$B$3:$I$3</c:f>
              <c:numCache>
                <c:formatCode>0</c:formatCode>
                <c:ptCount val="6"/>
                <c:pt idx="0">
                  <c:v>-2324.2602766179998</c:v>
                </c:pt>
                <c:pt idx="1">
                  <c:v>-2015.1166700500003</c:v>
                </c:pt>
                <c:pt idx="2">
                  <c:v>-2199.7405887700002</c:v>
                </c:pt>
                <c:pt idx="3">
                  <c:v>-3256.3157946900005</c:v>
                </c:pt>
                <c:pt idx="4">
                  <c:v>-5617.4035736899996</c:v>
                </c:pt>
                <c:pt idx="5">
                  <c:v>-10479.766166877153</c:v>
                </c:pt>
              </c:numCache>
            </c:numRef>
          </c:val>
          <c:extLst>
            <c:ext xmlns:c16="http://schemas.microsoft.com/office/drawing/2014/chart" uri="{C3380CC4-5D6E-409C-BE32-E72D297353CC}">
              <c16:uniqueId val="{00000001-E9A5-4133-89C0-571E2A883E19}"/>
            </c:ext>
          </c:extLst>
        </c:ser>
        <c:dLbls>
          <c:dLblPos val="inEnd"/>
          <c:showLegendKey val="0"/>
          <c:showVal val="1"/>
          <c:showCatName val="0"/>
          <c:showSerName val="0"/>
          <c:showPercent val="0"/>
          <c:showBubbleSize val="0"/>
        </c:dLbls>
        <c:gapWidth val="150"/>
        <c:overlap val="100"/>
        <c:axId val="115593984"/>
        <c:axId val="115595520"/>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9A5-4133-89C0-571E2A883E19}"/>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9A5-4133-89C0-571E2A883E19}"/>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9A5-4133-89C0-571E2A883E19}"/>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9A5-4133-89C0-571E2A883E1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Sheet1!$B$1:$I$1</c:f>
              <c:strCache>
                <c:ptCount val="6"/>
                <c:pt idx="0">
                  <c:v>2019</c:v>
                </c:pt>
                <c:pt idx="1">
                  <c:v>2020</c:v>
                </c:pt>
                <c:pt idx="2">
                  <c:v>2021</c:v>
                </c:pt>
                <c:pt idx="3">
                  <c:v>2022</c:v>
                </c:pt>
                <c:pt idx="4">
                  <c:v>2023</c:v>
                </c:pt>
                <c:pt idx="5">
                  <c:v>2024</c:v>
                </c:pt>
              </c:strCache>
            </c:strRef>
          </c:cat>
          <c:val>
            <c:numRef>
              <c:f>Sheet1!$B$4:$I$4</c:f>
              <c:numCache>
                <c:formatCode>0</c:formatCode>
                <c:ptCount val="6"/>
                <c:pt idx="0">
                  <c:v>-1138.5338031366998</c:v>
                </c:pt>
                <c:pt idx="1">
                  <c:v>-896.67355989160046</c:v>
                </c:pt>
                <c:pt idx="2">
                  <c:v>-819.65162207719982</c:v>
                </c:pt>
                <c:pt idx="3">
                  <c:v>-1365.6726652994005</c:v>
                </c:pt>
                <c:pt idx="4">
                  <c:v>-2235.8801854293984</c:v>
                </c:pt>
                <c:pt idx="5">
                  <c:v>-2552.2071558609541</c:v>
                </c:pt>
              </c:numCache>
            </c:numRef>
          </c:val>
          <c:smooth val="0"/>
          <c:extLst>
            <c:ext xmlns:c16="http://schemas.microsoft.com/office/drawing/2014/chart" uri="{C3380CC4-5D6E-409C-BE32-E72D297353CC}">
              <c16:uniqueId val="{00000006-E9A5-4133-89C0-571E2A883E19}"/>
            </c:ext>
          </c:extLst>
        </c:ser>
        <c:dLbls>
          <c:showLegendKey val="0"/>
          <c:showVal val="1"/>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57249068965980843"/>
        </c:manualLayout>
      </c:layout>
      <c:lineChart>
        <c:grouping val="standard"/>
        <c:varyColors val="0"/>
        <c:ser>
          <c:idx val="0"/>
          <c:order val="0"/>
          <c:tx>
            <c:strRef>
              <c:f>Sheet1!$A$2</c:f>
              <c:strCache>
                <c:ptCount val="1"/>
                <c:pt idx="0">
                  <c:v>12 ամսյա փոփոխություն, % </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dLbl>
              <c:idx val="1"/>
              <c:layout>
                <c:manualLayout>
                  <c:x val="-7.4200426439232414E-2"/>
                  <c:y val="-7.96812749003984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259-440B-A5D5-BDEF08FFF213}"/>
                </c:ext>
              </c:extLst>
            </c:dLbl>
            <c:dLbl>
              <c:idx val="2"/>
              <c:layout>
                <c:manualLayout>
                  <c:x val="-5.9217055127267847E-2"/>
                  <c:y val="-6.26067159931701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259-440B-A5D5-BDEF08FFF213}"/>
                </c:ext>
              </c:extLst>
            </c:dLbl>
            <c:dLbl>
              <c:idx val="3"/>
              <c:layout>
                <c:manualLayout>
                  <c:x val="-7.1845395173635862E-2"/>
                  <c:y val="-6.26067159931701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259-440B-A5D5-BDEF08FFF213}"/>
                </c:ext>
              </c:extLst>
            </c:dLbl>
            <c:dLbl>
              <c:idx val="4"/>
              <c:layout>
                <c:manualLayout>
                  <c:x val="-7.3328316999723739E-2"/>
                  <c:y val="5.12236767216846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59-440B-A5D5-BDEF08FFF213}"/>
                </c:ext>
              </c:extLst>
            </c:dLbl>
            <c:dLbl>
              <c:idx val="5"/>
              <c:layout>
                <c:manualLayout>
                  <c:x val="-4.5901894556260522E-2"/>
                  <c:y val="5.69151963574274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59-440B-A5D5-BDEF08FFF21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Sheet1!$B$2:$S$2</c:f>
              <c:numCache>
                <c:formatCode>0.0</c:formatCode>
                <c:ptCount val="6"/>
                <c:pt idx="0">
                  <c:v>105.59402497002611</c:v>
                </c:pt>
                <c:pt idx="1">
                  <c:v>189.39288327613349</c:v>
                </c:pt>
                <c:pt idx="2">
                  <c:v>181.75256913354258</c:v>
                </c:pt>
                <c:pt idx="3">
                  <c:v>202.24567345052901</c:v>
                </c:pt>
                <c:pt idx="4">
                  <c:v>58.011055592888852</c:v>
                </c:pt>
                <c:pt idx="5">
                  <c:v>59.883068506404783</c:v>
                </c:pt>
              </c:numCache>
            </c:numRef>
          </c:val>
          <c:smooth val="0"/>
          <c:extLst>
            <c:ext xmlns:c16="http://schemas.microsoft.com/office/drawing/2014/chart" uri="{C3380CC4-5D6E-409C-BE32-E72D297353CC}">
              <c16:uniqueId val="{00000005-C259-440B-A5D5-BDEF08FFF213}"/>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2163362551187241E-2"/>
                  <c:y val="4.91321552933373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259-440B-A5D5-BDEF08FFF213}"/>
                </c:ext>
              </c:extLst>
            </c:dLbl>
            <c:dLbl>
              <c:idx val="2"/>
              <c:layout>
                <c:manualLayout>
                  <c:x val="-7.014940635812654E-2"/>
                  <c:y val="4.91321552933373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59-440B-A5D5-BDEF08FFF213}"/>
                </c:ext>
              </c:extLst>
            </c:dLbl>
            <c:dLbl>
              <c:idx val="3"/>
              <c:layout>
                <c:manualLayout>
                  <c:x val="-6.7251328997715243E-2"/>
                  <c:y val="6.05151945648227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259-440B-A5D5-BDEF08FFF21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Sheet1!$B$3:$S$3</c:f>
              <c:numCache>
                <c:formatCode>0.0</c:formatCode>
                <c:ptCount val="6"/>
                <c:pt idx="0">
                  <c:v>105.62039071623893</c:v>
                </c:pt>
                <c:pt idx="1">
                  <c:v>151.73452982344526</c:v>
                </c:pt>
                <c:pt idx="2">
                  <c:v>163.4895526429147</c:v>
                </c:pt>
                <c:pt idx="3">
                  <c:v>173.05586925054038</c:v>
                </c:pt>
                <c:pt idx="4">
                  <c:v>148.46901966312544</c:v>
                </c:pt>
                <c:pt idx="5">
                  <c:v>134.43750347957825</c:v>
                </c:pt>
              </c:numCache>
            </c:numRef>
          </c:val>
          <c:smooth val="0"/>
          <c:extLst>
            <c:ext xmlns:c16="http://schemas.microsoft.com/office/drawing/2014/chart" uri="{C3380CC4-5D6E-409C-BE32-E72D297353CC}">
              <c16:uniqueId val="{00000009-C259-440B-A5D5-BDEF08FFF213}"/>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3563942227710003E-2"/>
          <c:y val="0.82180139063655933"/>
          <c:w val="0.98189815825260651"/>
          <c:h val="0.15998802023150455"/>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 12 ամսյա գնաճ, </a:t>
            </a:r>
            <a:r>
              <a:rPr lang="en-US" sz="1000"/>
              <a:t>%</a:t>
            </a:r>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9806025100104807"/>
          <c:w val="0.85425685544537056"/>
          <c:h val="0.49774367794469376"/>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Sheet1!$C$2:$C$79</c:f>
              <c:numCache>
                <c:formatCode>0.0</c:formatCode>
                <c:ptCount val="66"/>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pt idx="54">
                  <c:v>3.2</c:v>
                </c:pt>
                <c:pt idx="55">
                  <c:v>3.7</c:v>
                </c:pt>
                <c:pt idx="56">
                  <c:v>3.7</c:v>
                </c:pt>
                <c:pt idx="57">
                  <c:v>3.2</c:v>
                </c:pt>
                <c:pt idx="58">
                  <c:v>3.1</c:v>
                </c:pt>
                <c:pt idx="59">
                  <c:v>3.4</c:v>
                </c:pt>
                <c:pt idx="60">
                  <c:v>3.1</c:v>
                </c:pt>
                <c:pt idx="61">
                  <c:v>3.2</c:v>
                </c:pt>
                <c:pt idx="62">
                  <c:v>3.5</c:v>
                </c:pt>
                <c:pt idx="63">
                  <c:v>3.4</c:v>
                </c:pt>
                <c:pt idx="64">
                  <c:v>3.3</c:v>
                </c:pt>
                <c:pt idx="65">
                  <c:v>3</c:v>
                </c:pt>
              </c:numCache>
            </c:numRef>
          </c:val>
          <c:smooth val="0"/>
          <c:extLst>
            <c:ext xmlns:c16="http://schemas.microsoft.com/office/drawing/2014/chart" uri="{C3380CC4-5D6E-409C-BE32-E72D297353CC}">
              <c16:uniqueId val="{00000000-7472-48B9-8E30-AA26543E7CA1}"/>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Sheet1!$D$2:$D$79</c:f>
              <c:numCache>
                <c:formatCode>General</c:formatCode>
                <c:ptCount val="66"/>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pt idx="54" formatCode="0.0">
                  <c:v>5.3</c:v>
                </c:pt>
                <c:pt idx="55" formatCode="0.0">
                  <c:v>5.3</c:v>
                </c:pt>
                <c:pt idx="56" formatCode="0.0">
                  <c:v>4.3</c:v>
                </c:pt>
                <c:pt idx="57" formatCode="0.0">
                  <c:v>2.9</c:v>
                </c:pt>
                <c:pt idx="58" formatCode="0.0">
                  <c:v>2.4</c:v>
                </c:pt>
                <c:pt idx="59" formatCode="0.0">
                  <c:v>2.9</c:v>
                </c:pt>
                <c:pt idx="60" formatCode="0.0">
                  <c:v>2.8</c:v>
                </c:pt>
                <c:pt idx="61" formatCode="0.0">
                  <c:v>2.6</c:v>
                </c:pt>
                <c:pt idx="62" formatCode="0.0">
                  <c:v>2.4</c:v>
                </c:pt>
                <c:pt idx="63" formatCode="0.0">
                  <c:v>2.4</c:v>
                </c:pt>
                <c:pt idx="64" formatCode="0.0">
                  <c:v>2.6</c:v>
                </c:pt>
                <c:pt idx="65" formatCode="0.0">
                  <c:v>2.5</c:v>
                </c:pt>
              </c:numCache>
            </c:numRef>
          </c:val>
          <c:smooth val="0"/>
          <c:extLst>
            <c:ext xmlns:c16="http://schemas.microsoft.com/office/drawing/2014/chart" uri="{C3380CC4-5D6E-409C-BE32-E72D297353CC}">
              <c16:uniqueId val="{00000001-7472-48B9-8E30-AA26543E7CA1}"/>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Sheet1!$E$2:$E$79</c:f>
              <c:numCache>
                <c:formatCode>General</c:formatCode>
                <c:ptCount val="66"/>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pt idx="54" formatCode="0.0">
                  <c:v>-0.3</c:v>
                </c:pt>
                <c:pt idx="55" formatCode="0.0">
                  <c:v>0.1</c:v>
                </c:pt>
                <c:pt idx="56" formatCode="0.0">
                  <c:v>0</c:v>
                </c:pt>
                <c:pt idx="57" formatCode="0.0">
                  <c:v>-0.2</c:v>
                </c:pt>
                <c:pt idx="58" formatCode="0.0">
                  <c:v>-0.5</c:v>
                </c:pt>
                <c:pt idx="59" formatCode="0.0">
                  <c:v>-0.3</c:v>
                </c:pt>
                <c:pt idx="60" formatCode="0.0">
                  <c:v>-0.8</c:v>
                </c:pt>
                <c:pt idx="61" formatCode="0.0">
                  <c:v>0.7</c:v>
                </c:pt>
                <c:pt idx="62" formatCode="0.0">
                  <c:v>0.1</c:v>
                </c:pt>
                <c:pt idx="63" formatCode="0.0">
                  <c:v>0.3</c:v>
                </c:pt>
                <c:pt idx="64" formatCode="0.0">
                  <c:v>0.3</c:v>
                </c:pt>
                <c:pt idx="65" formatCode="0.0">
                  <c:v>0.2</c:v>
                </c:pt>
              </c:numCache>
            </c:numRef>
          </c:val>
          <c:smooth val="0"/>
          <c:extLst>
            <c:ext xmlns:c16="http://schemas.microsoft.com/office/drawing/2014/chart" uri="{C3380CC4-5D6E-409C-BE32-E72D297353CC}">
              <c16:uniqueId val="{00000002-7472-48B9-8E30-AA26543E7CA1}"/>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Sheet1!$F$2:$F$79</c:f>
              <c:numCache>
                <c:formatCode>0.0</c:formatCode>
                <c:ptCount val="66"/>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pt idx="54">
                  <c:v>4.3</c:v>
                </c:pt>
                <c:pt idx="55">
                  <c:v>5.2</c:v>
                </c:pt>
                <c:pt idx="56">
                  <c:v>6</c:v>
                </c:pt>
                <c:pt idx="57">
                  <c:v>6.7</c:v>
                </c:pt>
                <c:pt idx="58">
                  <c:v>7.5</c:v>
                </c:pt>
                <c:pt idx="59">
                  <c:v>7.4</c:v>
                </c:pt>
                <c:pt idx="60">
                  <c:v>7.4</c:v>
                </c:pt>
                <c:pt idx="61">
                  <c:v>7.7</c:v>
                </c:pt>
                <c:pt idx="62">
                  <c:v>7.7</c:v>
                </c:pt>
                <c:pt idx="63">
                  <c:v>7.8</c:v>
                </c:pt>
                <c:pt idx="64">
                  <c:v>8.3000000000000007</c:v>
                </c:pt>
                <c:pt idx="65">
                  <c:v>8.6</c:v>
                </c:pt>
              </c:numCache>
            </c:numRef>
          </c:val>
          <c:smooth val="0"/>
          <c:extLst>
            <c:ext xmlns:c16="http://schemas.microsoft.com/office/drawing/2014/chart" uri="{C3380CC4-5D6E-409C-BE32-E72D297353CC}">
              <c16:uniqueId val="{00000003-7472-48B9-8E30-AA26543E7CA1}"/>
            </c:ext>
          </c:extLst>
        </c:ser>
        <c:dLbls>
          <c:showLegendKey val="0"/>
          <c:showVal val="0"/>
          <c:showCatName val="0"/>
          <c:showSerName val="0"/>
          <c:showPercent val="0"/>
          <c:showBubbleSize val="0"/>
        </c:dLbls>
        <c:smooth val="0"/>
        <c:axId val="-2138153872"/>
        <c:axId val="-2138152784"/>
      </c:lineChart>
      <c:catAx>
        <c:axId val="-2138153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152784"/>
        <c:crosses val="autoZero"/>
        <c:auto val="1"/>
        <c:lblAlgn val="ctr"/>
        <c:lblOffset val="100"/>
        <c:noMultiLvlLbl val="0"/>
      </c:catAx>
      <c:valAx>
        <c:axId val="-2138152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1538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8078154070635"/>
          <c:y val="8.3120973514674318E-2"/>
          <c:w val="0.85198401144390712"/>
          <c:h val="0.57039370078740159"/>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Sheet1!$B$2:$S$2</c:f>
              <c:numCache>
                <c:formatCode>0.0</c:formatCode>
                <c:ptCount val="6"/>
                <c:pt idx="0">
                  <c:v>121.61568233966676</c:v>
                </c:pt>
                <c:pt idx="1">
                  <c:v>175.37120557295674</c:v>
                </c:pt>
                <c:pt idx="2">
                  <c:v>182.31495581097914</c:v>
                </c:pt>
                <c:pt idx="3">
                  <c:v>187.98875608098547</c:v>
                </c:pt>
                <c:pt idx="4">
                  <c:v>161.12600698386996</c:v>
                </c:pt>
                <c:pt idx="5">
                  <c:v>141.48263666664855</c:v>
                </c:pt>
              </c:numCache>
            </c:numRef>
          </c:val>
          <c:smooth val="0"/>
          <c:extLst>
            <c:ext xmlns:c16="http://schemas.microsoft.com/office/drawing/2014/chart" uri="{C3380CC4-5D6E-409C-BE32-E72D297353CC}">
              <c16:uniqueId val="{00000000-44FE-4668-9E40-6D91774C8AA8}"/>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dLbl>
              <c:idx val="5"/>
              <c:layout>
                <c:manualLayout>
                  <c:x val="-4.9653460888623803E-2"/>
                  <c:y val="-4.90479599141016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FE-4668-9E40-6D91774C8AA8}"/>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Sheet1!$B$3:$S$3</c:f>
              <c:numCache>
                <c:formatCode>0.0</c:formatCode>
                <c:ptCount val="6"/>
                <c:pt idx="0">
                  <c:v>-5.0918983706463905</c:v>
                </c:pt>
                <c:pt idx="1">
                  <c:v>-6.2800327439641848</c:v>
                </c:pt>
                <c:pt idx="2">
                  <c:v>-4.1427272025157862</c:v>
                </c:pt>
                <c:pt idx="3">
                  <c:v>-3.0582111310333318</c:v>
                </c:pt>
                <c:pt idx="4">
                  <c:v>-3.073759965152405</c:v>
                </c:pt>
                <c:pt idx="5">
                  <c:v>-1.3495997046744606</c:v>
                </c:pt>
              </c:numCache>
            </c:numRef>
          </c:val>
          <c:smooth val="0"/>
          <c:extLst>
            <c:ext xmlns:c16="http://schemas.microsoft.com/office/drawing/2014/chart" uri="{C3380CC4-5D6E-409C-BE32-E72D297353CC}">
              <c16:uniqueId val="{00000002-44FE-4668-9E40-6D91774C8AA8}"/>
            </c:ext>
          </c:extLst>
        </c:ser>
        <c:ser>
          <c:idx val="2"/>
          <c:order val="2"/>
          <c:tx>
            <c:strRef>
              <c:f>Sheet1!$A$4</c:f>
              <c:strCache>
                <c:ptCount val="1"/>
                <c:pt idx="0">
                  <c:v>Փոխարժեքի փոփոխություն (կուտակային)</c:v>
                </c:pt>
              </c:strCache>
            </c:strRef>
          </c:tx>
          <c:dLbls>
            <c:dLbl>
              <c:idx val="5"/>
              <c:layout>
                <c:manualLayout>
                  <c:x val="-4.5408299539219744E-2"/>
                  <c:y val="5.47302254831781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FE-4668-9E40-6D91774C8AA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Sheet1!$B$4:$S$4</c:f>
              <c:numCache>
                <c:formatCode>0.0</c:formatCode>
                <c:ptCount val="6"/>
                <c:pt idx="0">
                  <c:v>-2.239727380482023</c:v>
                </c:pt>
                <c:pt idx="1">
                  <c:v>-2.4578920702396232</c:v>
                </c:pt>
                <c:pt idx="2">
                  <c:v>-2.6346463853180779</c:v>
                </c:pt>
                <c:pt idx="3">
                  <c:v>-2.1941223510595762</c:v>
                </c:pt>
                <c:pt idx="4">
                  <c:v>-1.8295565412429653</c:v>
                </c:pt>
                <c:pt idx="5">
                  <c:v>-1.5892986383451415</c:v>
                </c:pt>
              </c:numCache>
            </c:numRef>
          </c:val>
          <c:smooth val="0"/>
          <c:extLst>
            <c:ext xmlns:c16="http://schemas.microsoft.com/office/drawing/2014/chart" uri="{C3380CC4-5D6E-409C-BE32-E72D297353CC}">
              <c16:uniqueId val="{00000004-44FE-4668-9E40-6D91774C8AA8}"/>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096125626342161"/>
          <c:w val="1"/>
          <c:h val="0.19038743736578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0729025251153945"/>
        </c:manualLayout>
      </c:layout>
      <c:lineChart>
        <c:grouping val="standard"/>
        <c:varyColors val="0"/>
        <c:ser>
          <c:idx val="0"/>
          <c:order val="0"/>
          <c:tx>
            <c:strRef>
              <c:f>Sheet1!$A$2</c:f>
              <c:strCache>
                <c:ptCount val="1"/>
                <c:pt idx="0">
                  <c:v>12 ամսյա փոփոխություն, % </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dLbl>
              <c:idx val="0"/>
              <c:layout>
                <c:manualLayout>
                  <c:x val="-7.4580938118931447E-2"/>
                  <c:y val="3.81179292243641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8EE-4A61-9AC6-D9A285D2174C}"/>
                </c:ext>
              </c:extLst>
            </c:dLbl>
            <c:dLbl>
              <c:idx val="1"/>
              <c:layout>
                <c:manualLayout>
                  <c:x val="-5.9795501022494889E-2"/>
                  <c:y val="6.11064349714906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8EE-4A61-9AC6-D9A285D2174C}"/>
                </c:ext>
              </c:extLst>
            </c:dLbl>
            <c:dLbl>
              <c:idx val="2"/>
              <c:layout>
                <c:manualLayout>
                  <c:x val="-6.9848731595117841E-2"/>
                  <c:y val="-7.60812766930030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8EE-4A61-9AC6-D9A285D2174C}"/>
                </c:ext>
              </c:extLst>
            </c:dLbl>
            <c:dLbl>
              <c:idx val="3"/>
              <c:layout>
                <c:manualLayout>
                  <c:x val="-8.0726137184005328E-2"/>
                  <c:y val="-4.70881378871465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8EE-4A61-9AC6-D9A285D2174C}"/>
                </c:ext>
              </c:extLst>
            </c:dLbl>
            <c:dLbl>
              <c:idx val="4"/>
              <c:layout>
                <c:manualLayout>
                  <c:x val="-6.7474679162037254E-2"/>
                  <c:y val="3.8117929224364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8EE-4A61-9AC6-D9A285D2174C}"/>
                </c:ext>
              </c:extLst>
            </c:dLbl>
            <c:dLbl>
              <c:idx val="5"/>
              <c:layout>
                <c:manualLayout>
                  <c:x val="-3.9189411139558476E-2"/>
                  <c:y val="5.53593085347089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8EE-4A61-9AC6-D9A285D2174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Sheet1!$B$2:$S$2</c:f>
              <c:numCache>
                <c:formatCode>0.0</c:formatCode>
                <c:ptCount val="6"/>
                <c:pt idx="0">
                  <c:v>77.161523893824778</c:v>
                </c:pt>
                <c:pt idx="1">
                  <c:v>117.09694022515805</c:v>
                </c:pt>
                <c:pt idx="2">
                  <c:v>90.933488256074668</c:v>
                </c:pt>
                <c:pt idx="3">
                  <c:v>207.40575278526791</c:v>
                </c:pt>
                <c:pt idx="4">
                  <c:v>18.499123524975374</c:v>
                </c:pt>
                <c:pt idx="5">
                  <c:v>20.574600384166516</c:v>
                </c:pt>
              </c:numCache>
            </c:numRef>
          </c:val>
          <c:smooth val="0"/>
          <c:extLst>
            <c:ext xmlns:c16="http://schemas.microsoft.com/office/drawing/2014/chart" uri="{C3380CC4-5D6E-409C-BE32-E72D297353CC}">
              <c16:uniqueId val="{00000006-18EE-4A61-9AC6-D9A285D2174C}"/>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5.0484971603787045E-2"/>
                  <c:y val="-0.110806716889472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8EE-4A61-9AC6-D9A285D2174C}"/>
                </c:ext>
              </c:extLst>
            </c:dLbl>
            <c:dLbl>
              <c:idx val="2"/>
              <c:layout>
                <c:manualLayout>
                  <c:x val="-6.4915833960375105E-2"/>
                  <c:y val="6.62067142005655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8EE-4A61-9AC6-D9A285D2174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Sheet1!$B$3:$S$3</c:f>
              <c:numCache>
                <c:formatCode>0.0</c:formatCode>
                <c:ptCount val="6"/>
                <c:pt idx="0">
                  <c:v>77.161523893824778</c:v>
                </c:pt>
                <c:pt idx="1">
                  <c:v>98.314591446580948</c:v>
                </c:pt>
                <c:pt idx="2">
                  <c:v>95.296620584004643</c:v>
                </c:pt>
                <c:pt idx="3">
                  <c:v>123.49696568119683</c:v>
                </c:pt>
                <c:pt idx="4">
                  <c:v>100.35573673285199</c:v>
                </c:pt>
                <c:pt idx="5">
                  <c:v>86.545889735180793</c:v>
                </c:pt>
              </c:numCache>
            </c:numRef>
          </c:val>
          <c:smooth val="0"/>
          <c:extLst>
            <c:ext xmlns:c16="http://schemas.microsoft.com/office/drawing/2014/chart" uri="{C3380CC4-5D6E-409C-BE32-E72D297353CC}">
              <c16:uniqueId val="{00000009-18EE-4A61-9AC6-D9A285D2174C}"/>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1415350969575029"/>
          <c:w val="0.88092668877720004"/>
          <c:h val="0.18584649030424982"/>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0614863381121187"/>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2024-1</c:v>
                </c:pt>
                <c:pt idx="1">
                  <c:v>2024-2</c:v>
                </c:pt>
                <c:pt idx="2">
                  <c:v>2024-3</c:v>
                </c:pt>
                <c:pt idx="3">
                  <c:v>2023-4</c:v>
                </c:pt>
                <c:pt idx="4">
                  <c:v>2023-5</c:v>
                </c:pt>
                <c:pt idx="5">
                  <c:v>2023-6</c:v>
                </c:pt>
              </c:strCache>
            </c:strRef>
          </c:cat>
          <c:val>
            <c:numRef>
              <c:f>Sheet1!$B$2:$S$2</c:f>
              <c:numCache>
                <c:formatCode>0.0</c:formatCode>
                <c:ptCount val="6"/>
                <c:pt idx="0">
                  <c:v>82.323574758166274</c:v>
                </c:pt>
                <c:pt idx="1">
                  <c:v>106.1275726787097</c:v>
                </c:pt>
                <c:pt idx="2">
                  <c:v>99.166731469829585</c:v>
                </c:pt>
                <c:pt idx="3">
                  <c:v>128.53627679659735</c:v>
                </c:pt>
                <c:pt idx="4">
                  <c:v>102.32868882136947</c:v>
                </c:pt>
                <c:pt idx="5">
                  <c:v>86.545889521106716</c:v>
                </c:pt>
              </c:numCache>
            </c:numRef>
          </c:val>
          <c:smooth val="0"/>
          <c:extLst>
            <c:ext xmlns:c16="http://schemas.microsoft.com/office/drawing/2014/chart" uri="{C3380CC4-5D6E-409C-BE32-E72D297353CC}">
              <c16:uniqueId val="{00000000-F3AF-4472-9AA3-9BA8EAD547D2}"/>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2024-1</c:v>
                </c:pt>
                <c:pt idx="1">
                  <c:v>2024-2</c:v>
                </c:pt>
                <c:pt idx="2">
                  <c:v>2024-3</c:v>
                </c:pt>
                <c:pt idx="3">
                  <c:v>2023-4</c:v>
                </c:pt>
                <c:pt idx="4">
                  <c:v>2023-5</c:v>
                </c:pt>
                <c:pt idx="5">
                  <c:v>2023-6</c:v>
                </c:pt>
              </c:strCache>
            </c:strRef>
          </c:cat>
          <c:val>
            <c:numRef>
              <c:f>Sheet1!$B$3:$S$3</c:f>
              <c:numCache>
                <c:formatCode>0.0</c:formatCode>
                <c:ptCount val="6"/>
                <c:pt idx="0">
                  <c:v>-0.60508286344452245</c:v>
                </c:pt>
                <c:pt idx="1">
                  <c:v>-1.3660458854708253</c:v>
                </c:pt>
                <c:pt idx="2">
                  <c:v>0.7102065392787722</c:v>
                </c:pt>
                <c:pt idx="3">
                  <c:v>-1.1160241868736875E-2</c:v>
                </c:pt>
                <c:pt idx="4">
                  <c:v>0.87035796971440504</c:v>
                </c:pt>
                <c:pt idx="5">
                  <c:v>1.6149653758297404</c:v>
                </c:pt>
              </c:numCache>
            </c:numRef>
          </c:val>
          <c:smooth val="0"/>
          <c:extLst>
            <c:ext xmlns:c16="http://schemas.microsoft.com/office/drawing/2014/chart" uri="{C3380CC4-5D6E-409C-BE32-E72D297353CC}">
              <c16:uniqueId val="{00000001-F3AF-4472-9AA3-9BA8EAD547D2}"/>
            </c:ext>
          </c:extLst>
        </c:ser>
        <c:ser>
          <c:idx val="2"/>
          <c:order val="2"/>
          <c:tx>
            <c:strRef>
              <c:f>Sheet1!$A$4</c:f>
              <c:strCache>
                <c:ptCount val="1"/>
                <c:pt idx="0">
                  <c:v>Փոխարժեքի փոփոխություն (կուտակային)</c:v>
                </c:pt>
              </c:strCache>
            </c:strRef>
          </c:tx>
          <c:dLbls>
            <c:dLbl>
              <c:idx val="0"/>
              <c:layout>
                <c:manualLayout>
                  <c:x val="-6.7057492982983677E-2"/>
                  <c:y val="6.05151945648227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3AF-4472-9AA3-9BA8EAD547D2}"/>
                </c:ext>
              </c:extLst>
            </c:dLbl>
            <c:dLbl>
              <c:idx val="1"/>
              <c:layout>
                <c:manualLayout>
                  <c:x val="-4.8371701162863462E-2"/>
                  <c:y val="5.482367492908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3AF-4472-9AA3-9BA8EAD547D2}"/>
                </c:ext>
              </c:extLst>
            </c:dLbl>
            <c:dLbl>
              <c:idx val="2"/>
              <c:layout>
                <c:manualLayout>
                  <c:x val="-6.0467068482111377E-2"/>
                  <c:y val="8.32812731077937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3AF-4472-9AA3-9BA8EAD547D2}"/>
                </c:ext>
              </c:extLst>
            </c:dLbl>
            <c:dLbl>
              <c:idx val="3"/>
              <c:layout>
                <c:manualLayout>
                  <c:x val="-5.9304052393722155E-2"/>
                  <c:y val="5.482367492908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3AF-4472-9AA3-9BA8EAD547D2}"/>
                </c:ext>
              </c:extLst>
            </c:dLbl>
            <c:dLbl>
              <c:idx val="4"/>
              <c:layout>
                <c:manualLayout>
                  <c:x val="-5.8538476448924209E-2"/>
                  <c:y val="5.482367492908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3AF-4472-9AA3-9BA8EAD547D2}"/>
                </c:ext>
              </c:extLst>
            </c:dLbl>
            <c:dLbl>
              <c:idx val="5"/>
              <c:layout>
                <c:manualLayout>
                  <c:x val="-5.7539992032881918E-2"/>
                  <c:y val="6.05151945648228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3AF-4472-9AA3-9BA8EAD547D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2023-4</c:v>
                </c:pt>
                <c:pt idx="4">
                  <c:v>2023-5</c:v>
                </c:pt>
                <c:pt idx="5">
                  <c:v>2023-6</c:v>
                </c:pt>
              </c:strCache>
            </c:strRef>
          </c:cat>
          <c:val>
            <c:numRef>
              <c:f>Sheet1!$B$4:$S$4</c:f>
              <c:numCache>
                <c:formatCode>0.0</c:formatCode>
                <c:ptCount val="6"/>
                <c:pt idx="0">
                  <c:v>-2.239727380482023</c:v>
                </c:pt>
                <c:pt idx="1">
                  <c:v>-2.4578920702396232</c:v>
                </c:pt>
                <c:pt idx="2">
                  <c:v>-2.6346463853180779</c:v>
                </c:pt>
                <c:pt idx="3">
                  <c:v>-2.1941223510595762</c:v>
                </c:pt>
                <c:pt idx="4">
                  <c:v>-1.8295565412429653</c:v>
                </c:pt>
                <c:pt idx="5">
                  <c:v>-1.5892986383451415</c:v>
                </c:pt>
              </c:numCache>
            </c:numRef>
          </c:val>
          <c:smooth val="0"/>
          <c:extLst>
            <c:ext xmlns:c16="http://schemas.microsoft.com/office/drawing/2014/chart" uri="{C3380CC4-5D6E-409C-BE32-E72D297353CC}">
              <c16:uniqueId val="{00000008-F3AF-4472-9AA3-9BA8EAD547D2}"/>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242028774181005"/>
          <c:w val="1"/>
          <c:h val="0.175797122581899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5DC9-4698-9C53-3B0A188547D7}"/>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771.43100000000004</c:v>
                </c:pt>
                <c:pt idx="1">
                  <c:v>255.95400000000001</c:v>
                </c:pt>
                <c:pt idx="2">
                  <c:v>515.47700000000009</c:v>
                </c:pt>
              </c:numCache>
            </c:numRef>
          </c:val>
          <c:extLst>
            <c:ext xmlns:c16="http://schemas.microsoft.com/office/drawing/2014/chart" uri="{C3380CC4-5D6E-409C-BE32-E72D297353CC}">
              <c16:uniqueId val="{00000001-5DC9-4698-9C53-3B0A188547D7}"/>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307.79500000000002</c:v>
                </c:pt>
                <c:pt idx="1">
                  <c:v>120.893</c:v>
                </c:pt>
                <c:pt idx="2">
                  <c:v>186.90200000000002</c:v>
                </c:pt>
              </c:numCache>
            </c:numRef>
          </c:val>
          <c:extLst>
            <c:ext xmlns:c16="http://schemas.microsoft.com/office/drawing/2014/chart" uri="{C3380CC4-5D6E-409C-BE32-E72D297353CC}">
              <c16:uniqueId val="{00000002-5DC9-4698-9C53-3B0A188547D7}"/>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246.02099999999999</c:v>
                </c:pt>
                <c:pt idx="1">
                  <c:v>96.465999999999994</c:v>
                </c:pt>
                <c:pt idx="2">
                  <c:v>149.55500000000001</c:v>
                </c:pt>
              </c:numCache>
            </c:numRef>
          </c:val>
          <c:extLst>
            <c:ext xmlns:c16="http://schemas.microsoft.com/office/drawing/2014/chart" uri="{C3380CC4-5D6E-409C-BE32-E72D297353CC}">
              <c16:uniqueId val="{00000003-5DC9-4698-9C53-3B0A188547D7}"/>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594.13900000000001</c:v>
                </c:pt>
                <c:pt idx="1">
                  <c:v>253.167</c:v>
                </c:pt>
                <c:pt idx="2">
                  <c:v>340.97199999999998</c:v>
                </c:pt>
              </c:numCache>
            </c:numRef>
          </c:val>
          <c:extLst>
            <c:ext xmlns:c16="http://schemas.microsoft.com/office/drawing/2014/chart" uri="{C3380CC4-5D6E-409C-BE32-E72D297353CC}">
              <c16:uniqueId val="{00000004-5DC9-4698-9C53-3B0A188547D7}"/>
            </c:ext>
          </c:extLst>
        </c:ser>
        <c:ser>
          <c:idx val="5"/>
          <c:order val="5"/>
          <c:tx>
            <c:strRef>
              <c:f>Sheet1!$G$1</c:f>
              <c:strCache>
                <c:ptCount val="1"/>
                <c:pt idx="0">
                  <c:v>2023</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1007.3</c:v>
                </c:pt>
                <c:pt idx="1">
                  <c:v>518.47799999999995</c:v>
                </c:pt>
                <c:pt idx="2">
                  <c:v>488.822</c:v>
                </c:pt>
              </c:numCache>
            </c:numRef>
          </c:val>
          <c:extLst>
            <c:ext xmlns:c16="http://schemas.microsoft.com/office/drawing/2014/chart" uri="{C3380CC4-5D6E-409C-BE32-E72D297353CC}">
              <c16:uniqueId val="{00000005-5DC9-4698-9C53-3B0A188547D7}"/>
            </c:ext>
          </c:extLst>
        </c:ser>
        <c:ser>
          <c:idx val="6"/>
          <c:order val="6"/>
          <c:tx>
            <c:strRef>
              <c:f>Sheet1!$H$1</c:f>
              <c:strCache>
                <c:ptCount val="1"/>
                <c:pt idx="0">
                  <c:v>2024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Sheet1!$H$2:$H$4</c:f>
              <c:numCache>
                <c:formatCode>0</c:formatCode>
                <c:ptCount val="3"/>
                <c:pt idx="0">
                  <c:v>946.2</c:v>
                </c:pt>
                <c:pt idx="1">
                  <c:v>396.25538</c:v>
                </c:pt>
                <c:pt idx="2">
                  <c:v>549.94461999999999</c:v>
                </c:pt>
              </c:numCache>
            </c:numRef>
          </c:val>
          <c:extLst>
            <c:ext xmlns:c16="http://schemas.microsoft.com/office/drawing/2014/chart" uri="{C3380CC4-5D6E-409C-BE32-E72D297353CC}">
              <c16:uniqueId val="{00000006-5DC9-4698-9C53-3B0A188547D7}"/>
            </c:ext>
          </c:extLst>
        </c:ser>
        <c:dLbls>
          <c:dLblPos val="outEnd"/>
          <c:showLegendKey val="0"/>
          <c:showVal val="1"/>
          <c:showCatName val="0"/>
          <c:showSerName val="0"/>
          <c:showPercent val="0"/>
          <c:showBubbleSize val="0"/>
        </c:dLbls>
        <c:gapWidth val="219"/>
        <c:overlap val="-27"/>
        <c:axId val="679410424"/>
        <c:axId val="679415344"/>
      </c:barChart>
      <c:catAx>
        <c:axId val="6794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5344"/>
        <c:crosses val="autoZero"/>
        <c:auto val="1"/>
        <c:lblAlgn val="ctr"/>
        <c:lblOffset val="100"/>
        <c:noMultiLvlLbl val="0"/>
      </c:catAx>
      <c:valAx>
        <c:axId val="6794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0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Sheet1!$D$1</c:f>
              <c:strCache>
                <c:ptCount val="1"/>
                <c:pt idx="0">
                  <c:v>ՌԴ</c:v>
                </c:pt>
              </c:strCache>
            </c:strRef>
          </c:tx>
          <c:spPr>
            <a:solidFill>
              <a:schemeClr val="accent1">
                <a:lumMod val="75000"/>
              </a:schemeClr>
            </a:solidFill>
            <a:ln>
              <a:noFill/>
            </a:ln>
            <a:effectLst/>
          </c:spPr>
          <c:invertIfNegative val="0"/>
          <c:cat>
            <c:multiLvlStrRef>
              <c:f>Sheet1!$A$6:$B$26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Sheet1!$D$6:$D$27</c:f>
              <c:numCache>
                <c:formatCode>0.0</c:formatCode>
                <c:ptCount val="18"/>
                <c:pt idx="0">
                  <c:v>77.714060000000003</c:v>
                </c:pt>
                <c:pt idx="1">
                  <c:v>50.1432</c:v>
                </c:pt>
                <c:pt idx="2">
                  <c:v>114.17736000000001</c:v>
                </c:pt>
                <c:pt idx="3">
                  <c:v>122.73272</c:v>
                </c:pt>
                <c:pt idx="4">
                  <c:v>67.980919999999998</c:v>
                </c:pt>
                <c:pt idx="5">
                  <c:v>118.7869</c:v>
                </c:pt>
                <c:pt idx="6">
                  <c:v>158.30554999999998</c:v>
                </c:pt>
                <c:pt idx="7">
                  <c:v>118.69959999999998</c:v>
                </c:pt>
                <c:pt idx="8">
                  <c:v>118.26725</c:v>
                </c:pt>
                <c:pt idx="9">
                  <c:v>814.20412999999996</c:v>
                </c:pt>
                <c:pt idx="10">
                  <c:v>1090.5065999999999</c:v>
                </c:pt>
                <c:pt idx="11">
                  <c:v>1122.2293199999999</c:v>
                </c:pt>
                <c:pt idx="12">
                  <c:v>1079.4368399999998</c:v>
                </c:pt>
                <c:pt idx="13">
                  <c:v>709.71907999999996</c:v>
                </c:pt>
                <c:pt idx="14">
                  <c:v>707.88398000000007</c:v>
                </c:pt>
                <c:pt idx="15">
                  <c:v>807.40522999999996</c:v>
                </c:pt>
                <c:pt idx="16">
                  <c:v>656.62074999999993</c:v>
                </c:pt>
                <c:pt idx="17">
                  <c:v>682.37557000000004</c:v>
                </c:pt>
              </c:numCache>
            </c:numRef>
          </c:val>
          <c:extLst>
            <c:ext xmlns:c16="http://schemas.microsoft.com/office/drawing/2014/chart" uri="{C3380CC4-5D6E-409C-BE32-E72D297353CC}">
              <c16:uniqueId val="{00000000-F1FF-4A51-AE63-B421A75FC162}"/>
            </c:ext>
          </c:extLst>
        </c:ser>
        <c:ser>
          <c:idx val="2"/>
          <c:order val="2"/>
          <c:tx>
            <c:strRef>
              <c:f>Sheet1!$E$1</c:f>
              <c:strCache>
                <c:ptCount val="1"/>
                <c:pt idx="0">
                  <c:v>Այլ</c:v>
                </c:pt>
              </c:strCache>
            </c:strRef>
          </c:tx>
          <c:spPr>
            <a:solidFill>
              <a:schemeClr val="accent3"/>
            </a:solidFill>
            <a:ln>
              <a:noFill/>
            </a:ln>
            <a:effectLst/>
          </c:spPr>
          <c:invertIfNegative val="0"/>
          <c:cat>
            <c:multiLvlStrRef>
              <c:f>Sheet1!$A$6:$B$26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Sheet1!$E$6:$E$27</c:f>
              <c:numCache>
                <c:formatCode>0.0</c:formatCode>
                <c:ptCount val="18"/>
                <c:pt idx="0">
                  <c:v>9.6641899999999907</c:v>
                </c:pt>
                <c:pt idx="1">
                  <c:v>55.252929999999999</c:v>
                </c:pt>
                <c:pt idx="2">
                  <c:v>122.69107999999999</c:v>
                </c:pt>
                <c:pt idx="3">
                  <c:v>21.96302</c:v>
                </c:pt>
                <c:pt idx="4">
                  <c:v>61.103229999999996</c:v>
                </c:pt>
                <c:pt idx="5">
                  <c:v>135.01109000000002</c:v>
                </c:pt>
                <c:pt idx="6">
                  <c:v>129.02368999999999</c:v>
                </c:pt>
                <c:pt idx="7">
                  <c:v>94.40330000000003</c:v>
                </c:pt>
                <c:pt idx="8">
                  <c:v>72.026169999999993</c:v>
                </c:pt>
                <c:pt idx="9">
                  <c:v>-10.573099999999954</c:v>
                </c:pt>
                <c:pt idx="10">
                  <c:v>-354.89396999999997</c:v>
                </c:pt>
                <c:pt idx="11">
                  <c:v>-268.12218999999993</c:v>
                </c:pt>
                <c:pt idx="12">
                  <c:v>-526.24767999999995</c:v>
                </c:pt>
                <c:pt idx="13">
                  <c:v>-365.22444000000002</c:v>
                </c:pt>
                <c:pt idx="14">
                  <c:v>-275.18345999999997</c:v>
                </c:pt>
                <c:pt idx="15">
                  <c:v>-483.07689000000005</c:v>
                </c:pt>
                <c:pt idx="16">
                  <c:v>-378.06103000000007</c:v>
                </c:pt>
                <c:pt idx="17">
                  <c:v>-365.52707000000004</c:v>
                </c:pt>
              </c:numCache>
            </c:numRef>
          </c:val>
          <c:extLst>
            <c:ext xmlns:c16="http://schemas.microsoft.com/office/drawing/2014/chart" uri="{C3380CC4-5D6E-409C-BE32-E72D297353CC}">
              <c16:uniqueId val="{00000001-F1FF-4A51-AE63-B421A75FC162}"/>
            </c:ext>
          </c:extLst>
        </c:ser>
        <c:dLbls>
          <c:showLegendKey val="0"/>
          <c:showVal val="0"/>
          <c:showCatName val="0"/>
          <c:showSerName val="0"/>
          <c:showPercent val="0"/>
          <c:showBubbleSize val="0"/>
        </c:dLbls>
        <c:gapWidth val="80"/>
        <c:overlap val="100"/>
        <c:axId val="642403424"/>
        <c:axId val="642400544"/>
      </c:barChart>
      <c:lineChart>
        <c:grouping val="standard"/>
        <c:varyColors val="0"/>
        <c:ser>
          <c:idx val="0"/>
          <c:order val="0"/>
          <c:tx>
            <c:strRef>
              <c:f>Sheet1!$C$1</c:f>
              <c:strCache>
                <c:ptCount val="1"/>
                <c:pt idx="0">
                  <c:v>Ընդամենը</c:v>
                </c:pt>
              </c:strCache>
            </c:strRef>
          </c:tx>
          <c:spPr>
            <a:ln w="28575" cap="rnd">
              <a:solidFill>
                <a:schemeClr val="tx1"/>
              </a:solidFill>
              <a:round/>
            </a:ln>
            <a:effectLst/>
          </c:spPr>
          <c:marker>
            <c:symbol val="none"/>
          </c:marker>
          <c:cat>
            <c:multiLvlStrRef>
              <c:f>Sheet1!$A$6:$B$27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Sheet1!$C$6:$C$27</c:f>
              <c:numCache>
                <c:formatCode>0.0</c:formatCode>
                <c:ptCount val="18"/>
                <c:pt idx="0">
                  <c:v>87.378249999999994</c:v>
                </c:pt>
                <c:pt idx="1">
                  <c:v>105.39613</c:v>
                </c:pt>
                <c:pt idx="2">
                  <c:v>236.86843999999999</c:v>
                </c:pt>
                <c:pt idx="3">
                  <c:v>144.69574</c:v>
                </c:pt>
                <c:pt idx="4">
                  <c:v>129.08414999999999</c:v>
                </c:pt>
                <c:pt idx="5">
                  <c:v>253.79799000000003</c:v>
                </c:pt>
                <c:pt idx="6">
                  <c:v>287.32923999999997</c:v>
                </c:pt>
                <c:pt idx="7">
                  <c:v>213.10290000000001</c:v>
                </c:pt>
                <c:pt idx="8">
                  <c:v>190.29342</c:v>
                </c:pt>
                <c:pt idx="9">
                  <c:v>803.63103000000001</c:v>
                </c:pt>
                <c:pt idx="10">
                  <c:v>735.61262999999997</c:v>
                </c:pt>
                <c:pt idx="11">
                  <c:v>854.10712999999998</c:v>
                </c:pt>
                <c:pt idx="12">
                  <c:v>553.18916000000002</c:v>
                </c:pt>
                <c:pt idx="13">
                  <c:v>344.49464</c:v>
                </c:pt>
                <c:pt idx="14">
                  <c:v>432.70051999999998</c:v>
                </c:pt>
                <c:pt idx="15">
                  <c:v>324.32833999999991</c:v>
                </c:pt>
                <c:pt idx="16">
                  <c:v>278.55971999999997</c:v>
                </c:pt>
                <c:pt idx="17">
                  <c:v>316.8485</c:v>
                </c:pt>
              </c:numCache>
            </c:numRef>
          </c:val>
          <c:smooth val="0"/>
          <c:extLst>
            <c:ext xmlns:c16="http://schemas.microsoft.com/office/drawing/2014/chart" uri="{C3380CC4-5D6E-409C-BE32-E72D297353CC}">
              <c16:uniqueId val="{00000002-F1FF-4A51-AE63-B421A75FC162}"/>
            </c:ext>
          </c:extLst>
        </c:ser>
        <c:dLbls>
          <c:showLegendKey val="0"/>
          <c:showVal val="0"/>
          <c:showCatName val="0"/>
          <c:showSerName val="0"/>
          <c:showPercent val="0"/>
          <c:showBubbleSize val="0"/>
        </c:dLbls>
        <c:marker val="1"/>
        <c:smooth val="0"/>
        <c:axId val="642403424"/>
        <c:axId val="642400544"/>
      </c:lineChart>
      <c:catAx>
        <c:axId val="64240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42400544"/>
        <c:crosses val="autoZero"/>
        <c:auto val="1"/>
        <c:lblAlgn val="ctr"/>
        <c:lblOffset val="100"/>
        <c:noMultiLvlLbl val="0"/>
      </c:catAx>
      <c:valAx>
        <c:axId val="6424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y-AM" b="1"/>
                  <a:t>մլն ԱՄՆ դոլար</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0.10017090405135821"/>
          <c:w val="0.75357257333983696"/>
          <c:h val="0.61565812560722732"/>
        </c:manualLayout>
      </c:layout>
      <c:barChart>
        <c:barDir val="col"/>
        <c:grouping val="stacked"/>
        <c:varyColors val="0"/>
        <c:ser>
          <c:idx val="1"/>
          <c:order val="0"/>
          <c:tx>
            <c:strRef>
              <c:f>Sheet1!$C$1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multiLvlStrRef>
              <c:f>Sheet1!$A$10:$B$27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Sheet1!$C$2:$C$27</c:f>
              <c:numCache>
                <c:formatCode>0.0</c:formatCode>
                <c:ptCount val="18"/>
                <c:pt idx="0">
                  <c:v>-28.478107999999992</c:v>
                </c:pt>
                <c:pt idx="1">
                  <c:v>4.258640000000014</c:v>
                </c:pt>
                <c:pt idx="2">
                  <c:v>5.1264299999999992</c:v>
                </c:pt>
                <c:pt idx="3">
                  <c:v>-90.218759999999975</c:v>
                </c:pt>
                <c:pt idx="4">
                  <c:v>-44.764182000000062</c:v>
                </c:pt>
                <c:pt idx="5">
                  <c:v>-47.872495999999956</c:v>
                </c:pt>
                <c:pt idx="6">
                  <c:v>-37.628922000000017</c:v>
                </c:pt>
                <c:pt idx="7">
                  <c:v>22.342673000000104</c:v>
                </c:pt>
                <c:pt idx="8">
                  <c:v>82.827041122292655</c:v>
                </c:pt>
                <c:pt idx="9">
                  <c:v>-50.18449343652253</c:v>
                </c:pt>
                <c:pt idx="10">
                  <c:v>-228.23183459037764</c:v>
                </c:pt>
                <c:pt idx="11">
                  <c:v>-326.58099857808588</c:v>
                </c:pt>
                <c:pt idx="12">
                  <c:v>-198.37948549629041</c:v>
                </c:pt>
                <c:pt idx="13">
                  <c:v>-28.113131581315599</c:v>
                </c:pt>
                <c:pt idx="14">
                  <c:v>-65.451362078463404</c:v>
                </c:pt>
                <c:pt idx="15">
                  <c:v>-277.075267131891</c:v>
                </c:pt>
                <c:pt idx="16">
                  <c:v>-316.72390526903308</c:v>
                </c:pt>
                <c:pt idx="17">
                  <c:v>-445.3869904856632</c:v>
                </c:pt>
              </c:numCache>
            </c:numRef>
          </c:val>
          <c:extLst>
            <c:ext xmlns:c16="http://schemas.microsoft.com/office/drawing/2014/chart" uri="{C3380CC4-5D6E-409C-BE32-E72D297353CC}">
              <c16:uniqueId val="{00000000-96E8-4BC1-9B51-A254B4BD2723}"/>
            </c:ext>
          </c:extLst>
        </c:ser>
        <c:ser>
          <c:idx val="2"/>
          <c:order val="1"/>
          <c:tx>
            <c:strRef>
              <c:f>Sheet1!$D$1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multiLvlStrRef>
              <c:f>Sheet1!$A$10:$B$27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Sheet1!$D$2:$D$27</c:f>
              <c:numCache>
                <c:formatCode>0.0</c:formatCode>
                <c:ptCount val="18"/>
                <c:pt idx="0">
                  <c:v>-57.345421499999993</c:v>
                </c:pt>
                <c:pt idx="1">
                  <c:v>-28.027285900000006</c:v>
                </c:pt>
                <c:pt idx="2">
                  <c:v>-27.659299799999985</c:v>
                </c:pt>
                <c:pt idx="3">
                  <c:v>-55.250605399999984</c:v>
                </c:pt>
                <c:pt idx="4">
                  <c:v>-37.588152999999991</c:v>
                </c:pt>
                <c:pt idx="5">
                  <c:v>-44.314930999999994</c:v>
                </c:pt>
                <c:pt idx="6">
                  <c:v>-3.6870990000000035</c:v>
                </c:pt>
                <c:pt idx="7">
                  <c:v>-47.701574000000008</c:v>
                </c:pt>
                <c:pt idx="8">
                  <c:v>38.055483617751023</c:v>
                </c:pt>
                <c:pt idx="9">
                  <c:v>-116.1097406218162</c:v>
                </c:pt>
                <c:pt idx="10">
                  <c:v>-151.48745476086947</c:v>
                </c:pt>
                <c:pt idx="11">
                  <c:v>-157.53865432476795</c:v>
                </c:pt>
                <c:pt idx="12">
                  <c:v>-174.38011295565173</c:v>
                </c:pt>
                <c:pt idx="13">
                  <c:v>-140.58972851489443</c:v>
                </c:pt>
                <c:pt idx="14">
                  <c:v>-123.25717668806097</c:v>
                </c:pt>
                <c:pt idx="15">
                  <c:v>-66.186420115155897</c:v>
                </c:pt>
                <c:pt idx="16">
                  <c:v>-260.11307755782582</c:v>
                </c:pt>
                <c:pt idx="17">
                  <c:v>-268.20698948128222</c:v>
                </c:pt>
              </c:numCache>
            </c:numRef>
          </c:val>
          <c:extLst>
            <c:ext xmlns:c16="http://schemas.microsoft.com/office/drawing/2014/chart" uri="{C3380CC4-5D6E-409C-BE32-E72D297353CC}">
              <c16:uniqueId val="{00000001-96E8-4BC1-9B51-A254B4BD2723}"/>
            </c:ext>
          </c:extLst>
        </c:ser>
        <c:ser>
          <c:idx val="3"/>
          <c:order val="2"/>
          <c:tx>
            <c:strRef>
              <c:f>Sheet1!$E$1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multiLvlStrRef>
              <c:f>Sheet1!$A$10:$B$27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Sheet1!$E$2:$E$27</c:f>
              <c:numCache>
                <c:formatCode>0.0</c:formatCode>
                <c:ptCount val="18"/>
                <c:pt idx="0">
                  <c:v>0</c:v>
                </c:pt>
                <c:pt idx="1">
                  <c:v>0</c:v>
                </c:pt>
                <c:pt idx="2">
                  <c:v>0</c:v>
                </c:pt>
                <c:pt idx="3">
                  <c:v>0</c:v>
                </c:pt>
                <c:pt idx="4">
                  <c:v>5.1814139999999966</c:v>
                </c:pt>
                <c:pt idx="5">
                  <c:v>56.355378999999999</c:v>
                </c:pt>
                <c:pt idx="6">
                  <c:v>9.5786869999999951</c:v>
                </c:pt>
                <c:pt idx="7">
                  <c:v>13.216616999999999</c:v>
                </c:pt>
                <c:pt idx="8">
                  <c:v>-31.598552698007609</c:v>
                </c:pt>
                <c:pt idx="9">
                  <c:v>190.46627119187258</c:v>
                </c:pt>
                <c:pt idx="10">
                  <c:v>423.24379297671146</c:v>
                </c:pt>
                <c:pt idx="11">
                  <c:v>550.39308050890099</c:v>
                </c:pt>
                <c:pt idx="12">
                  <c:v>436.38517693931055</c:v>
                </c:pt>
                <c:pt idx="13">
                  <c:v>376.39776191044848</c:v>
                </c:pt>
                <c:pt idx="14">
                  <c:v>295.20506021620588</c:v>
                </c:pt>
                <c:pt idx="15">
                  <c:v>329.02931109999389</c:v>
                </c:pt>
                <c:pt idx="16">
                  <c:v>510.11131165943925</c:v>
                </c:pt>
                <c:pt idx="17">
                  <c:v>756.80093481593372</c:v>
                </c:pt>
              </c:numCache>
            </c:numRef>
          </c:val>
          <c:extLst>
            <c:ext xmlns:c16="http://schemas.microsoft.com/office/drawing/2014/chart" uri="{C3380CC4-5D6E-409C-BE32-E72D297353CC}">
              <c16:uniqueId val="{00000002-96E8-4BC1-9B51-A254B4BD2723}"/>
            </c:ext>
          </c:extLst>
        </c:ser>
        <c:dLbls>
          <c:showLegendKey val="0"/>
          <c:showVal val="0"/>
          <c:showCatName val="0"/>
          <c:showSerName val="0"/>
          <c:showPercent val="0"/>
          <c:showBubbleSize val="0"/>
        </c:dLbls>
        <c:gapWidth val="100"/>
        <c:overlap val="100"/>
        <c:axId val="505862432"/>
        <c:axId val="505864952"/>
      </c:barChart>
      <c:lineChart>
        <c:grouping val="standard"/>
        <c:varyColors val="0"/>
        <c:ser>
          <c:idx val="4"/>
          <c:order val="3"/>
          <c:tx>
            <c:strRef>
              <c:f>Sheet1!$F$1</c:f>
              <c:strCache>
                <c:ptCount val="1"/>
                <c:pt idx="0">
                  <c:v>Զուտ առք</c:v>
                </c:pt>
              </c:strCache>
            </c:strRef>
          </c:tx>
          <c:spPr>
            <a:ln w="31750" cap="rnd">
              <a:solidFill>
                <a:sysClr val="windowText" lastClr="000000">
                  <a:lumMod val="95000"/>
                  <a:lumOff val="5000"/>
                </a:sysClr>
              </a:solidFill>
              <a:round/>
            </a:ln>
            <a:effectLst>
              <a:outerShdw blurRad="40000" dist="23000" dir="5400000" rotWithShape="0">
                <a:srgbClr val="000000">
                  <a:alpha val="35000"/>
                </a:srgbClr>
              </a:outerShdw>
            </a:effectLst>
          </c:spPr>
          <c:marker>
            <c:symbol val="none"/>
          </c:marker>
          <c:cat>
            <c:multiLvlStrRef>
              <c:f>Sheet1!$A$10:$B$29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Sheet1!$F$10:$F$27</c:f>
              <c:numCache>
                <c:formatCode>0</c:formatCode>
                <c:ptCount val="18"/>
                <c:pt idx="0">
                  <c:v>-85.823529499999978</c:v>
                </c:pt>
                <c:pt idx="1">
                  <c:v>-23.768645899999992</c:v>
                </c:pt>
                <c:pt idx="2">
                  <c:v>-22.532869799999986</c:v>
                </c:pt>
                <c:pt idx="3">
                  <c:v>-145.46936539999996</c:v>
                </c:pt>
                <c:pt idx="4">
                  <c:v>-77.17092100000005</c:v>
                </c:pt>
                <c:pt idx="5">
                  <c:v>-35.832047999999958</c:v>
                </c:pt>
                <c:pt idx="6">
                  <c:v>-31.737334000000025</c:v>
                </c:pt>
                <c:pt idx="7">
                  <c:v>-12.142283999999904</c:v>
                </c:pt>
                <c:pt idx="8">
                  <c:v>89.283972042036069</c:v>
                </c:pt>
                <c:pt idx="9">
                  <c:v>24.172037133533848</c:v>
                </c:pt>
                <c:pt idx="10">
                  <c:v>43.524503625464376</c:v>
                </c:pt>
                <c:pt idx="11">
                  <c:v>66.273427606047164</c:v>
                </c:pt>
                <c:pt idx="12">
                  <c:v>63.625578487368443</c:v>
                </c:pt>
                <c:pt idx="13">
                  <c:v>207.69490181423845</c:v>
                </c:pt>
                <c:pt idx="14">
                  <c:v>106.4965214496815</c:v>
                </c:pt>
                <c:pt idx="15">
                  <c:v>-14.232376147053003</c:v>
                </c:pt>
                <c:pt idx="16">
                  <c:v>-66.725671167419705</c:v>
                </c:pt>
                <c:pt idx="17">
                  <c:v>43.206954848988289</c:v>
                </c:pt>
              </c:numCache>
            </c:numRef>
          </c:val>
          <c:smooth val="0"/>
          <c:extLst>
            <c:ext xmlns:c16="http://schemas.microsoft.com/office/drawing/2014/chart" uri="{C3380CC4-5D6E-409C-BE32-E72D297353CC}">
              <c16:uniqueId val="{00000003-96E8-4BC1-9B51-A254B4BD2723}"/>
            </c:ext>
          </c:extLst>
        </c:ser>
        <c:dLbls>
          <c:showLegendKey val="0"/>
          <c:showVal val="0"/>
          <c:showCatName val="0"/>
          <c:showSerName val="0"/>
          <c:showPercent val="0"/>
          <c:showBubbleSize val="0"/>
        </c:dLbls>
        <c:marker val="1"/>
        <c:smooth val="0"/>
        <c:axId val="505862432"/>
        <c:axId val="505864952"/>
      </c:lineChart>
      <c:catAx>
        <c:axId val="505862432"/>
        <c:scaling>
          <c:orientation val="minMax"/>
        </c:scaling>
        <c:delete val="0"/>
        <c:axPos val="b"/>
        <c:numFmt formatCode="General" sourceLinked="1"/>
        <c:majorTickMark val="none"/>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alpha val="93000"/>
                  </a:schemeClr>
                </a:solidFill>
                <a:latin typeface="GHEA Grapalat" panose="02000506050000020003" pitchFamily="50" charset="0"/>
                <a:ea typeface="+mn-ea"/>
                <a:cs typeface="+mn-cs"/>
              </a:defRPr>
            </a:pPr>
            <a:endParaRPr lang="en-US"/>
          </a:p>
        </c:txPr>
        <c:crossAx val="505864952"/>
        <c:crosses val="autoZero"/>
        <c:auto val="0"/>
        <c:lblAlgn val="ctr"/>
        <c:lblOffset val="0"/>
        <c:noMultiLvlLbl val="0"/>
      </c:catAx>
      <c:valAx>
        <c:axId val="505864952"/>
        <c:scaling>
          <c:orientation val="minMax"/>
          <c:max val="800"/>
          <c:min val="-800"/>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05862432"/>
        <c:crosses val="autoZero"/>
        <c:crossBetween val="between"/>
        <c:majorUnit val="200"/>
      </c:valAx>
      <c:spPr>
        <a:solidFill>
          <a:schemeClr val="bg1"/>
        </a:solidFill>
        <a:ln>
          <a:solidFill>
            <a:sysClr val="window" lastClr="FFFFFF">
              <a:lumMod val="75000"/>
            </a:sysClr>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2.2306769175976897E-2"/>
          <c:y val="0.9160527585985454"/>
          <c:w val="0.93856750207109052"/>
          <c:h val="8.39472414014546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29303715429006E-2"/>
          <c:y val="9.0331207537105523E-2"/>
          <c:w val="0.83647402898167145"/>
          <c:h val="0.52294092072846721"/>
        </c:manualLayout>
      </c:layout>
      <c:barChart>
        <c:barDir val="col"/>
        <c:grouping val="stacked"/>
        <c:varyColors val="0"/>
        <c:ser>
          <c:idx val="0"/>
          <c:order val="0"/>
          <c:tx>
            <c:strRef>
              <c:f>Sheet1!$C$1</c:f>
              <c:strCache>
                <c:ptCount val="1"/>
                <c:pt idx="0">
                  <c:v>ԿԲ միջամտություն, զուտ առք </c:v>
                </c:pt>
              </c:strCache>
            </c:strRef>
          </c:tx>
          <c:spPr>
            <a:solidFill>
              <a:schemeClr val="accent1">
                <a:lumMod val="75000"/>
              </a:schemeClr>
            </a:solidFill>
            <a:ln>
              <a:noFill/>
            </a:ln>
            <a:effectLst/>
          </c:spPr>
          <c:invertIfNegative val="0"/>
          <c:cat>
            <c:multiLvlStrRef>
              <c:f>Sheet1!$A$231:$B$291</c:f>
              <c:multiLvlStrCache>
                <c:ptCount val="5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lvl>
                <c:lvl>
                  <c:pt idx="0">
                    <c:v>2020</c:v>
                  </c:pt>
                  <c:pt idx="12">
                    <c:v>2021</c:v>
                  </c:pt>
                  <c:pt idx="24">
                    <c:v>2022</c:v>
                  </c:pt>
                  <c:pt idx="36">
                    <c:v>2023</c:v>
                  </c:pt>
                  <c:pt idx="48">
                    <c:v>2024</c:v>
                  </c:pt>
                </c:lvl>
              </c:multiLvlStrCache>
            </c:multiLvlStrRef>
          </c:cat>
          <c:val>
            <c:numRef>
              <c:f>Sheet1!$C$3:$C$283</c:f>
              <c:numCache>
                <c:formatCode>0.0</c:formatCode>
                <c:ptCount val="53"/>
                <c:pt idx="0">
                  <c:v>37.799999999999997</c:v>
                </c:pt>
                <c:pt idx="1">
                  <c:v>20</c:v>
                </c:pt>
                <c:pt idx="2">
                  <c:v>-70</c:v>
                </c:pt>
                <c:pt idx="3">
                  <c:v>-23.9</c:v>
                </c:pt>
                <c:pt idx="4">
                  <c:v>0</c:v>
                </c:pt>
                <c:pt idx="5">
                  <c:v>0</c:v>
                </c:pt>
                <c:pt idx="6">
                  <c:v>0</c:v>
                </c:pt>
                <c:pt idx="7">
                  <c:v>0</c:v>
                </c:pt>
                <c:pt idx="8">
                  <c:v>0</c:v>
                </c:pt>
                <c:pt idx="9">
                  <c:v>0</c:v>
                </c:pt>
                <c:pt idx="10">
                  <c:v>-60</c:v>
                </c:pt>
                <c:pt idx="11">
                  <c:v>-50.85</c:v>
                </c:pt>
                <c:pt idx="12">
                  <c:v>-46.8</c:v>
                </c:pt>
                <c:pt idx="13">
                  <c:v>0</c:v>
                </c:pt>
                <c:pt idx="14">
                  <c:v>-34.799999999999997</c:v>
                </c:pt>
                <c:pt idx="15">
                  <c:v>-74.7</c:v>
                </c:pt>
                <c:pt idx="16">
                  <c:v>0</c:v>
                </c:pt>
                <c:pt idx="17">
                  <c:v>7</c:v>
                </c:pt>
                <c:pt idx="18">
                  <c:v>0</c:v>
                </c:pt>
                <c:pt idx="19">
                  <c:v>0</c:v>
                </c:pt>
                <c:pt idx="20">
                  <c:v>10</c:v>
                </c:pt>
                <c:pt idx="21">
                  <c:v>0</c:v>
                </c:pt>
                <c:pt idx="22">
                  <c:v>5</c:v>
                </c:pt>
                <c:pt idx="23">
                  <c:v>0</c:v>
                </c:pt>
                <c:pt idx="24">
                  <c:v>0</c:v>
                </c:pt>
                <c:pt idx="25">
                  <c:v>0</c:v>
                </c:pt>
                <c:pt idx="26">
                  <c:v>0</c:v>
                </c:pt>
                <c:pt idx="27">
                  <c:v>67</c:v>
                </c:pt>
                <c:pt idx="28">
                  <c:v>0</c:v>
                </c:pt>
                <c:pt idx="29">
                  <c:v>100</c:v>
                </c:pt>
                <c:pt idx="30">
                  <c:v>18.5</c:v>
                </c:pt>
                <c:pt idx="31">
                  <c:v>81.3</c:v>
                </c:pt>
                <c:pt idx="32">
                  <c:v>55</c:v>
                </c:pt>
                <c:pt idx="33">
                  <c:v>80</c:v>
                </c:pt>
                <c:pt idx="34">
                  <c:v>114.1</c:v>
                </c:pt>
                <c:pt idx="35">
                  <c:v>57.9</c:v>
                </c:pt>
                <c:pt idx="36">
                  <c:v>0</c:v>
                </c:pt>
                <c:pt idx="37">
                  <c:v>40</c:v>
                </c:pt>
                <c:pt idx="38">
                  <c:v>151.30000000000001</c:v>
                </c:pt>
                <c:pt idx="39">
                  <c:v>181.6</c:v>
                </c:pt>
                <c:pt idx="40">
                  <c:v>209.5</c:v>
                </c:pt>
                <c:pt idx="41">
                  <c:v>198.8</c:v>
                </c:pt>
                <c:pt idx="42">
                  <c:v>230</c:v>
                </c:pt>
                <c:pt idx="43">
                  <c:v>165.3</c:v>
                </c:pt>
                <c:pt idx="44">
                  <c:v>20</c:v>
                </c:pt>
                <c:pt idx="45">
                  <c:v>-50</c:v>
                </c:pt>
                <c:pt idx="46">
                  <c:v>0</c:v>
                </c:pt>
                <c:pt idx="47">
                  <c:v>0</c:v>
                </c:pt>
                <c:pt idx="48">
                  <c:v>0</c:v>
                </c:pt>
                <c:pt idx="49">
                  <c:v>0</c:v>
                </c:pt>
                <c:pt idx="50">
                  <c:v>0</c:v>
                </c:pt>
                <c:pt idx="51">
                  <c:v>20</c:v>
                </c:pt>
                <c:pt idx="52">
                  <c:v>136.5</c:v>
                </c:pt>
              </c:numCache>
            </c:numRef>
          </c:val>
          <c:extLst>
            <c:ext xmlns:c16="http://schemas.microsoft.com/office/drawing/2014/chart" uri="{C3380CC4-5D6E-409C-BE32-E72D297353CC}">
              <c16:uniqueId val="{00000000-8ABA-4554-B4E6-D0C3E4A308D3}"/>
            </c:ext>
          </c:extLst>
        </c:ser>
        <c:dLbls>
          <c:showLegendKey val="0"/>
          <c:showVal val="0"/>
          <c:showCatName val="0"/>
          <c:showSerName val="0"/>
          <c:showPercent val="0"/>
          <c:showBubbleSize val="0"/>
        </c:dLbls>
        <c:gapWidth val="82"/>
        <c:overlap val="78"/>
        <c:axId val="806771728"/>
        <c:axId val="1"/>
      </c:barChart>
      <c:lineChart>
        <c:grouping val="standard"/>
        <c:varyColors val="0"/>
        <c:ser>
          <c:idx val="1"/>
          <c:order val="1"/>
          <c:tx>
            <c:strRef>
              <c:f>Sheet1!$D$1</c:f>
              <c:strCache>
                <c:ptCount val="1"/>
                <c:pt idx="0">
                  <c:v>Դրամ/դոլար (աջ առանցք)</c:v>
                </c:pt>
              </c:strCache>
            </c:strRef>
          </c:tx>
          <c:spPr>
            <a:ln w="28575" cap="rnd">
              <a:solidFill>
                <a:schemeClr val="tx1">
                  <a:lumMod val="95000"/>
                  <a:lumOff val="5000"/>
                </a:schemeClr>
              </a:solidFill>
              <a:round/>
            </a:ln>
            <a:effectLst/>
          </c:spPr>
          <c:marker>
            <c:symbol val="none"/>
          </c:marker>
          <c:cat>
            <c:multiLvlStrRef>
              <c:f>Sheet1!$A$231:$B$283</c:f>
              <c:multiLvlStrCache>
                <c:ptCount val="5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lvl>
                <c:lvl>
                  <c:pt idx="0">
                    <c:v>2020</c:v>
                  </c:pt>
                  <c:pt idx="12">
                    <c:v>2021</c:v>
                  </c:pt>
                  <c:pt idx="24">
                    <c:v>2022</c:v>
                  </c:pt>
                  <c:pt idx="36">
                    <c:v>2023</c:v>
                  </c:pt>
                  <c:pt idx="48">
                    <c:v>2024</c:v>
                  </c:pt>
                </c:lvl>
              </c:multiLvlStrCache>
            </c:multiLvlStrRef>
          </c:cat>
          <c:val>
            <c:numRef>
              <c:f>Sheet1!$D$3:$D$283</c:f>
              <c:numCache>
                <c:formatCode>0.0</c:formatCode>
                <c:ptCount val="53"/>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c:v>395.89</c:v>
                </c:pt>
                <c:pt idx="37">
                  <c:v>393.45</c:v>
                </c:pt>
                <c:pt idx="38">
                  <c:v>388.44</c:v>
                </c:pt>
                <c:pt idx="39">
                  <c:v>387.74</c:v>
                </c:pt>
                <c:pt idx="40">
                  <c:v>386.56</c:v>
                </c:pt>
                <c:pt idx="41">
                  <c:v>386.67</c:v>
                </c:pt>
                <c:pt idx="42">
                  <c:v>386.54</c:v>
                </c:pt>
                <c:pt idx="43">
                  <c:v>386.17</c:v>
                </c:pt>
                <c:pt idx="44">
                  <c:v>386.94</c:v>
                </c:pt>
                <c:pt idx="45">
                  <c:v>404.33</c:v>
                </c:pt>
                <c:pt idx="46">
                  <c:v>402.52</c:v>
                </c:pt>
                <c:pt idx="47">
                  <c:v>404.47</c:v>
                </c:pt>
                <c:pt idx="48">
                  <c:v>404.96</c:v>
                </c:pt>
                <c:pt idx="49">
                  <c:v>404.27</c:v>
                </c:pt>
                <c:pt idx="50">
                  <c:v>400.42</c:v>
                </c:pt>
                <c:pt idx="51">
                  <c:v>390.99</c:v>
                </c:pt>
                <c:pt idx="52">
                  <c:v>387.82</c:v>
                </c:pt>
              </c:numCache>
            </c:numRef>
          </c:val>
          <c:smooth val="0"/>
          <c:extLst>
            <c:ext xmlns:c16="http://schemas.microsoft.com/office/drawing/2014/chart" uri="{C3380CC4-5D6E-409C-BE32-E72D297353CC}">
              <c16:uniqueId val="{00000001-8ABA-4554-B4E6-D0C3E4A308D3}"/>
            </c:ext>
          </c:extLst>
        </c:ser>
        <c:dLbls>
          <c:showLegendKey val="0"/>
          <c:showVal val="0"/>
          <c:showCatName val="0"/>
          <c:showSerName val="0"/>
          <c:showPercent val="0"/>
          <c:showBubbleSize val="0"/>
        </c:dLbls>
        <c:marker val="1"/>
        <c:smooth val="0"/>
        <c:axId val="540092544"/>
        <c:axId val="540084224"/>
      </c:lineChart>
      <c:catAx>
        <c:axId val="806771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in val="-1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771728"/>
        <c:crosses val="autoZero"/>
        <c:crossBetween val="between"/>
      </c:valAx>
      <c:valAx>
        <c:axId val="540084224"/>
        <c:scaling>
          <c:orientation val="minMax"/>
          <c:max val="550"/>
          <c:min val="37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40092544"/>
        <c:crosses val="max"/>
        <c:crossBetween val="between"/>
      </c:valAx>
      <c:catAx>
        <c:axId val="540092544"/>
        <c:scaling>
          <c:orientation val="minMax"/>
        </c:scaling>
        <c:delete val="1"/>
        <c:axPos val="b"/>
        <c:numFmt formatCode="General" sourceLinked="1"/>
        <c:majorTickMark val="out"/>
        <c:minorTickMark val="none"/>
        <c:tickLblPos val="nextTo"/>
        <c:crossAx val="540084224"/>
        <c:crosses val="autoZero"/>
        <c:auto val="1"/>
        <c:lblAlgn val="ctr"/>
        <c:lblOffset val="100"/>
        <c:noMultiLvlLbl val="0"/>
      </c:catAx>
      <c:spPr>
        <a:noFill/>
        <a:ln>
          <a:noFill/>
        </a:ln>
        <a:effectLst/>
      </c:spPr>
    </c:plotArea>
    <c:legend>
      <c:legendPos val="b"/>
      <c:layout>
        <c:manualLayout>
          <c:xMode val="edge"/>
          <c:yMode val="edge"/>
          <c:x val="2.2215555411962705E-2"/>
          <c:y val="0.83203001968503942"/>
          <c:w val="0.92821414615084019"/>
          <c:h val="0.1367199803149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60186772233581309"/>
        </c:manualLayout>
      </c:layout>
      <c:lineChart>
        <c:grouping val="standard"/>
        <c:varyColors val="0"/>
        <c:ser>
          <c:idx val="0"/>
          <c:order val="0"/>
          <c:tx>
            <c:strRef>
              <c:f>Sheet1!$C$1</c:f>
              <c:strCache>
                <c:ptCount val="1"/>
                <c:pt idx="0">
                  <c:v>Դոլար</c:v>
                </c:pt>
              </c:strCache>
            </c:strRef>
          </c:tx>
          <c:spPr>
            <a:ln w="28575" cap="rnd">
              <a:solidFill>
                <a:srgbClr val="1F497D"/>
              </a:solidFill>
              <a:round/>
            </a:ln>
            <a:effectLst/>
          </c:spPr>
          <c:marker>
            <c:symbol val="none"/>
          </c:marker>
          <c:cat>
            <c:multiLvlStrRef>
              <c:f>Sheet1!$A$2:$B$79</c:f>
              <c:multiLvlStrCache>
                <c:ptCount val="54"/>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lvl>
                <c:lvl>
                  <c:pt idx="0">
                    <c:v>2020</c:v>
                  </c:pt>
                  <c:pt idx="12">
                    <c:v>2021</c:v>
                  </c:pt>
                  <c:pt idx="24">
                    <c:v>2022</c:v>
                  </c:pt>
                  <c:pt idx="36">
                    <c:v>2023</c:v>
                  </c:pt>
                  <c:pt idx="48">
                    <c:v>2024</c:v>
                  </c:pt>
                </c:lvl>
              </c:multiLvlStrCache>
            </c:multiLvlStrRef>
          </c:cat>
          <c:val>
            <c:numRef>
              <c:f>Sheet1!$C$2:$C$79</c:f>
              <c:numCache>
                <c:formatCode>_(* #,##0_);_(* \(#,##0\);_(* "-"??_);_(@_)</c:formatCode>
                <c:ptCount val="54"/>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formatCode="0.0">
                  <c:v>395.89</c:v>
                </c:pt>
                <c:pt idx="37" formatCode="0.0">
                  <c:v>393.45</c:v>
                </c:pt>
                <c:pt idx="38" formatCode="0.0">
                  <c:v>388.44</c:v>
                </c:pt>
                <c:pt idx="39" formatCode="0.0">
                  <c:v>387.74</c:v>
                </c:pt>
                <c:pt idx="40" formatCode="0.0">
                  <c:v>386.56</c:v>
                </c:pt>
                <c:pt idx="41" formatCode="0.0">
                  <c:v>386.67</c:v>
                </c:pt>
                <c:pt idx="42" formatCode="0.0">
                  <c:v>386.54</c:v>
                </c:pt>
                <c:pt idx="43" formatCode="0.0">
                  <c:v>386.17</c:v>
                </c:pt>
                <c:pt idx="44" formatCode="0.0">
                  <c:v>386.94</c:v>
                </c:pt>
                <c:pt idx="45" formatCode="0.0">
                  <c:v>404.33</c:v>
                </c:pt>
                <c:pt idx="46" formatCode="0.0">
                  <c:v>402.52</c:v>
                </c:pt>
                <c:pt idx="47" formatCode="0.0">
                  <c:v>404.47</c:v>
                </c:pt>
                <c:pt idx="48" formatCode="0.0">
                  <c:v>404.96</c:v>
                </c:pt>
                <c:pt idx="49" formatCode="0.0">
                  <c:v>404.27</c:v>
                </c:pt>
                <c:pt idx="50" formatCode="0.0">
                  <c:v>400.42</c:v>
                </c:pt>
                <c:pt idx="51" formatCode="0.0">
                  <c:v>390.99</c:v>
                </c:pt>
                <c:pt idx="52" formatCode="0.0">
                  <c:v>387.82</c:v>
                </c:pt>
                <c:pt idx="53" formatCode="0.0">
                  <c:v>388.06</c:v>
                </c:pt>
              </c:numCache>
            </c:numRef>
          </c:val>
          <c:smooth val="0"/>
          <c:extLst>
            <c:ext xmlns:c16="http://schemas.microsoft.com/office/drawing/2014/chart" uri="{C3380CC4-5D6E-409C-BE32-E72D297353CC}">
              <c16:uniqueId val="{00000000-2EF0-40B2-BA87-41EE1D25F6E4}"/>
            </c:ext>
          </c:extLst>
        </c:ser>
        <c:ser>
          <c:idx val="1"/>
          <c:order val="1"/>
          <c:tx>
            <c:strRef>
              <c:f>Sheet1!$D$1</c:f>
              <c:strCache>
                <c:ptCount val="1"/>
                <c:pt idx="0">
                  <c:v>Եվրո</c:v>
                </c:pt>
              </c:strCache>
            </c:strRef>
          </c:tx>
          <c:spPr>
            <a:ln w="28575" cap="rnd">
              <a:solidFill>
                <a:srgbClr val="F79646">
                  <a:lumMod val="60000"/>
                  <a:lumOff val="40000"/>
                </a:srgbClr>
              </a:solidFill>
              <a:round/>
            </a:ln>
            <a:effectLst/>
          </c:spPr>
          <c:marker>
            <c:symbol val="none"/>
          </c:marker>
          <c:cat>
            <c:multiLvlStrRef>
              <c:f>Sheet1!$A$2:$B$79</c:f>
              <c:multiLvlStrCache>
                <c:ptCount val="54"/>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lvl>
                <c:lvl>
                  <c:pt idx="0">
                    <c:v>2020</c:v>
                  </c:pt>
                  <c:pt idx="12">
                    <c:v>2021</c:v>
                  </c:pt>
                  <c:pt idx="24">
                    <c:v>2022</c:v>
                  </c:pt>
                  <c:pt idx="36">
                    <c:v>2023</c:v>
                  </c:pt>
                  <c:pt idx="48">
                    <c:v>2024</c:v>
                  </c:pt>
                </c:lvl>
              </c:multiLvlStrCache>
            </c:multiLvlStrRef>
          </c:cat>
          <c:val>
            <c:numRef>
              <c:f>Sheet1!$D$2:$D$79</c:f>
              <c:numCache>
                <c:formatCode>_(* #,##0_);_(* \(#,##0\);_(* "-"??_);_(@_)</c:formatCode>
                <c:ptCount val="54"/>
                <c:pt idx="0">
                  <c:v>531.41</c:v>
                </c:pt>
                <c:pt idx="1">
                  <c:v>522.57000000000005</c:v>
                </c:pt>
                <c:pt idx="2">
                  <c:v>541.09</c:v>
                </c:pt>
                <c:pt idx="3">
                  <c:v>531.36</c:v>
                </c:pt>
                <c:pt idx="4">
                  <c:v>526.54</c:v>
                </c:pt>
                <c:pt idx="5">
                  <c:v>541.78</c:v>
                </c:pt>
                <c:pt idx="6">
                  <c:v>555.25</c:v>
                </c:pt>
                <c:pt idx="7">
                  <c:v>574.41</c:v>
                </c:pt>
                <c:pt idx="8">
                  <c:v>573.95000000000005</c:v>
                </c:pt>
                <c:pt idx="9">
                  <c:v>578.66999999999996</c:v>
                </c:pt>
                <c:pt idx="10">
                  <c:v>591.30999999999995</c:v>
                </c:pt>
                <c:pt idx="11">
                  <c:v>631.22</c:v>
                </c:pt>
                <c:pt idx="12">
                  <c:v>633.02</c:v>
                </c:pt>
                <c:pt idx="13">
                  <c:v>633.41999999999996</c:v>
                </c:pt>
                <c:pt idx="14">
                  <c:v>628.03</c:v>
                </c:pt>
                <c:pt idx="15">
                  <c:v>628.44000000000005</c:v>
                </c:pt>
                <c:pt idx="16">
                  <c:v>633.21</c:v>
                </c:pt>
                <c:pt idx="17">
                  <c:v>618.41999999999996</c:v>
                </c:pt>
                <c:pt idx="18">
                  <c:v>580.29</c:v>
                </c:pt>
                <c:pt idx="19">
                  <c:v>578.80999999999995</c:v>
                </c:pt>
                <c:pt idx="20">
                  <c:v>574.82000000000005</c:v>
                </c:pt>
                <c:pt idx="21">
                  <c:v>555.86</c:v>
                </c:pt>
                <c:pt idx="22">
                  <c:v>545.17999999999995</c:v>
                </c:pt>
                <c:pt idx="23">
                  <c:v>548.21</c:v>
                </c:pt>
                <c:pt idx="24">
                  <c:v>546.25</c:v>
                </c:pt>
                <c:pt idx="25">
                  <c:v>544.47</c:v>
                </c:pt>
                <c:pt idx="26">
                  <c:v>547.79999999999995</c:v>
                </c:pt>
                <c:pt idx="27">
                  <c:v>509.88</c:v>
                </c:pt>
                <c:pt idx="28">
                  <c:v>482.99</c:v>
                </c:pt>
                <c:pt idx="29">
                  <c:v>446.99</c:v>
                </c:pt>
                <c:pt idx="30">
                  <c:v>418.36</c:v>
                </c:pt>
                <c:pt idx="31">
                  <c:v>410.96</c:v>
                </c:pt>
                <c:pt idx="32">
                  <c:v>405.41</c:v>
                </c:pt>
                <c:pt idx="33">
                  <c:v>395.78</c:v>
                </c:pt>
                <c:pt idx="34">
                  <c:v>403.14</c:v>
                </c:pt>
                <c:pt idx="35">
                  <c:v>417.71</c:v>
                </c:pt>
                <c:pt idx="36" formatCode="0.0">
                  <c:v>427.28</c:v>
                </c:pt>
                <c:pt idx="37" formatCode="0.0">
                  <c:v>421.68</c:v>
                </c:pt>
                <c:pt idx="38" formatCode="0.0">
                  <c:v>416.08</c:v>
                </c:pt>
                <c:pt idx="39" formatCode="0.0">
                  <c:v>425.09</c:v>
                </c:pt>
                <c:pt idx="40" formatCode="0.0">
                  <c:v>419.8</c:v>
                </c:pt>
                <c:pt idx="41" formatCode="0.0">
                  <c:v>419.13</c:v>
                </c:pt>
                <c:pt idx="42" formatCode="0.0">
                  <c:v>427.81</c:v>
                </c:pt>
                <c:pt idx="43" formatCode="0.0">
                  <c:v>421.3</c:v>
                </c:pt>
                <c:pt idx="44" formatCode="0.0">
                  <c:v>413.53</c:v>
                </c:pt>
                <c:pt idx="45" formatCode="0.0">
                  <c:v>427.01</c:v>
                </c:pt>
                <c:pt idx="46" formatCode="0.0">
                  <c:v>434.88</c:v>
                </c:pt>
                <c:pt idx="47" formatCode="0.0">
                  <c:v>441.5</c:v>
                </c:pt>
                <c:pt idx="48" formatCode="0.0">
                  <c:v>441.39</c:v>
                </c:pt>
                <c:pt idx="49" formatCode="0.0">
                  <c:v>436.26</c:v>
                </c:pt>
                <c:pt idx="50" formatCode="0.0">
                  <c:v>435.1</c:v>
                </c:pt>
                <c:pt idx="51" formatCode="0.0">
                  <c:v>419.62</c:v>
                </c:pt>
                <c:pt idx="52" formatCode="0.0">
                  <c:v>419.36</c:v>
                </c:pt>
                <c:pt idx="53" formatCode="0.0">
                  <c:v>417.56</c:v>
                </c:pt>
              </c:numCache>
            </c:numRef>
          </c:val>
          <c:smooth val="0"/>
          <c:extLst>
            <c:ext xmlns:c16="http://schemas.microsoft.com/office/drawing/2014/chart" uri="{C3380CC4-5D6E-409C-BE32-E72D297353CC}">
              <c16:uniqueId val="{00000001-2EF0-40B2-BA87-41EE1D25F6E4}"/>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cat>
            <c:multiLvlStrRef>
              <c:f>Sheet1!$A$2:$B$79</c:f>
              <c:multiLvlStrCache>
                <c:ptCount val="54"/>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lvl>
                <c:lvl>
                  <c:pt idx="0">
                    <c:v>2020</c:v>
                  </c:pt>
                  <c:pt idx="12">
                    <c:v>2021</c:v>
                  </c:pt>
                  <c:pt idx="24">
                    <c:v>2022</c:v>
                  </c:pt>
                  <c:pt idx="36">
                    <c:v>2023</c:v>
                  </c:pt>
                  <c:pt idx="48">
                    <c:v>2024</c:v>
                  </c:pt>
                </c:lvl>
              </c:multiLvlStrCache>
            </c:multiLvlStrRef>
          </c:cat>
          <c:val>
            <c:numRef>
              <c:f>Sheet1!$E$2:$E$79</c:f>
              <c:numCache>
                <c:formatCode>_(* #,##0_);_(* \(#,##0\);_(* "-"??_);_(@_)</c:formatCode>
                <c:ptCount val="54"/>
                <c:pt idx="0">
                  <c:v>7.75</c:v>
                </c:pt>
                <c:pt idx="1">
                  <c:v>7.47</c:v>
                </c:pt>
                <c:pt idx="2">
                  <c:v>6.61</c:v>
                </c:pt>
                <c:pt idx="3">
                  <c:v>6.51</c:v>
                </c:pt>
                <c:pt idx="4">
                  <c:v>6.65</c:v>
                </c:pt>
                <c:pt idx="5">
                  <c:v>6.95</c:v>
                </c:pt>
                <c:pt idx="6">
                  <c:v>6.78</c:v>
                </c:pt>
                <c:pt idx="7">
                  <c:v>6.58</c:v>
                </c:pt>
                <c:pt idx="8">
                  <c:v>6.41</c:v>
                </c:pt>
                <c:pt idx="9">
                  <c:v>6.33</c:v>
                </c:pt>
                <c:pt idx="10">
                  <c:v>6.5</c:v>
                </c:pt>
                <c:pt idx="11">
                  <c:v>7</c:v>
                </c:pt>
                <c:pt idx="12">
                  <c:v>7.01</c:v>
                </c:pt>
                <c:pt idx="13">
                  <c:v>7.04</c:v>
                </c:pt>
                <c:pt idx="14">
                  <c:v>7.09</c:v>
                </c:pt>
                <c:pt idx="15">
                  <c:v>6.91</c:v>
                </c:pt>
                <c:pt idx="16">
                  <c:v>7.04</c:v>
                </c:pt>
                <c:pt idx="17">
                  <c:v>7.07</c:v>
                </c:pt>
                <c:pt idx="18">
                  <c:v>6.64</c:v>
                </c:pt>
                <c:pt idx="19">
                  <c:v>6.68</c:v>
                </c:pt>
                <c:pt idx="20">
                  <c:v>6.7</c:v>
                </c:pt>
                <c:pt idx="21">
                  <c:v>6.71</c:v>
                </c:pt>
                <c:pt idx="22">
                  <c:v>6.56</c:v>
                </c:pt>
                <c:pt idx="23">
                  <c:v>6.58</c:v>
                </c:pt>
                <c:pt idx="24">
                  <c:v>6.32</c:v>
                </c:pt>
                <c:pt idx="25">
                  <c:v>6.16</c:v>
                </c:pt>
                <c:pt idx="26">
                  <c:v>4.83</c:v>
                </c:pt>
                <c:pt idx="27">
                  <c:v>6.1</c:v>
                </c:pt>
                <c:pt idx="28">
                  <c:v>7.17</c:v>
                </c:pt>
                <c:pt idx="29">
                  <c:v>7.48</c:v>
                </c:pt>
                <c:pt idx="30">
                  <c:v>7.04</c:v>
                </c:pt>
                <c:pt idx="31">
                  <c:v>6.72</c:v>
                </c:pt>
                <c:pt idx="32">
                  <c:v>6.9</c:v>
                </c:pt>
                <c:pt idx="33">
                  <c:v>6.56</c:v>
                </c:pt>
                <c:pt idx="34">
                  <c:v>6.5</c:v>
                </c:pt>
                <c:pt idx="35">
                  <c:v>5.99</c:v>
                </c:pt>
                <c:pt idx="36" formatCode="0.0">
                  <c:v>5.71</c:v>
                </c:pt>
                <c:pt idx="37" formatCode="0.0">
                  <c:v>5.37</c:v>
                </c:pt>
                <c:pt idx="38" formatCode="0.0">
                  <c:v>5.0999999999999996</c:v>
                </c:pt>
                <c:pt idx="39" formatCode="0.0">
                  <c:v>4.78</c:v>
                </c:pt>
                <c:pt idx="40" formatCode="0.0">
                  <c:v>4.88</c:v>
                </c:pt>
                <c:pt idx="41" formatCode="0.0">
                  <c:v>4.63</c:v>
                </c:pt>
                <c:pt idx="42" formatCode="0.0">
                  <c:v>4.2699999999999996</c:v>
                </c:pt>
                <c:pt idx="43" formatCode="0.0">
                  <c:v>4.04</c:v>
                </c:pt>
                <c:pt idx="44" formatCode="0.0">
                  <c:v>4</c:v>
                </c:pt>
                <c:pt idx="45" formatCode="0.0">
                  <c:v>4.18</c:v>
                </c:pt>
                <c:pt idx="46" formatCode="0.0">
                  <c:v>4.46</c:v>
                </c:pt>
                <c:pt idx="47" formatCode="0.0">
                  <c:v>4.45</c:v>
                </c:pt>
                <c:pt idx="48" formatCode="0.0">
                  <c:v>4.54</c:v>
                </c:pt>
                <c:pt idx="49" formatCode="0.0">
                  <c:v>4.41</c:v>
                </c:pt>
                <c:pt idx="50" formatCode="0.0">
                  <c:v>4.3600000000000003</c:v>
                </c:pt>
                <c:pt idx="51" formatCode="0.0">
                  <c:v>4.2</c:v>
                </c:pt>
                <c:pt idx="52" formatCode="0.0">
                  <c:v>4.2699999999999996</c:v>
                </c:pt>
                <c:pt idx="53" formatCode="0.0">
                  <c:v>4.42</c:v>
                </c:pt>
              </c:numCache>
            </c:numRef>
          </c:val>
          <c:smooth val="0"/>
          <c:extLst>
            <c:ext xmlns:c16="http://schemas.microsoft.com/office/drawing/2014/chart" uri="{C3380CC4-5D6E-409C-BE32-E72D297353CC}">
              <c16:uniqueId val="{00000002-2EF0-40B2-BA87-41EE1D25F6E4}"/>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numFmt formatCode="General" sourceLinked="1"/>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2159240964444659E-2"/>
          <c:y val="0.90165372974786995"/>
          <c:w val="0.9"/>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277001145143021E-2"/>
          <c:y val="3.176785222289203E-2"/>
          <c:w val="0.81023035585859493"/>
          <c:h val="0.67027077416427916"/>
        </c:manualLayout>
      </c:layout>
      <c:lineChart>
        <c:grouping val="standard"/>
        <c:varyColors val="0"/>
        <c:ser>
          <c:idx val="0"/>
          <c:order val="0"/>
          <c:tx>
            <c:strRef>
              <c:f>Sheet1!$D$1</c:f>
              <c:strCache>
                <c:ptCount val="1"/>
                <c:pt idx="0">
                  <c:v>Անվանական</c:v>
                </c:pt>
              </c:strCache>
            </c:strRef>
          </c:tx>
          <c:spPr>
            <a:ln w="28575" cap="rnd">
              <a:solidFill>
                <a:srgbClr val="F79646">
                  <a:lumMod val="60000"/>
                  <a:lumOff val="40000"/>
                </a:srgbClr>
              </a:solidFill>
              <a:round/>
            </a:ln>
            <a:effectLst/>
          </c:spPr>
          <c:marker>
            <c:symbol val="none"/>
          </c:marker>
          <c:cat>
            <c:multiLvlStrRef>
              <c:f>Sheet1!$A$14:$B$66</c:f>
              <c:multiLvlStrCache>
                <c:ptCount val="5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lvl>
                <c:lvl>
                  <c:pt idx="0">
                    <c:v>2020</c:v>
                  </c:pt>
                  <c:pt idx="12">
                    <c:v>2021</c:v>
                  </c:pt>
                  <c:pt idx="24">
                    <c:v>2022</c:v>
                  </c:pt>
                  <c:pt idx="36">
                    <c:v>2023</c:v>
                  </c:pt>
                  <c:pt idx="48">
                    <c:v>2024</c:v>
                  </c:pt>
                </c:lvl>
              </c:multiLvlStrCache>
            </c:multiLvlStrRef>
          </c:cat>
          <c:val>
            <c:numRef>
              <c:f>Sheet1!$D$2:$D$66</c:f>
              <c:numCache>
                <c:formatCode>0.0</c:formatCode>
                <c:ptCount val="53"/>
                <c:pt idx="0">
                  <c:v>100</c:v>
                </c:pt>
                <c:pt idx="1">
                  <c:v>102.27676740051963</c:v>
                </c:pt>
                <c:pt idx="2">
                  <c:v>104.79283467797076</c:v>
                </c:pt>
                <c:pt idx="3">
                  <c:v>107.30890195542185</c:v>
                </c:pt>
                <c:pt idx="4">
                  <c:v>107.63024750444413</c:v>
                </c:pt>
                <c:pt idx="5">
                  <c:v>105.90045125119649</c:v>
                </c:pt>
                <c:pt idx="6">
                  <c:v>106.41323670176398</c:v>
                </c:pt>
                <c:pt idx="7">
                  <c:v>106.42007384110489</c:v>
                </c:pt>
                <c:pt idx="8">
                  <c:v>107.80801312730755</c:v>
                </c:pt>
                <c:pt idx="9">
                  <c:v>108.23875290578424</c:v>
                </c:pt>
                <c:pt idx="10">
                  <c:v>105.33296868590185</c:v>
                </c:pt>
                <c:pt idx="11">
                  <c:v>98.919731984137869</c:v>
                </c:pt>
                <c:pt idx="12">
                  <c:v>109.84548065089571</c:v>
                </c:pt>
                <c:pt idx="13">
                  <c:v>109.64036647066872</c:v>
                </c:pt>
                <c:pt idx="14">
                  <c:v>110.05743197046361</c:v>
                </c:pt>
                <c:pt idx="15">
                  <c:v>111.28811705182558</c:v>
                </c:pt>
                <c:pt idx="16">
                  <c:v>110.04375769178181</c:v>
                </c:pt>
                <c:pt idx="17">
                  <c:v>111.74620538766587</c:v>
                </c:pt>
                <c:pt idx="18">
                  <c:v>118.51497333515665</c:v>
                </c:pt>
                <c:pt idx="19">
                  <c:v>118.63120470395195</c:v>
                </c:pt>
                <c:pt idx="20">
                  <c:v>119.37645289211002</c:v>
                </c:pt>
                <c:pt idx="21">
                  <c:v>121.83098591549303</c:v>
                </c:pt>
                <c:pt idx="22">
                  <c:v>124.28551893887604</c:v>
                </c:pt>
                <c:pt idx="23">
                  <c:v>125.1333242171476</c:v>
                </c:pt>
                <c:pt idx="24">
                  <c:v>143.74401750307678</c:v>
                </c:pt>
                <c:pt idx="25">
                  <c:v>144.44140571584856</c:v>
                </c:pt>
                <c:pt idx="26">
                  <c:v>154.11595788322174</c:v>
                </c:pt>
                <c:pt idx="27">
                  <c:v>150.84780527827164</c:v>
                </c:pt>
                <c:pt idx="28">
                  <c:v>150.49227403254486</c:v>
                </c:pt>
                <c:pt idx="29">
                  <c:v>157.92424449610289</c:v>
                </c:pt>
                <c:pt idx="30">
                  <c:v>165.52714344318343</c:v>
                </c:pt>
                <c:pt idx="31">
                  <c:v>170.09435252290447</c:v>
                </c:pt>
                <c:pt idx="32">
                  <c:v>170.96266921919874</c:v>
                </c:pt>
                <c:pt idx="33">
                  <c:v>176.82893477369072</c:v>
                </c:pt>
                <c:pt idx="34">
                  <c:v>178.72965951046086</c:v>
                </c:pt>
                <c:pt idx="35">
                  <c:v>180.97907835361687</c:v>
                </c:pt>
                <c:pt idx="36">
                  <c:v>204.1227950225626</c:v>
                </c:pt>
                <c:pt idx="37">
                  <c:v>211.26760563380284</c:v>
                </c:pt>
                <c:pt idx="38">
                  <c:v>217.69451661424861</c:v>
                </c:pt>
                <c:pt idx="39">
                  <c:v>221.40024613701627</c:v>
                </c:pt>
                <c:pt idx="40">
                  <c:v>221.85833447285654</c:v>
                </c:pt>
                <c:pt idx="41">
                  <c:v>227.28702310953096</c:v>
                </c:pt>
                <c:pt idx="42">
                  <c:v>233.24217147545465</c:v>
                </c:pt>
                <c:pt idx="43">
                  <c:v>239.01271707917405</c:v>
                </c:pt>
                <c:pt idx="44">
                  <c:v>241.57664433201145</c:v>
                </c:pt>
                <c:pt idx="45">
                  <c:v>232.92082592643237</c:v>
                </c:pt>
                <c:pt idx="46">
                  <c:v>227.23916313414466</c:v>
                </c:pt>
                <c:pt idx="47">
                  <c:v>224.96923287296593</c:v>
                </c:pt>
                <c:pt idx="48">
                  <c:v>238.22644605497058</c:v>
                </c:pt>
                <c:pt idx="49">
                  <c:v>242.8551893887597</c:v>
                </c:pt>
                <c:pt idx="50">
                  <c:v>246.4378504033912</c:v>
                </c:pt>
                <c:pt idx="51">
                  <c:v>255.85942841515109</c:v>
                </c:pt>
                <c:pt idx="52">
                  <c:v>254.5740462190619</c:v>
                </c:pt>
              </c:numCache>
            </c:numRef>
          </c:val>
          <c:smooth val="0"/>
          <c:extLst>
            <c:ext xmlns:c16="http://schemas.microsoft.com/office/drawing/2014/chart" uri="{C3380CC4-5D6E-409C-BE32-E72D297353CC}">
              <c16:uniqueId val="{00000000-D426-4AAE-93CD-F6AD71597BCD}"/>
            </c:ext>
          </c:extLst>
        </c:ser>
        <c:ser>
          <c:idx val="1"/>
          <c:order val="1"/>
          <c:tx>
            <c:strRef>
              <c:f>Sheet1!$C$1</c:f>
              <c:strCache>
                <c:ptCount val="1"/>
                <c:pt idx="0">
                  <c:v>Իրական</c:v>
                </c:pt>
              </c:strCache>
            </c:strRef>
          </c:tx>
          <c:spPr>
            <a:ln w="28575" cap="rnd">
              <a:solidFill>
                <a:srgbClr val="1F497D"/>
              </a:solidFill>
              <a:round/>
            </a:ln>
            <a:effectLst/>
          </c:spPr>
          <c:marker>
            <c:symbol val="none"/>
          </c:marker>
          <c:cat>
            <c:multiLvlStrRef>
              <c:f>Sheet1!$A$14:$B$66</c:f>
              <c:multiLvlStrCache>
                <c:ptCount val="5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lvl>
                <c:lvl>
                  <c:pt idx="0">
                    <c:v>2020</c:v>
                  </c:pt>
                  <c:pt idx="12">
                    <c:v>2021</c:v>
                  </c:pt>
                  <c:pt idx="24">
                    <c:v>2022</c:v>
                  </c:pt>
                  <c:pt idx="36">
                    <c:v>2023</c:v>
                  </c:pt>
                  <c:pt idx="48">
                    <c:v>2024</c:v>
                  </c:pt>
                </c:lvl>
              </c:multiLvlStrCache>
            </c:multiLvlStrRef>
          </c:cat>
          <c:val>
            <c:numRef>
              <c:f>Sheet1!$C$14:$C$66</c:f>
              <c:numCache>
                <c:formatCode>0.0</c:formatCode>
                <c:ptCount val="53"/>
                <c:pt idx="0">
                  <c:v>100</c:v>
                </c:pt>
                <c:pt idx="1">
                  <c:v>101.80616029672633</c:v>
                </c:pt>
                <c:pt idx="2">
                  <c:v>104.64441219158199</c:v>
                </c:pt>
                <c:pt idx="3">
                  <c:v>107.80519271085308</c:v>
                </c:pt>
                <c:pt idx="4">
                  <c:v>107.82938235768422</c:v>
                </c:pt>
                <c:pt idx="5">
                  <c:v>104.26544105789387</c:v>
                </c:pt>
                <c:pt idx="6">
                  <c:v>102.24963715529751</c:v>
                </c:pt>
                <c:pt idx="7">
                  <c:v>101.76584421867437</c:v>
                </c:pt>
                <c:pt idx="8">
                  <c:v>102.62054507337524</c:v>
                </c:pt>
                <c:pt idx="9">
                  <c:v>102.83825189485566</c:v>
                </c:pt>
                <c:pt idx="10">
                  <c:v>100.92726979519432</c:v>
                </c:pt>
                <c:pt idx="11">
                  <c:v>97.387518142235123</c:v>
                </c:pt>
                <c:pt idx="12">
                  <c:v>108.20029027576197</c:v>
                </c:pt>
                <c:pt idx="13">
                  <c:v>107.90195129817771</c:v>
                </c:pt>
                <c:pt idx="14">
                  <c:v>108.65183034994357</c:v>
                </c:pt>
                <c:pt idx="15">
                  <c:v>110.61119174326723</c:v>
                </c:pt>
                <c:pt idx="16">
                  <c:v>108.45024995968393</c:v>
                </c:pt>
                <c:pt idx="17">
                  <c:v>108.65183034994357</c:v>
                </c:pt>
                <c:pt idx="18">
                  <c:v>114.07837445573296</c:v>
                </c:pt>
                <c:pt idx="19">
                  <c:v>114.1186905337849</c:v>
                </c:pt>
                <c:pt idx="20">
                  <c:v>114.00580551523949</c:v>
                </c:pt>
                <c:pt idx="21">
                  <c:v>115.83615545879699</c:v>
                </c:pt>
                <c:pt idx="22">
                  <c:v>119.14207385905502</c:v>
                </c:pt>
                <c:pt idx="23">
                  <c:v>120.60151588453479</c:v>
                </c:pt>
                <c:pt idx="24">
                  <c:v>137.94549266247387</c:v>
                </c:pt>
                <c:pt idx="25">
                  <c:v>137.18755039509762</c:v>
                </c:pt>
                <c:pt idx="26">
                  <c:v>144.07353652636678</c:v>
                </c:pt>
                <c:pt idx="27">
                  <c:v>142.25931301403006</c:v>
                </c:pt>
                <c:pt idx="28">
                  <c:v>141.08208353491378</c:v>
                </c:pt>
                <c:pt idx="29">
                  <c:v>146.83115626511858</c:v>
                </c:pt>
                <c:pt idx="30">
                  <c:v>151.16110304789558</c:v>
                </c:pt>
                <c:pt idx="31">
                  <c:v>155.10401548137406</c:v>
                </c:pt>
                <c:pt idx="32">
                  <c:v>155.74907273020489</c:v>
                </c:pt>
                <c:pt idx="33">
                  <c:v>160.28866311885187</c:v>
                </c:pt>
                <c:pt idx="34">
                  <c:v>163.25592646347371</c:v>
                </c:pt>
                <c:pt idx="35">
                  <c:v>166.59409772617329</c:v>
                </c:pt>
                <c:pt idx="36">
                  <c:v>186.97790678922763</c:v>
                </c:pt>
                <c:pt idx="37">
                  <c:v>192.48508305112091</c:v>
                </c:pt>
                <c:pt idx="38">
                  <c:v>196.79084018706672</c:v>
                </c:pt>
                <c:pt idx="39">
                  <c:v>198.282535074988</c:v>
                </c:pt>
                <c:pt idx="40">
                  <c:v>194.59764554104186</c:v>
                </c:pt>
                <c:pt idx="41">
                  <c:v>195.45234639574269</c:v>
                </c:pt>
                <c:pt idx="42">
                  <c:v>197.18593775197559</c:v>
                </c:pt>
                <c:pt idx="43">
                  <c:v>200.91920657958403</c:v>
                </c:pt>
                <c:pt idx="44">
                  <c:v>203.53168843734889</c:v>
                </c:pt>
                <c:pt idx="45">
                  <c:v>195.63780035478155</c:v>
                </c:pt>
                <c:pt idx="46">
                  <c:v>191.0095145944203</c:v>
                </c:pt>
                <c:pt idx="47">
                  <c:v>189.81615868408326</c:v>
                </c:pt>
                <c:pt idx="48">
                  <c:v>202.77374616997264</c:v>
                </c:pt>
                <c:pt idx="49">
                  <c:v>203.53168843734886</c:v>
                </c:pt>
                <c:pt idx="50">
                  <c:v>206.5553942912434</c:v>
                </c:pt>
                <c:pt idx="51">
                  <c:v>213.49782293178521</c:v>
                </c:pt>
                <c:pt idx="52">
                  <c:v>209.49846798903405</c:v>
                </c:pt>
              </c:numCache>
            </c:numRef>
          </c:val>
          <c:smooth val="0"/>
          <c:extLst>
            <c:ext xmlns:c16="http://schemas.microsoft.com/office/drawing/2014/chart" uri="{C3380CC4-5D6E-409C-BE32-E72D297353CC}">
              <c16:uniqueId val="{00000001-D426-4AAE-93CD-F6AD71597BCD}"/>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out"/>
        <c:minorTickMark val="none"/>
        <c:tickLblPos val="nextTo"/>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r>
                  <a:rPr lang="hy-AM" sz="700" b="0" i="0" baseline="0">
                    <a:effectLst/>
                  </a:rPr>
                  <a:t>Ինդեքս, 2020-ի հունվարը՝ 100</a:t>
                </a:r>
              </a:p>
              <a:p>
                <a:pPr>
                  <a:defRPr sz="700"/>
                </a:pPr>
                <a:endParaRPr lang="en-US" sz="700">
                  <a:effectLst/>
                </a:endParaRPr>
              </a:p>
            </c:rich>
          </c:tx>
          <c:layout>
            <c:manualLayout>
              <c:xMode val="edge"/>
              <c:yMode val="edge"/>
              <c:x val="0"/>
              <c:y val="7.0915444961644994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valAx>
      <c:spPr>
        <a:noFill/>
        <a:ln>
          <a:noFill/>
        </a:ln>
        <a:effectLst/>
      </c:spPr>
    </c:plotArea>
    <c:legend>
      <c:legendPos val="b"/>
      <c:layout>
        <c:manualLayout>
          <c:xMode val="edge"/>
          <c:yMode val="edge"/>
          <c:x val="0.11096003728659751"/>
          <c:y val="0.90165372974786995"/>
          <c:w val="0.64941585359454534"/>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2023</a:t>
            </a:r>
            <a:r>
              <a:rPr lang="hy-AM" b="0"/>
              <a:t>-</a:t>
            </a:r>
            <a:r>
              <a:rPr lang="en-US" b="0"/>
              <a:t>20</a:t>
            </a:r>
            <a:r>
              <a:rPr lang="hy-AM" b="0"/>
              <a:t>2</a:t>
            </a:r>
            <a:r>
              <a:rPr lang="en-US" b="0"/>
              <a:t>4թ</a:t>
            </a:r>
            <a:r>
              <a:rPr lang="hy-AM" b="0"/>
              <a:t>թ․</a:t>
            </a:r>
            <a:endParaRPr lang="en-US" b="0"/>
          </a:p>
        </c:rich>
      </c:tx>
      <c:layout>
        <c:manualLayout>
          <c:xMode val="edge"/>
          <c:yMode val="edge"/>
          <c:x val="0.20221481930143348"/>
          <c:y val="1.126496453654429E-2"/>
        </c:manualLayout>
      </c:layout>
      <c:overlay val="0"/>
    </c:title>
    <c:autoTitleDeleted val="0"/>
    <c:plotArea>
      <c:layout>
        <c:manualLayout>
          <c:layoutTarget val="inner"/>
          <c:xMode val="edge"/>
          <c:yMode val="edge"/>
          <c:x val="8.5340863004369355E-2"/>
          <c:y val="0.20323084614423198"/>
          <c:w val="0.90073842810465021"/>
          <c:h val="0.5323974397286834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660A-4458-A6CC-652A2667868F}"/>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660A-4458-A6CC-652A2667868F}"/>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660A-4458-A6CC-652A2667868F}"/>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660A-4458-A6CC-652A2667868F}"/>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660A-4458-A6CC-652A2667868F}"/>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pt idx="6">
                  <c:v>16.883404380594726</c:v>
                </c:pt>
                <c:pt idx="7">
                  <c:v>17.629339494834497</c:v>
                </c:pt>
                <c:pt idx="8">
                  <c:v>19.215322528481437</c:v>
                </c:pt>
                <c:pt idx="9">
                  <c:v>22.054267288082315</c:v>
                </c:pt>
                <c:pt idx="10">
                  <c:v>21.804821857535799</c:v>
                </c:pt>
                <c:pt idx="11">
                  <c:v>21.870825725868201</c:v>
                </c:pt>
              </c:numCache>
            </c:numRef>
          </c:val>
          <c:smooth val="0"/>
          <c:extLst>
            <c:ext xmlns:c16="http://schemas.microsoft.com/office/drawing/2014/chart" uri="{C3380CC4-5D6E-409C-BE32-E72D297353CC}">
              <c16:uniqueId val="{00000005-660A-4458-A6CC-652A2667868F}"/>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3.4985422740524783E-2"/>
                  <c:y val="-4.8511576626240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0A-4458-A6CC-652A2667868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7-660A-4458-A6CC-652A2667868F}"/>
            </c:ext>
          </c:extLst>
        </c:ser>
        <c:ser>
          <c:idx val="7"/>
          <c:order val="7"/>
          <c:tx>
            <c:strRef>
              <c:f>Sheet1!$I$1</c:f>
              <c:strCache>
                <c:ptCount val="1"/>
                <c:pt idx="0">
                  <c:v>2024</c:v>
                </c:pt>
              </c:strCache>
            </c:strRef>
          </c:tx>
          <c:spPr>
            <a:ln>
              <a:solidFill>
                <a:srgbClr val="1F497D">
                  <a:lumMod val="75000"/>
                </a:srgbClr>
              </a:solidFill>
            </a:ln>
          </c:spPr>
          <c:marker>
            <c:symbol val="circle"/>
            <c:size val="5"/>
            <c:spPr>
              <a:solidFill>
                <a:srgbClr val="1F497D">
                  <a:lumMod val="75000"/>
                </a:srgbClr>
              </a:solidFill>
              <a:ln cap="rnd">
                <a:solidFill>
                  <a:srgbClr val="1F497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21.7461730396967</c:v>
                </c:pt>
                <c:pt idx="1">
                  <c:v>21.688581007415905</c:v>
                </c:pt>
                <c:pt idx="2">
                  <c:v>19.73703043726529</c:v>
                </c:pt>
                <c:pt idx="3">
                  <c:v>19.857256752747858</c:v>
                </c:pt>
                <c:pt idx="4">
                  <c:v>20.004331439745982</c:v>
                </c:pt>
                <c:pt idx="5">
                  <c:v>20.312680484584988</c:v>
                </c:pt>
              </c:numCache>
            </c:numRef>
          </c:val>
          <c:smooth val="0"/>
          <c:extLst>
            <c:ext xmlns:c16="http://schemas.microsoft.com/office/drawing/2014/chart" uri="{C3380CC4-5D6E-409C-BE32-E72D297353CC}">
              <c16:uniqueId val="{00000008-660A-4458-A6CC-652A2667868F}"/>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txPr>
          <a:bodyPr/>
          <a:lstStyle/>
          <a:p>
            <a:pPr>
              <a:defRPr baseline="0">
                <a:solidFill>
                  <a:schemeClr val="tx1">
                    <a:lumMod val="65000"/>
                    <a:lumOff val="35000"/>
                  </a:schemeClr>
                </a:solidFill>
              </a:defRPr>
            </a:pPr>
            <a:endParaRPr lang="en-US"/>
          </a:p>
        </c:txPr>
        <c:crossAx val="341303296"/>
        <c:crosses val="autoZero"/>
        <c:auto val="1"/>
        <c:lblAlgn val="ctr"/>
        <c:lblOffset val="400"/>
        <c:noMultiLvlLbl val="0"/>
      </c:catAx>
      <c:valAx>
        <c:axId val="341303296"/>
        <c:scaling>
          <c:orientation val="minMax"/>
          <c:min val="0"/>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1285120"/>
        <c:crosses val="autoZero"/>
        <c:crossBetween val="between"/>
      </c:valAx>
    </c:plotArea>
    <c:legend>
      <c:legendPos val="r"/>
      <c:layout>
        <c:manualLayout>
          <c:xMode val="edge"/>
          <c:yMode val="edge"/>
          <c:x val="1.6617874688740833E-2"/>
          <c:y val="0.87151420172213689"/>
          <c:w val="0.85428417662303258"/>
          <c:h val="0.10540409059635418"/>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8575" cap="rnd">
              <a:solidFill>
                <a:srgbClr val="4F81BD"/>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Sheet1!$D$2:$D$79</c:f>
              <c:numCache>
                <c:formatCode>General</c:formatCode>
                <c:ptCount val="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pt idx="54">
                  <c:v>4.25</c:v>
                </c:pt>
                <c:pt idx="55">
                  <c:v>4.25</c:v>
                </c:pt>
                <c:pt idx="56">
                  <c:v>4.5</c:v>
                </c:pt>
                <c:pt idx="57" formatCode="0.0">
                  <c:v>4.5</c:v>
                </c:pt>
                <c:pt idx="58" formatCode="0.0">
                  <c:v>4.5</c:v>
                </c:pt>
                <c:pt idx="59" formatCode="0.0">
                  <c:v>4.5</c:v>
                </c:pt>
                <c:pt idx="60" formatCode="0.00">
                  <c:v>4.5</c:v>
                </c:pt>
                <c:pt idx="61" formatCode="0.00">
                  <c:v>4.5</c:v>
                </c:pt>
                <c:pt idx="62" formatCode="0.00">
                  <c:v>4.5</c:v>
                </c:pt>
                <c:pt idx="63" formatCode="0.00">
                  <c:v>4.5</c:v>
                </c:pt>
                <c:pt idx="64" formatCode="0.00">
                  <c:v>4.5</c:v>
                </c:pt>
                <c:pt idx="65" formatCode="0.00">
                  <c:v>4.25</c:v>
                </c:pt>
              </c:numCache>
            </c:numRef>
          </c:val>
          <c:smooth val="0"/>
          <c:extLst>
            <c:ext xmlns:c16="http://schemas.microsoft.com/office/drawing/2014/chart" uri="{C3380CC4-5D6E-409C-BE32-E72D297353CC}">
              <c16:uniqueId val="{00000000-DF94-4EB9-A5E1-F15DC05114D4}"/>
            </c:ext>
          </c:extLst>
        </c:ser>
        <c:ser>
          <c:idx val="1"/>
          <c:order val="1"/>
          <c:tx>
            <c:strRef>
              <c:f>Sheet1!$E$1</c:f>
              <c:strCache>
                <c:ptCount val="1"/>
                <c:pt idx="0">
                  <c:v>Չինաստան</c:v>
                </c:pt>
              </c:strCache>
            </c:strRef>
          </c:tx>
          <c:spPr>
            <a:ln w="28575" cap="rnd">
              <a:solidFill>
                <a:sysClr val="window" lastClr="FFFFFF">
                  <a:lumMod val="65000"/>
                </a:sys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Sheet1!$E$2:$E$79</c:f>
              <c:numCache>
                <c:formatCode>General</c:formatCode>
                <c:ptCount val="66"/>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pt idx="54">
                  <c:v>3.55</c:v>
                </c:pt>
                <c:pt idx="55">
                  <c:v>3.45</c:v>
                </c:pt>
                <c:pt idx="56">
                  <c:v>3.45</c:v>
                </c:pt>
                <c:pt idx="57" formatCode="0.0">
                  <c:v>3.45</c:v>
                </c:pt>
                <c:pt idx="58" formatCode="0.0">
                  <c:v>3.45</c:v>
                </c:pt>
                <c:pt idx="59" formatCode="0.0">
                  <c:v>3.45</c:v>
                </c:pt>
                <c:pt idx="60" formatCode="0.00">
                  <c:v>3.45</c:v>
                </c:pt>
                <c:pt idx="61" formatCode="0.00">
                  <c:v>3.45</c:v>
                </c:pt>
                <c:pt idx="62" formatCode="0.00">
                  <c:v>3.45</c:v>
                </c:pt>
                <c:pt idx="63" formatCode="0.00">
                  <c:v>3.45</c:v>
                </c:pt>
                <c:pt idx="64" formatCode="0.00">
                  <c:v>3.45</c:v>
                </c:pt>
                <c:pt idx="65" formatCode="0.00">
                  <c:v>3.45</c:v>
                </c:pt>
              </c:numCache>
            </c:numRef>
          </c:val>
          <c:smooth val="0"/>
          <c:extLst>
            <c:ext xmlns:c16="http://schemas.microsoft.com/office/drawing/2014/chart" uri="{C3380CC4-5D6E-409C-BE32-E72D297353CC}">
              <c16:uniqueId val="{00000001-DF94-4EB9-A5E1-F15DC05114D4}"/>
            </c:ext>
          </c:extLst>
        </c:ser>
        <c:ser>
          <c:idx val="2"/>
          <c:order val="2"/>
          <c:tx>
            <c:strRef>
              <c:f>Sheet1!$F$1</c:f>
              <c:strCache>
                <c:ptCount val="1"/>
                <c:pt idx="0">
                  <c:v>ՌԴ</c:v>
                </c:pt>
              </c:strCache>
            </c:strRef>
          </c:tx>
          <c:spPr>
            <a:ln w="28575" cap="rnd">
              <a:solidFill>
                <a:srgbClr val="F79646">
                  <a:lumMod val="60000"/>
                  <a:lumOff val="40000"/>
                </a:srgb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Sheet1!$F$2:$F$79</c:f>
              <c:numCache>
                <c:formatCode>General</c:formatCode>
                <c:ptCount val="66"/>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pt idx="54">
                  <c:v>8.5</c:v>
                </c:pt>
                <c:pt idx="55">
                  <c:v>12</c:v>
                </c:pt>
                <c:pt idx="56">
                  <c:v>13</c:v>
                </c:pt>
                <c:pt idx="57" formatCode="0.0">
                  <c:v>15</c:v>
                </c:pt>
                <c:pt idx="58" formatCode="0.0">
                  <c:v>15</c:v>
                </c:pt>
                <c:pt idx="59" formatCode="0.0">
                  <c:v>16</c:v>
                </c:pt>
                <c:pt idx="60" formatCode="0.0">
                  <c:v>16</c:v>
                </c:pt>
                <c:pt idx="61" formatCode="0.0">
                  <c:v>16</c:v>
                </c:pt>
                <c:pt idx="62" formatCode="0.0">
                  <c:v>16</c:v>
                </c:pt>
                <c:pt idx="63" formatCode="0.0">
                  <c:v>16</c:v>
                </c:pt>
                <c:pt idx="64" formatCode="0.0">
                  <c:v>16</c:v>
                </c:pt>
                <c:pt idx="65" formatCode="0.0">
                  <c:v>16</c:v>
                </c:pt>
              </c:numCache>
            </c:numRef>
          </c:val>
          <c:smooth val="0"/>
          <c:extLst>
            <c:ext xmlns:c16="http://schemas.microsoft.com/office/drawing/2014/chart" uri="{C3380CC4-5D6E-409C-BE32-E72D297353CC}">
              <c16:uniqueId val="{00000002-DF94-4EB9-A5E1-F15DC05114D4}"/>
            </c:ext>
          </c:extLst>
        </c:ser>
        <c:ser>
          <c:idx val="3"/>
          <c:order val="3"/>
          <c:tx>
            <c:strRef>
              <c:f>Sheet1!$C$1</c:f>
              <c:strCache>
                <c:ptCount val="1"/>
                <c:pt idx="0">
                  <c:v>ԱՄՆ</c:v>
                </c:pt>
              </c:strCache>
            </c:strRef>
          </c:tx>
          <c:spPr>
            <a:ln>
              <a:solidFill>
                <a:srgbClr val="1F497D"/>
              </a:solidFill>
            </a:ln>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Sheet1!$C$14:$C$79</c:f>
              <c:numCache>
                <c:formatCode>General</c:formatCode>
                <c:ptCount val="66"/>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pt idx="54">
                  <c:v>5.5</c:v>
                </c:pt>
                <c:pt idx="55">
                  <c:v>5.5</c:v>
                </c:pt>
                <c:pt idx="56">
                  <c:v>5.5</c:v>
                </c:pt>
                <c:pt idx="57" formatCode="0.0">
                  <c:v>5.5</c:v>
                </c:pt>
                <c:pt idx="58" formatCode="0.0">
                  <c:v>5.5</c:v>
                </c:pt>
                <c:pt idx="59" formatCode="0.0">
                  <c:v>5.5</c:v>
                </c:pt>
                <c:pt idx="60" formatCode="0.00">
                  <c:v>5.5</c:v>
                </c:pt>
                <c:pt idx="61" formatCode="0.00">
                  <c:v>5.5</c:v>
                </c:pt>
                <c:pt idx="62" formatCode="0.00">
                  <c:v>5.5</c:v>
                </c:pt>
                <c:pt idx="63" formatCode="0.00">
                  <c:v>5.5</c:v>
                </c:pt>
                <c:pt idx="64" formatCode="0.00">
                  <c:v>5.5</c:v>
                </c:pt>
                <c:pt idx="65" formatCode="0.00">
                  <c:v>5.5</c:v>
                </c:pt>
              </c:numCache>
            </c:numRef>
          </c:val>
          <c:smooth val="0"/>
          <c:extLst>
            <c:ext xmlns:c16="http://schemas.microsoft.com/office/drawing/2014/chart" uri="{C3380CC4-5D6E-409C-BE32-E72D297353CC}">
              <c16:uniqueId val="{00000003-DF94-4EB9-A5E1-F15DC05114D4}"/>
            </c:ext>
          </c:extLst>
        </c:ser>
        <c:dLbls>
          <c:showLegendKey val="0"/>
          <c:showVal val="0"/>
          <c:showCatName val="0"/>
          <c:showSerName val="0"/>
          <c:showPercent val="0"/>
          <c:showBubbleSize val="0"/>
        </c:dLbls>
        <c:smooth val="0"/>
        <c:axId val="-276763088"/>
        <c:axId val="-276759824"/>
      </c:lineChart>
      <c:catAx>
        <c:axId val="-276763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6759824"/>
        <c:crosses val="autoZero"/>
        <c:auto val="1"/>
        <c:lblAlgn val="ctr"/>
        <c:lblOffset val="100"/>
        <c:noMultiLvlLbl val="0"/>
      </c:catAx>
      <c:valAx>
        <c:axId val="-276759824"/>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67630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a:t>
            </a:r>
            <a:r>
              <a:rPr lang="en-US" b="0"/>
              <a:t>3</a:t>
            </a:r>
            <a:r>
              <a:rPr lang="hy-AM" b="0"/>
              <a:t>-</a:t>
            </a:r>
            <a:r>
              <a:rPr lang="en-US" b="0"/>
              <a:t>20</a:t>
            </a:r>
            <a:r>
              <a:rPr lang="hy-AM" b="0"/>
              <a:t>2</a:t>
            </a:r>
            <a:r>
              <a:rPr lang="en-US" b="0"/>
              <a:t>4թ</a:t>
            </a:r>
            <a:r>
              <a:rPr lang="hy-AM" b="0"/>
              <a:t>թ</a:t>
            </a:r>
            <a:r>
              <a:rPr lang="en-US" sz="1080" b="0" i="0" u="none" strike="noStrike" kern="1200" baseline="0">
                <a:solidFill>
                  <a:sysClr val="windowText" lastClr="000000"/>
                </a:solidFill>
                <a:latin typeface="GHEA Grapalat" panose="02000506050000020003" pitchFamily="50" charset="0"/>
                <a:ea typeface="+mn-ea"/>
                <a:cs typeface="+mn-cs"/>
              </a:rPr>
              <a:t>.</a:t>
            </a:r>
            <a:endParaRPr lang="en-US" b="0"/>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17416003264200577"/>
          <c:w val="0.83504548144718005"/>
          <c:h val="0.57392528800493114"/>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B78F-4403-B6E6-949127BDA635}"/>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B78F-4403-B6E6-949127BDA635}"/>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B78F-4403-B6E6-949127BDA635}"/>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B78F-4403-B6E6-949127BDA635}"/>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B78F-4403-B6E6-949127BDA635}"/>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pt idx="6">
                  <c:v>22.762002166903599</c:v>
                </c:pt>
                <c:pt idx="7">
                  <c:v>23.825631230822282</c:v>
                </c:pt>
                <c:pt idx="8">
                  <c:v>21.880080300159847</c:v>
                </c:pt>
                <c:pt idx="9">
                  <c:v>22.073369101418578</c:v>
                </c:pt>
                <c:pt idx="10">
                  <c:v>19.03535943270343</c:v>
                </c:pt>
                <c:pt idx="11">
                  <c:v>16.950953302033199</c:v>
                </c:pt>
              </c:numCache>
            </c:numRef>
          </c:val>
          <c:smooth val="0"/>
          <c:extLst>
            <c:ext xmlns:c16="http://schemas.microsoft.com/office/drawing/2014/chart" uri="{C3380CC4-5D6E-409C-BE32-E72D297353CC}">
              <c16:uniqueId val="{00000005-B78F-4403-B6E6-949127BDA635}"/>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6-B78F-4403-B6E6-949127BDA635}"/>
            </c:ext>
          </c:extLst>
        </c:ser>
        <c:ser>
          <c:idx val="7"/>
          <c:order val="7"/>
          <c:tx>
            <c:strRef>
              <c:f>Sheet1!$I$1</c:f>
              <c:strCache>
                <c:ptCount val="1"/>
                <c:pt idx="0">
                  <c:v>2024</c:v>
                </c:pt>
              </c:strCache>
            </c:strRef>
          </c:tx>
          <c:spPr>
            <a:ln>
              <a:solidFill>
                <a:srgbClr val="1F497D">
                  <a:lumMod val="75000"/>
                </a:srgbClr>
              </a:solidFill>
            </a:ln>
          </c:spPr>
          <c:marker>
            <c:symbol val="circle"/>
            <c:size val="5"/>
            <c:spPr>
              <a:solidFill>
                <a:srgbClr val="1F497D">
                  <a:lumMod val="75000"/>
                </a:srgbClr>
              </a:solidFill>
              <a:ln>
                <a:solidFill>
                  <a:srgbClr val="1F497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16.431630603305365</c:v>
                </c:pt>
                <c:pt idx="1">
                  <c:v>15.161210377500396</c:v>
                </c:pt>
                <c:pt idx="2">
                  <c:v>11.953406586701163</c:v>
                </c:pt>
                <c:pt idx="3">
                  <c:v>10.470692239672942</c:v>
                </c:pt>
                <c:pt idx="4">
                  <c:v>14.910124818629072</c:v>
                </c:pt>
                <c:pt idx="5">
                  <c:v>14.034599941619746</c:v>
                </c:pt>
              </c:numCache>
            </c:numRef>
          </c:val>
          <c:smooth val="0"/>
          <c:extLst>
            <c:ext xmlns:c16="http://schemas.microsoft.com/office/drawing/2014/chart" uri="{C3380CC4-5D6E-409C-BE32-E72D297353CC}">
              <c16:uniqueId val="{00000007-B78F-4403-B6E6-949127BDA635}"/>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baseline="0">
                <a:solidFill>
                  <a:schemeClr val="tx1">
                    <a:lumMod val="65000"/>
                    <a:lumOff val="35000"/>
                  </a:schemeClr>
                </a:solidFill>
              </a:defRPr>
            </a:pPr>
            <a:endParaRPr lang="en-US"/>
          </a:p>
        </c:txPr>
        <c:crossAx val="340390656"/>
        <c:crosses val="autoZero"/>
        <c:auto val="1"/>
        <c:lblAlgn val="ctr"/>
        <c:lblOffset val="100"/>
        <c:noMultiLvlLbl val="0"/>
      </c:catAx>
      <c:valAx>
        <c:axId val="340390656"/>
        <c:scaling>
          <c:orientation val="minMax"/>
          <c:max val="25"/>
          <c:min val="0"/>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0384768"/>
        <c:crosses val="autoZero"/>
        <c:crossBetween val="between"/>
      </c:valAx>
    </c:plotArea>
    <c:legend>
      <c:legendPos val="r"/>
      <c:layout>
        <c:manualLayout>
          <c:xMode val="edge"/>
          <c:yMode val="edge"/>
          <c:x val="5.5108189174799184E-2"/>
          <c:y val="0.86146975839706919"/>
          <c:w val="0.80344393112137757"/>
          <c:h val="9.6618947989825399E-2"/>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baseline="0">
                <a:solidFill>
                  <a:schemeClr val="tx1">
                    <a:lumMod val="65000"/>
                    <a:lumOff val="35000"/>
                  </a:schemeClr>
                </a:solidFill>
              </a:rPr>
              <a:t>Ռեզիդենտների վարկային պորտֆելը, մլրդ ՀՀ դրամ</a:t>
            </a:r>
            <a:endParaRPr lang="en-US" baseline="0">
              <a:solidFill>
                <a:schemeClr val="tx1">
                  <a:lumMod val="65000"/>
                  <a:lumOff val="35000"/>
                </a:schemeClr>
              </a:solidFill>
            </a:endParaRPr>
          </a:p>
        </c:rich>
      </c:tx>
      <c:layout>
        <c:manualLayout>
          <c:xMode val="edge"/>
          <c:yMode val="edge"/>
          <c:x val="0.17814659682631792"/>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3420457932444005"/>
          <c:y val="0.16673605986682757"/>
          <c:w val="0.77877690183579851"/>
          <c:h val="0.42008038962053668"/>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Sheet1!$H$2:$H$72</c:f>
              <c:numCache>
                <c:formatCode>General</c:formatCode>
                <c:ptCount val="16"/>
              </c:numCache>
            </c:numRef>
          </c:val>
          <c:extLst>
            <c:ext xmlns:c16="http://schemas.microsoft.com/office/drawing/2014/chart" uri="{C3380CC4-5D6E-409C-BE32-E72D297353CC}">
              <c16:uniqueId val="{00000000-BCA5-4E65-8DC2-BFEB05F055FB}"/>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Sheet1!$I$2:$I$72</c:f>
              <c:numCache>
                <c:formatCode>General</c:formatCode>
                <c:ptCount val="16"/>
              </c:numCache>
            </c:numRef>
          </c:val>
          <c:extLst>
            <c:ext xmlns:c16="http://schemas.microsoft.com/office/drawing/2014/chart" uri="{C3380CC4-5D6E-409C-BE32-E72D297353CC}">
              <c16:uniqueId val="{00000001-BCA5-4E65-8DC2-BFEB05F055FB}"/>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rgbClr val="4F81BD">
                <a:lumMod val="50000"/>
              </a:srgbClr>
            </a:solidFill>
            <a:ln>
              <a:noFill/>
            </a:ln>
            <a:effectLst/>
          </c:spPr>
          <c:invertIfNegative val="0"/>
          <c:cat>
            <c:multiLvlStrRef>
              <c:f>Sheet1!$A$16:$B$74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Sheet1!$C$2:$C$74</c:f>
              <c:numCache>
                <c:formatCode>0.0</c:formatCode>
                <c:ptCount val="18"/>
                <c:pt idx="0">
                  <c:v>1815.7468719999999</c:v>
                </c:pt>
                <c:pt idx="1">
                  <c:v>1836.2722710000003</c:v>
                </c:pt>
                <c:pt idx="2">
                  <c:v>1959.0920599999997</c:v>
                </c:pt>
                <c:pt idx="3">
                  <c:v>2091.3401699999999</c:v>
                </c:pt>
                <c:pt idx="4">
                  <c:v>2086.7286224722147</c:v>
                </c:pt>
                <c:pt idx="5">
                  <c:v>1966.5195811297567</c:v>
                </c:pt>
                <c:pt idx="6">
                  <c:v>1937.0785153998636</c:v>
                </c:pt>
                <c:pt idx="7">
                  <c:v>1942.037</c:v>
                </c:pt>
                <c:pt idx="8">
                  <c:v>2005.4380839999999</c:v>
                </c:pt>
                <c:pt idx="9">
                  <c:v>1886.193053</c:v>
                </c:pt>
                <c:pt idx="10">
                  <c:v>1865.018071</c:v>
                </c:pt>
                <c:pt idx="11">
                  <c:v>1896.1247096419504</c:v>
                </c:pt>
                <c:pt idx="12">
                  <c:v>1952.0819837726899</c:v>
                </c:pt>
                <c:pt idx="13">
                  <c:v>2003.9120680061151</c:v>
                </c:pt>
                <c:pt idx="14">
                  <c:v>2120.1880922250002</c:v>
                </c:pt>
                <c:pt idx="15">
                  <c:v>2284.7222884820003</c:v>
                </c:pt>
                <c:pt idx="16">
                  <c:v>2283.3755694280003</c:v>
                </c:pt>
                <c:pt idx="17">
                  <c:v>2399.4260355495999</c:v>
                </c:pt>
              </c:numCache>
            </c:numRef>
          </c:val>
          <c:extLst>
            <c:ext xmlns:c16="http://schemas.microsoft.com/office/drawing/2014/chart" uri="{C3380CC4-5D6E-409C-BE32-E72D297353CC}">
              <c16:uniqueId val="{00000002-BCA5-4E65-8DC2-BFEB05F055FB}"/>
            </c:ext>
          </c:extLst>
        </c:ser>
        <c:ser>
          <c:idx val="1"/>
          <c:order val="1"/>
          <c:tx>
            <c:strRef>
              <c:f>Sheet1!$D$1</c:f>
              <c:strCache>
                <c:ptCount val="1"/>
                <c:pt idx="0">
                  <c:v>Սպառողական վարկեր</c:v>
                </c:pt>
              </c:strCache>
            </c:strRef>
          </c:tx>
          <c:spPr>
            <a:solidFill>
              <a:srgbClr val="F79646">
                <a:lumMod val="60000"/>
                <a:lumOff val="40000"/>
              </a:srgbClr>
            </a:solidFill>
            <a:ln>
              <a:noFill/>
            </a:ln>
            <a:effectLst/>
          </c:spPr>
          <c:invertIfNegative val="0"/>
          <c:cat>
            <c:multiLvlStrRef>
              <c:f>Sheet1!$A$16:$B$74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Sheet1!$D$2:$D$74</c:f>
              <c:numCache>
                <c:formatCode>0.0</c:formatCode>
                <c:ptCount val="18"/>
                <c:pt idx="0">
                  <c:v>951.94207299999994</c:v>
                </c:pt>
                <c:pt idx="1">
                  <c:v>955.53028000000006</c:v>
                </c:pt>
                <c:pt idx="2">
                  <c:v>960.91446799999994</c:v>
                </c:pt>
                <c:pt idx="3">
                  <c:v>929.04224399999998</c:v>
                </c:pt>
                <c:pt idx="4">
                  <c:v>915.56433019917631</c:v>
                </c:pt>
                <c:pt idx="5">
                  <c:v>871.24731988103053</c:v>
                </c:pt>
                <c:pt idx="6">
                  <c:v>833.16175229414921</c:v>
                </c:pt>
                <c:pt idx="7">
                  <c:v>824.83699999999999</c:v>
                </c:pt>
                <c:pt idx="8">
                  <c:v>834.40724999999998</c:v>
                </c:pt>
                <c:pt idx="9">
                  <c:v>828.159403</c:v>
                </c:pt>
                <c:pt idx="10">
                  <c:v>837.56598800000006</c:v>
                </c:pt>
                <c:pt idx="11">
                  <c:v>895.46070828430993</c:v>
                </c:pt>
                <c:pt idx="12">
                  <c:v>928.58755423187995</c:v>
                </c:pt>
                <c:pt idx="13">
                  <c:v>962.64040905260003</c:v>
                </c:pt>
                <c:pt idx="14">
                  <c:v>1040.8464891979888</c:v>
                </c:pt>
                <c:pt idx="15">
                  <c:v>1085.6999280610123</c:v>
                </c:pt>
                <c:pt idx="16">
                  <c:v>1159.2858576850078</c:v>
                </c:pt>
                <c:pt idx="17">
                  <c:v>1246.2875722978001</c:v>
                </c:pt>
              </c:numCache>
            </c:numRef>
          </c:val>
          <c:extLst>
            <c:ext xmlns:c16="http://schemas.microsoft.com/office/drawing/2014/chart" uri="{C3380CC4-5D6E-409C-BE32-E72D297353CC}">
              <c16:uniqueId val="{00000003-BCA5-4E65-8DC2-BFEB05F055FB}"/>
            </c:ext>
          </c:extLst>
        </c:ser>
        <c:ser>
          <c:idx val="2"/>
          <c:order val="2"/>
          <c:tx>
            <c:strRef>
              <c:f>Sheet1!$E$1</c:f>
              <c:strCache>
                <c:ptCount val="1"/>
                <c:pt idx="0">
                  <c:v>Հիպոտեկային վարկեր</c:v>
                </c:pt>
              </c:strCache>
            </c:strRef>
          </c:tx>
          <c:spPr>
            <a:solidFill>
              <a:schemeClr val="accent3"/>
            </a:solidFill>
            <a:ln>
              <a:noFill/>
            </a:ln>
            <a:effectLst/>
          </c:spPr>
          <c:invertIfNegative val="0"/>
          <c:cat>
            <c:multiLvlStrRef>
              <c:f>Sheet1!$A$16:$B$74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Sheet1!$E$2:$E$74</c:f>
              <c:numCache>
                <c:formatCode>0.0</c:formatCode>
                <c:ptCount val="18"/>
                <c:pt idx="0">
                  <c:v>394.95331799999997</c:v>
                </c:pt>
                <c:pt idx="1">
                  <c:v>404.61893999999995</c:v>
                </c:pt>
                <c:pt idx="2">
                  <c:v>441.16723500000001</c:v>
                </c:pt>
                <c:pt idx="3">
                  <c:v>481.21191599999997</c:v>
                </c:pt>
                <c:pt idx="4">
                  <c:v>517.18580457345661</c:v>
                </c:pt>
                <c:pt idx="5">
                  <c:v>551.45232219393165</c:v>
                </c:pt>
                <c:pt idx="6">
                  <c:v>587.25406379402125</c:v>
                </c:pt>
                <c:pt idx="7">
                  <c:v>654.66800000000001</c:v>
                </c:pt>
                <c:pt idx="8">
                  <c:v>698.01737800000001</c:v>
                </c:pt>
                <c:pt idx="9">
                  <c:v>721.901929</c:v>
                </c:pt>
                <c:pt idx="10">
                  <c:v>780.3971140000001</c:v>
                </c:pt>
                <c:pt idx="11">
                  <c:v>849.39562202326942</c:v>
                </c:pt>
                <c:pt idx="12">
                  <c:v>897.7484755981593</c:v>
                </c:pt>
                <c:pt idx="13">
                  <c:v>958.98347913076861</c:v>
                </c:pt>
                <c:pt idx="14">
                  <c:v>996.39323869900204</c:v>
                </c:pt>
                <c:pt idx="15">
                  <c:v>1073.8172222169969</c:v>
                </c:pt>
                <c:pt idx="16">
                  <c:v>1112.6189246420022</c:v>
                </c:pt>
                <c:pt idx="17">
                  <c:v>1174.8212144912998</c:v>
                </c:pt>
              </c:numCache>
            </c:numRef>
          </c:val>
          <c:extLst>
            <c:ext xmlns:c16="http://schemas.microsoft.com/office/drawing/2014/chart" uri="{C3380CC4-5D6E-409C-BE32-E72D297353CC}">
              <c16:uniqueId val="{00000004-BCA5-4E65-8DC2-BFEB05F055FB}"/>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Sheet1!$F$2:$F$74</c:f>
              <c:numCache>
                <c:formatCode>0.0</c:formatCode>
                <c:ptCount val="18"/>
                <c:pt idx="0">
                  <c:v>248.97432500000002</c:v>
                </c:pt>
                <c:pt idx="1">
                  <c:v>258.95920799999999</c:v>
                </c:pt>
                <c:pt idx="2">
                  <c:v>256.17615900000004</c:v>
                </c:pt>
                <c:pt idx="3">
                  <c:v>233.249537</c:v>
                </c:pt>
                <c:pt idx="4">
                  <c:v>170.45870753685111</c:v>
                </c:pt>
                <c:pt idx="5">
                  <c:v>139.68690193375738</c:v>
                </c:pt>
                <c:pt idx="6">
                  <c:v>142.25712648839331</c:v>
                </c:pt>
                <c:pt idx="7">
                  <c:v>159.523</c:v>
                </c:pt>
                <c:pt idx="8">
                  <c:v>136.39778000000001</c:v>
                </c:pt>
                <c:pt idx="9">
                  <c:v>142.09570299999999</c:v>
                </c:pt>
                <c:pt idx="10">
                  <c:v>142.944087</c:v>
                </c:pt>
                <c:pt idx="11">
                  <c:v>154.99269228273002</c:v>
                </c:pt>
                <c:pt idx="12">
                  <c:v>166.44938810615997</c:v>
                </c:pt>
                <c:pt idx="13">
                  <c:v>180.29877700057</c:v>
                </c:pt>
                <c:pt idx="14">
                  <c:v>169.17829878299992</c:v>
                </c:pt>
                <c:pt idx="15">
                  <c:v>178.73143826099997</c:v>
                </c:pt>
                <c:pt idx="16">
                  <c:v>170.65163805700007</c:v>
                </c:pt>
                <c:pt idx="17">
                  <c:v>179.3579642233</c:v>
                </c:pt>
              </c:numCache>
            </c:numRef>
          </c:val>
          <c:extLst>
            <c:ext xmlns:c16="http://schemas.microsoft.com/office/drawing/2014/chart" uri="{C3380CC4-5D6E-409C-BE32-E72D297353CC}">
              <c16:uniqueId val="{00000005-BCA5-4E65-8DC2-BFEB05F055FB}"/>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Sheet1!$G$2:$G$74</c:f>
              <c:numCache>
                <c:formatCode>0.0</c:formatCode>
                <c:ptCount val="18"/>
                <c:pt idx="0">
                  <c:v>50.124039514743281</c:v>
                </c:pt>
                <c:pt idx="1">
                  <c:v>48.479425114185922</c:v>
                </c:pt>
                <c:pt idx="2">
                  <c:v>48.137841294526851</c:v>
                </c:pt>
                <c:pt idx="3">
                  <c:v>49.511987263652472</c:v>
                </c:pt>
                <c:pt idx="4">
                  <c:v>49.360514110896666</c:v>
                </c:pt>
                <c:pt idx="5">
                  <c:v>46.436641172828367</c:v>
                </c:pt>
                <c:pt idx="6">
                  <c:v>45.230440273230847</c:v>
                </c:pt>
                <c:pt idx="7">
                  <c:v>43.773631182802802</c:v>
                </c:pt>
                <c:pt idx="8">
                  <c:v>44.228337680079136</c:v>
                </c:pt>
                <c:pt idx="9">
                  <c:v>38.958793125140616</c:v>
                </c:pt>
                <c:pt idx="10">
                  <c:v>36.988487672147144</c:v>
                </c:pt>
                <c:pt idx="11">
                  <c:v>35.590459031217357</c:v>
                </c:pt>
                <c:pt idx="12">
                  <c:v>35.416563649843262</c:v>
                </c:pt>
                <c:pt idx="13">
                  <c:v>34.174308617877578</c:v>
                </c:pt>
                <c:pt idx="14">
                  <c:v>34.219620758329327</c:v>
                </c:pt>
                <c:pt idx="15">
                  <c:v>34.180210067466973</c:v>
                </c:pt>
                <c:pt idx="16">
                  <c:v>32.579081205192594</c:v>
                </c:pt>
                <c:pt idx="17">
                  <c:v>31.94218177826264</c:v>
                </c:pt>
              </c:numCache>
            </c:numRef>
          </c:val>
          <c:smooth val="0"/>
          <c:extLst>
            <c:ext xmlns:c16="http://schemas.microsoft.com/office/drawing/2014/chart" uri="{C3380CC4-5D6E-409C-BE32-E72D297353CC}">
              <c16:uniqueId val="{00000006-BCA5-4E65-8DC2-BFEB05F055FB}"/>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55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majorUnit val="1000"/>
        <c:minorUnit val="200"/>
      </c:valAx>
      <c:valAx>
        <c:axId val="791712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3568587278299147"/>
          <c:w val="0.98481843975110583"/>
          <c:h val="0.264314127217008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baseline="0">
                <a:solidFill>
                  <a:schemeClr val="tx1">
                    <a:lumMod val="65000"/>
                    <a:lumOff val="35000"/>
                  </a:schemeClr>
                </a:solidFill>
              </a:rPr>
              <a:t>Բանկերի ավանդային պորտֆելը, մլրդ ՀՀ դրամ</a:t>
            </a:r>
            <a:endParaRPr lang="en-US" baseline="0">
              <a:solidFill>
                <a:schemeClr val="tx1">
                  <a:lumMod val="65000"/>
                  <a:lumOff val="35000"/>
                </a:schemeClr>
              </a:solidFill>
            </a:endParaRPr>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69178058936281"/>
          <c:y val="0.16673603299587553"/>
          <c:w val="0.77961336761560229"/>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Sheet1!$F$2:$F$72</c:f>
              <c:numCache>
                <c:formatCode>General</c:formatCode>
                <c:ptCount val="16"/>
              </c:numCache>
            </c:numRef>
          </c:val>
          <c:extLst>
            <c:ext xmlns:c16="http://schemas.microsoft.com/office/drawing/2014/chart" uri="{C3380CC4-5D6E-409C-BE32-E72D297353CC}">
              <c16:uniqueId val="{00000000-22CC-4153-BA41-FCD2F3EBEA9B}"/>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rgbClr val="4F81BD">
                <a:lumMod val="50000"/>
              </a:srgbClr>
            </a:solidFill>
            <a:ln>
              <a:noFill/>
            </a:ln>
            <a:effectLst/>
          </c:spPr>
          <c:invertIfNegative val="0"/>
          <c:cat>
            <c:multiLvlStrRef>
              <c:f>Sheet1!$A$28:$B$74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Sheet1!$C$2:$C$74</c:f>
              <c:numCache>
                <c:formatCode>0.0</c:formatCode>
                <c:ptCount val="18"/>
                <c:pt idx="0">
                  <c:v>2540.5774855170202</c:v>
                </c:pt>
                <c:pt idx="1">
                  <c:v>2541.02599025066</c:v>
                </c:pt>
                <c:pt idx="2">
                  <c:v>2640.7820000000002</c:v>
                </c:pt>
                <c:pt idx="3">
                  <c:v>2675.0673828122303</c:v>
                </c:pt>
                <c:pt idx="4">
                  <c:v>2793.6608505633803</c:v>
                </c:pt>
                <c:pt idx="5">
                  <c:v>2836.3239767365799</c:v>
                </c:pt>
                <c:pt idx="6">
                  <c:v>2969.7320835893697</c:v>
                </c:pt>
                <c:pt idx="7">
                  <c:v>3144.9699810905099</c:v>
                </c:pt>
                <c:pt idx="8">
                  <c:v>3157.9293703593098</c:v>
                </c:pt>
                <c:pt idx="9">
                  <c:v>3127.58012159178</c:v>
                </c:pt>
                <c:pt idx="10">
                  <c:v>3359.6420501932998</c:v>
                </c:pt>
                <c:pt idx="11">
                  <c:v>3694.09499741116</c:v>
                </c:pt>
                <c:pt idx="12">
                  <c:v>3815.1625054040496</c:v>
                </c:pt>
                <c:pt idx="13">
                  <c:v>3876.1891963166695</c:v>
                </c:pt>
                <c:pt idx="14">
                  <c:v>4094.7344285735303</c:v>
                </c:pt>
                <c:pt idx="15">
                  <c:v>4320.2793153550701</c:v>
                </c:pt>
                <c:pt idx="16">
                  <c:v>4271.2043916183702</c:v>
                </c:pt>
                <c:pt idx="17">
                  <c:v>4420.1968430000006</c:v>
                </c:pt>
              </c:numCache>
            </c:numRef>
          </c:val>
          <c:extLst>
            <c:ext xmlns:c16="http://schemas.microsoft.com/office/drawing/2014/chart" uri="{C3380CC4-5D6E-409C-BE32-E72D297353CC}">
              <c16:uniqueId val="{00000001-22CC-4153-BA41-FCD2F3EBEA9B}"/>
            </c:ext>
          </c:extLst>
        </c:ser>
        <c:ser>
          <c:idx val="1"/>
          <c:order val="1"/>
          <c:tx>
            <c:strRef>
              <c:f>Sheet1!$D$1</c:f>
              <c:strCache>
                <c:ptCount val="1"/>
                <c:pt idx="0">
                  <c:v>Ոչ ռեզիդենտների ավանդներ</c:v>
                </c:pt>
              </c:strCache>
            </c:strRef>
          </c:tx>
          <c:spPr>
            <a:solidFill>
              <a:srgbClr val="F79646">
                <a:lumMod val="60000"/>
                <a:lumOff val="40000"/>
              </a:srgbClr>
            </a:solidFill>
            <a:ln>
              <a:noFill/>
            </a:ln>
            <a:effectLst/>
          </c:spPr>
          <c:invertIfNegative val="0"/>
          <c:cat>
            <c:multiLvlStrRef>
              <c:f>Sheet1!$A$28:$B$74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Sheet1!$D$2:$D$74</c:f>
              <c:numCache>
                <c:formatCode>0.0</c:formatCode>
                <c:ptCount val="18"/>
                <c:pt idx="0">
                  <c:v>988.57440186903023</c:v>
                </c:pt>
                <c:pt idx="1">
                  <c:v>915.01734963612</c:v>
                </c:pt>
                <c:pt idx="2">
                  <c:v>929.87400000000002</c:v>
                </c:pt>
                <c:pt idx="3">
                  <c:v>1033.95275626177</c:v>
                </c:pt>
                <c:pt idx="4">
                  <c:v>908.42658679641988</c:v>
                </c:pt>
                <c:pt idx="5">
                  <c:v>933.42867996081998</c:v>
                </c:pt>
                <c:pt idx="6">
                  <c:v>884.54700956330009</c:v>
                </c:pt>
                <c:pt idx="7">
                  <c:v>879.64579740889997</c:v>
                </c:pt>
                <c:pt idx="8">
                  <c:v>825.37567642600982</c:v>
                </c:pt>
                <c:pt idx="9">
                  <c:v>944.66289364885984</c:v>
                </c:pt>
                <c:pt idx="10">
                  <c:v>1121.91741065579</c:v>
                </c:pt>
                <c:pt idx="11">
                  <c:v>1428.48444855512</c:v>
                </c:pt>
                <c:pt idx="12">
                  <c:v>1276.6676620578501</c:v>
                </c:pt>
                <c:pt idx="13">
                  <c:v>1307.3610793673802</c:v>
                </c:pt>
                <c:pt idx="14">
                  <c:v>1286.03932946751</c:v>
                </c:pt>
                <c:pt idx="15">
                  <c:v>1356.88661356395</c:v>
                </c:pt>
                <c:pt idx="16">
                  <c:v>1436.6219000351498</c:v>
                </c:pt>
                <c:pt idx="17">
                  <c:v>1378.2836000000002</c:v>
                </c:pt>
              </c:numCache>
            </c:numRef>
          </c:val>
          <c:extLst>
            <c:ext xmlns:c16="http://schemas.microsoft.com/office/drawing/2014/chart" uri="{C3380CC4-5D6E-409C-BE32-E72D297353CC}">
              <c16:uniqueId val="{00000002-22CC-4153-BA41-FCD2F3EBEA9B}"/>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Sheet1!$E$2:$E$74</c:f>
              <c:numCache>
                <c:formatCode>0.0</c:formatCode>
                <c:ptCount val="18"/>
                <c:pt idx="0">
                  <c:v>56.983245785623971</c:v>
                </c:pt>
                <c:pt idx="1">
                  <c:v>54.046410207100045</c:v>
                </c:pt>
                <c:pt idx="2">
                  <c:v>53.378649147693693</c:v>
                </c:pt>
                <c:pt idx="3">
                  <c:v>54.464545081502891</c:v>
                </c:pt>
                <c:pt idx="4">
                  <c:v>53.22193901071163</c:v>
                </c:pt>
                <c:pt idx="5">
                  <c:v>52.148366016875549</c:v>
                </c:pt>
                <c:pt idx="6">
                  <c:v>51.044929965929676</c:v>
                </c:pt>
                <c:pt idx="7">
                  <c:v>50.002711393128706</c:v>
                </c:pt>
                <c:pt idx="8">
                  <c:v>50.387948204205976</c:v>
                </c:pt>
                <c:pt idx="9">
                  <c:v>50.383284880867492</c:v>
                </c:pt>
                <c:pt idx="10">
                  <c:v>53.173295648147914</c:v>
                </c:pt>
                <c:pt idx="11">
                  <c:v>55.144855057658283</c:v>
                </c:pt>
                <c:pt idx="12">
                  <c:v>53.570558762946419</c:v>
                </c:pt>
                <c:pt idx="13">
                  <c:v>51.683860715465279</c:v>
                </c:pt>
                <c:pt idx="14">
                  <c:v>51.092059603808224</c:v>
                </c:pt>
                <c:pt idx="15">
                  <c:v>50.503680746709556</c:v>
                </c:pt>
                <c:pt idx="16">
                  <c:v>50.649702322225679</c:v>
                </c:pt>
                <c:pt idx="17">
                  <c:v>49.819260707990281</c:v>
                </c:pt>
              </c:numCache>
            </c:numRef>
          </c:val>
          <c:smooth val="0"/>
          <c:extLst>
            <c:ext xmlns:c16="http://schemas.microsoft.com/office/drawing/2014/chart" uri="{C3380CC4-5D6E-409C-BE32-E72D297353CC}">
              <c16:uniqueId val="{00000003-22CC-4153-BA41-FCD2F3EBEA9B}"/>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57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35932771110286"/>
          <c:y val="0.14718253968253969"/>
          <c:w val="0.80886827297230834"/>
          <c:h val="0.46405993627863773"/>
        </c:manualLayout>
      </c:layou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Sheet1!$A$2:$A$12</c:f>
              <c:strCache>
                <c:ptCount val="7"/>
                <c:pt idx="0">
                  <c:v>2020</c:v>
                </c:pt>
                <c:pt idx="1">
                  <c:v>2021</c:v>
                </c:pt>
                <c:pt idx="2">
                  <c:v>2022</c:v>
                </c:pt>
                <c:pt idx="3">
                  <c:v>2023</c:v>
                </c:pt>
                <c:pt idx="5">
                  <c:v>2023   I կիս.</c:v>
                </c:pt>
                <c:pt idx="6">
                  <c:v>2024   I կիս.</c:v>
                </c:pt>
              </c:strCache>
            </c:strRef>
          </c:cat>
          <c:val>
            <c:numRef>
              <c:f>Sheet1!$B$2:$B$12</c:f>
            </c:numRef>
          </c:val>
          <c:extLst>
            <c:ext xmlns:c16="http://schemas.microsoft.com/office/drawing/2014/chart" uri="{C3380CC4-5D6E-409C-BE32-E72D297353CC}">
              <c16:uniqueId val="{00000000-818B-4BFB-8F17-D0906FB6791C}"/>
            </c:ext>
          </c:extLst>
        </c:ser>
        <c:ser>
          <c:idx val="1"/>
          <c:order val="1"/>
          <c:tx>
            <c:strRef>
              <c:f>Sheet1!$C$1</c:f>
              <c:strCache>
                <c:ptCount val="1"/>
                <c:pt idx="0">
                  <c:v>Տեղաբաշխված ծավալ</c:v>
                </c:pt>
              </c:strCache>
            </c:strRef>
          </c:tx>
          <c:spPr>
            <a:solidFill>
              <a:srgbClr val="F79646">
                <a:lumMod val="60000"/>
                <a:lumOff val="40000"/>
              </a:srgbClr>
            </a:solidFill>
            <a:ln>
              <a:noFill/>
            </a:ln>
            <a:effectLst/>
          </c:spPr>
          <c:invertIfNegative val="0"/>
          <c:cat>
            <c:strRef>
              <c:f>Sheet1!$A$2:$A$12</c:f>
              <c:strCache>
                <c:ptCount val="7"/>
                <c:pt idx="0">
                  <c:v>2020</c:v>
                </c:pt>
                <c:pt idx="1">
                  <c:v>2021</c:v>
                </c:pt>
                <c:pt idx="2">
                  <c:v>2022</c:v>
                </c:pt>
                <c:pt idx="3">
                  <c:v>2023</c:v>
                </c:pt>
                <c:pt idx="5">
                  <c:v>2023   I կիս.</c:v>
                </c:pt>
                <c:pt idx="6">
                  <c:v>2024   I կիս.</c:v>
                </c:pt>
              </c:strCache>
            </c:strRef>
          </c:cat>
          <c:val>
            <c:numRef>
              <c:f>Sheet1!$C$2:$C$12</c:f>
              <c:numCache>
                <c:formatCode>0.0</c:formatCode>
                <c:ptCount val="7"/>
                <c:pt idx="0">
                  <c:v>388.28811999999999</c:v>
                </c:pt>
                <c:pt idx="1">
                  <c:v>394.31375400000002</c:v>
                </c:pt>
                <c:pt idx="2">
                  <c:v>435.92769399999997</c:v>
                </c:pt>
                <c:pt idx="3">
                  <c:v>619.84177499999998</c:v>
                </c:pt>
                <c:pt idx="5">
                  <c:v>319.30486200000001</c:v>
                </c:pt>
                <c:pt idx="6">
                  <c:v>341.20633800000002</c:v>
                </c:pt>
              </c:numCache>
            </c:numRef>
          </c:val>
          <c:extLst>
            <c:ext xmlns:c16="http://schemas.microsoft.com/office/drawing/2014/chart" uri="{C3380CC4-5D6E-409C-BE32-E72D297353CC}">
              <c16:uniqueId val="{00000001-818B-4BFB-8F17-D0906FB6791C}"/>
            </c:ext>
          </c:extLst>
        </c:ser>
        <c:ser>
          <c:idx val="2"/>
          <c:order val="2"/>
          <c:tx>
            <c:strRef>
              <c:f>Sheet1!$D$1</c:f>
              <c:strCache>
                <c:ptCount val="1"/>
                <c:pt idx="0">
                  <c:v>Պահանջարկ</c:v>
                </c:pt>
              </c:strCache>
            </c:strRef>
          </c:tx>
          <c:spPr>
            <a:solidFill>
              <a:srgbClr val="4F81BD">
                <a:lumMod val="75000"/>
              </a:srgbClr>
            </a:solidFill>
            <a:ln>
              <a:noFill/>
            </a:ln>
            <a:effectLst/>
          </c:spPr>
          <c:invertIfNegative val="0"/>
          <c:cat>
            <c:strRef>
              <c:f>Sheet1!$A$2:$A$12</c:f>
              <c:strCache>
                <c:ptCount val="7"/>
                <c:pt idx="0">
                  <c:v>2020</c:v>
                </c:pt>
                <c:pt idx="1">
                  <c:v>2021</c:v>
                </c:pt>
                <c:pt idx="2">
                  <c:v>2022</c:v>
                </c:pt>
                <c:pt idx="3">
                  <c:v>2023</c:v>
                </c:pt>
                <c:pt idx="5">
                  <c:v>2023   I կիս.</c:v>
                </c:pt>
                <c:pt idx="6">
                  <c:v>2024   I կիս.</c:v>
                </c:pt>
              </c:strCache>
            </c:strRef>
          </c:cat>
          <c:val>
            <c:numRef>
              <c:f>Sheet1!$D$2:$D$12</c:f>
              <c:numCache>
                <c:formatCode>0.0</c:formatCode>
                <c:ptCount val="7"/>
                <c:pt idx="0">
                  <c:v>781.72255000000007</c:v>
                </c:pt>
                <c:pt idx="1">
                  <c:v>751.11215400000003</c:v>
                </c:pt>
                <c:pt idx="2">
                  <c:v>882.73538799999994</c:v>
                </c:pt>
                <c:pt idx="3">
                  <c:v>1302.8866459999999</c:v>
                </c:pt>
                <c:pt idx="5">
                  <c:v>676.35087899999996</c:v>
                </c:pt>
                <c:pt idx="6">
                  <c:v>647.63099899999997</c:v>
                </c:pt>
              </c:numCache>
            </c:numRef>
          </c:val>
          <c:extLst>
            <c:ext xmlns:c16="http://schemas.microsoft.com/office/drawing/2014/chart" uri="{C3380CC4-5D6E-409C-BE32-E72D297353CC}">
              <c16:uniqueId val="{00000002-818B-4BFB-8F17-D0906FB6791C}"/>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Sheet1!$A$2:$A$12</c:f>
              <c:strCache>
                <c:ptCount val="7"/>
                <c:pt idx="0">
                  <c:v>2020</c:v>
                </c:pt>
                <c:pt idx="1">
                  <c:v>2021</c:v>
                </c:pt>
                <c:pt idx="2">
                  <c:v>2022</c:v>
                </c:pt>
                <c:pt idx="3">
                  <c:v>2023</c:v>
                </c:pt>
                <c:pt idx="5">
                  <c:v>2023   I կիս.</c:v>
                </c:pt>
                <c:pt idx="6">
                  <c:v>2024   I կիս.</c:v>
                </c:pt>
              </c:strCache>
            </c:strRef>
          </c:cat>
          <c:val>
            <c:numRef>
              <c:f>Sheet1!$E$2:$E$12</c:f>
              <c:numCache>
                <c:formatCode>0.0</c:formatCode>
                <c:ptCount val="7"/>
                <c:pt idx="0">
                  <c:v>2.0132538435633829</c:v>
                </c:pt>
                <c:pt idx="1">
                  <c:v>1.9048591290072017</c:v>
                </c:pt>
                <c:pt idx="2">
                  <c:v>2.0249582675057116</c:v>
                </c:pt>
                <c:pt idx="3">
                  <c:v>2.1019664994344724</c:v>
                </c:pt>
                <c:pt idx="5">
                  <c:v>2.1181978713496692</c:v>
                </c:pt>
                <c:pt idx="6">
                  <c:v>1.898062629188324</c:v>
                </c:pt>
              </c:numCache>
            </c:numRef>
          </c:val>
          <c:smooth val="0"/>
          <c:extLst>
            <c:ext xmlns:c16="http://schemas.microsoft.com/office/drawing/2014/chart" uri="{C3380CC4-5D6E-409C-BE32-E72D297353CC}">
              <c16:uniqueId val="{00000003-818B-4BFB-8F17-D0906FB6791C}"/>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3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ayout>
        <c:manualLayout>
          <c:xMode val="edge"/>
          <c:yMode val="edge"/>
          <c:x val="0"/>
          <c:y val="0.70108951375565376"/>
          <c:w val="0.98900659462882512"/>
          <c:h val="0.28901891673684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Sheet1!$F$2:$F$35</c:f>
            </c:numRef>
          </c:val>
          <c:extLst>
            <c:ext xmlns:c16="http://schemas.microsoft.com/office/drawing/2014/chart" uri="{C3380CC4-5D6E-409C-BE32-E72D297353CC}">
              <c16:uniqueId val="{00000000-E1CE-4AF8-9422-0ACE94BA4E49}"/>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rgbClr val="4F81BD">
                  <a:lumMod val="75000"/>
                </a:srgbClr>
              </a:solidFill>
              <a:ln w="9525">
                <a:noFill/>
              </a:ln>
              <a:effectLst/>
            </c:spPr>
          </c:marker>
          <c:cat>
            <c:multiLvlStrRef>
              <c:f>Sheet1!$A$18:$B$35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Sheet1!$C$2:$C$35</c:f>
              <c:numCache>
                <c:formatCode>0.0</c:formatCode>
                <c:ptCount val="18"/>
                <c:pt idx="0">
                  <c:v>5.5882862733333338</c:v>
                </c:pt>
                <c:pt idx="1">
                  <c:v>5.7439622626262627</c:v>
                </c:pt>
                <c:pt idx="2">
                  <c:v>5.6253015530933972</c:v>
                </c:pt>
                <c:pt idx="3">
                  <c:v>5.9185325342230302</c:v>
                </c:pt>
                <c:pt idx="4">
                  <c:v>6.854926799557032</c:v>
                </c:pt>
                <c:pt idx="5">
                  <c:v>7.1024616710317856</c:v>
                </c:pt>
                <c:pt idx="6">
                  <c:v>8.1943352976190482</c:v>
                </c:pt>
                <c:pt idx="7">
                  <c:v>8.8495017574280173</c:v>
                </c:pt>
                <c:pt idx="8">
                  <c:v>9.3270733333333329</c:v>
                </c:pt>
                <c:pt idx="9">
                  <c:v>10.475233333333334</c:v>
                </c:pt>
                <c:pt idx="10">
                  <c:v>10.657266666666667</c:v>
                </c:pt>
                <c:pt idx="11">
                  <c:v>11.512319015843817</c:v>
                </c:pt>
                <c:pt idx="12">
                  <c:v>11.5479466989476</c:v>
                </c:pt>
                <c:pt idx="13">
                  <c:v>11.433027414054733</c:v>
                </c:pt>
                <c:pt idx="14">
                  <c:v>10.608063631255433</c:v>
                </c:pt>
                <c:pt idx="15">
                  <c:v>10.551300357902667</c:v>
                </c:pt>
                <c:pt idx="16">
                  <c:v>10.054723318047552</c:v>
                </c:pt>
                <c:pt idx="17">
                  <c:v>9.3135129381322042</c:v>
                </c:pt>
              </c:numCache>
            </c:numRef>
          </c:val>
          <c:smooth val="0"/>
          <c:extLst>
            <c:ext xmlns:c16="http://schemas.microsoft.com/office/drawing/2014/chart" uri="{C3380CC4-5D6E-409C-BE32-E72D297353CC}">
              <c16:uniqueId val="{00000001-E1CE-4AF8-9422-0ACE94BA4E49}"/>
            </c:ext>
          </c:extLst>
        </c:ser>
        <c:ser>
          <c:idx val="1"/>
          <c:order val="1"/>
          <c:tx>
            <c:strRef>
              <c:f>Sheet1!$D$1</c:f>
              <c:strCache>
                <c:ptCount val="1"/>
                <c:pt idx="0">
                  <c:v>Միջնաժամկետ ՊՊ</c:v>
                </c:pt>
              </c:strCache>
            </c:strRef>
          </c:tx>
          <c:spPr>
            <a:ln w="28575" cap="rnd">
              <a:noFill/>
              <a:round/>
            </a:ln>
            <a:effectLst/>
          </c:spPr>
          <c:marker>
            <c:symbol val="circle"/>
            <c:size val="5"/>
            <c:spPr>
              <a:solidFill>
                <a:srgbClr val="00B050"/>
              </a:solidFill>
              <a:ln w="9525">
                <a:solidFill>
                  <a:srgbClr val="9BBB59">
                    <a:lumMod val="75000"/>
                  </a:srgbClr>
                </a:solidFill>
              </a:ln>
              <a:effectLst/>
            </c:spPr>
          </c:marker>
          <c:cat>
            <c:multiLvlStrRef>
              <c:f>Sheet1!$A$18:$B$35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Sheet1!$D$2:$D$35</c:f>
              <c:numCache>
                <c:formatCode>0.0</c:formatCode>
                <c:ptCount val="18"/>
                <c:pt idx="0">
                  <c:v>6.4605499999999996</c:v>
                </c:pt>
                <c:pt idx="1">
                  <c:v>6.8927070247933884</c:v>
                </c:pt>
                <c:pt idx="2">
                  <c:v>6.6683294666666661</c:v>
                </c:pt>
                <c:pt idx="3">
                  <c:v>7.3491743822447475</c:v>
                </c:pt>
                <c:pt idx="4">
                  <c:v>8.0319500000000001</c:v>
                </c:pt>
                <c:pt idx="5">
                  <c:v>8.543099999999999</c:v>
                </c:pt>
                <c:pt idx="6">
                  <c:v>9.4789999999999992</c:v>
                </c:pt>
                <c:pt idx="7">
                  <c:v>9.7094333333333314</c:v>
                </c:pt>
                <c:pt idx="8">
                  <c:v>10.17895</c:v>
                </c:pt>
                <c:pt idx="9">
                  <c:v>11.088666666666667</c:v>
                </c:pt>
                <c:pt idx="10">
                  <c:v>11.286049999999999</c:v>
                </c:pt>
                <c:pt idx="11">
                  <c:v>11.808</c:v>
                </c:pt>
                <c:pt idx="12">
                  <c:v>11.9323200507901</c:v>
                </c:pt>
                <c:pt idx="13">
                  <c:v>11.442941876642301</c:v>
                </c:pt>
                <c:pt idx="14">
                  <c:v>10.649850000000001</c:v>
                </c:pt>
                <c:pt idx="15">
                  <c:v>10.843333333333334</c:v>
                </c:pt>
                <c:pt idx="16">
                  <c:v>10.05335</c:v>
                </c:pt>
                <c:pt idx="17">
                  <c:v>9.8924746060819988</c:v>
                </c:pt>
              </c:numCache>
            </c:numRef>
          </c:val>
          <c:smooth val="0"/>
          <c:extLst>
            <c:ext xmlns:c16="http://schemas.microsoft.com/office/drawing/2014/chart" uri="{C3380CC4-5D6E-409C-BE32-E72D297353CC}">
              <c16:uniqueId val="{00000002-E1CE-4AF8-9422-0ACE94BA4E49}"/>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rgbClr val="F79646"/>
              </a:solidFill>
              <a:ln w="9525">
                <a:solidFill>
                  <a:srgbClr val="F79646"/>
                </a:solidFill>
              </a:ln>
              <a:effectLst/>
            </c:spPr>
          </c:marker>
          <c:cat>
            <c:multiLvlStrRef>
              <c:f>Sheet1!$A$18:$B$35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Sheet1!$E$2:$E$35</c:f>
              <c:numCache>
                <c:formatCode>0.0</c:formatCode>
                <c:ptCount val="18"/>
                <c:pt idx="0">
                  <c:v>8.1011000000000006</c:v>
                </c:pt>
                <c:pt idx="1">
                  <c:v>9.3685051678535718</c:v>
                </c:pt>
                <c:pt idx="2">
                  <c:v>7.9247801446342399</c:v>
                </c:pt>
                <c:pt idx="3">
                  <c:v>9.0678438931297709</c:v>
                </c:pt>
                <c:pt idx="4">
                  <c:v>9.681431525610396</c:v>
                </c:pt>
                <c:pt idx="5">
                  <c:v>9.8704542865300873</c:v>
                </c:pt>
                <c:pt idx="6">
                  <c:v>9.9131</c:v>
                </c:pt>
                <c:pt idx="7">
                  <c:v>10.289874523669795</c:v>
                </c:pt>
                <c:pt idx="8">
                  <c:v>10.6031</c:v>
                </c:pt>
                <c:pt idx="9">
                  <c:v>11.6937</c:v>
                </c:pt>
                <c:pt idx="10">
                  <c:v>11.8903</c:v>
                </c:pt>
                <c:pt idx="12">
                  <c:v>11.9801</c:v>
                </c:pt>
                <c:pt idx="13">
                  <c:v>11.785450025631398</c:v>
                </c:pt>
                <c:pt idx="14">
                  <c:v>11.116300000000001</c:v>
                </c:pt>
                <c:pt idx="15">
                  <c:v>10.855047819566405</c:v>
                </c:pt>
                <c:pt idx="16">
                  <c:v>10.952400000000001</c:v>
                </c:pt>
                <c:pt idx="17">
                  <c:v>9.887399567256292</c:v>
                </c:pt>
              </c:numCache>
            </c:numRef>
          </c:val>
          <c:smooth val="0"/>
          <c:extLst>
            <c:ext xmlns:c16="http://schemas.microsoft.com/office/drawing/2014/chart" uri="{C3380CC4-5D6E-409C-BE32-E72D297353CC}">
              <c16:uniqueId val="{00000003-E1CE-4AF8-9422-0ACE94BA4E49}"/>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9.2693925803374932E-2"/>
          <c:y val="0.15405761779777527"/>
          <c:w val="0.83901202863166213"/>
          <c:h val="0.47725147366502008"/>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Sheet1!$C$16:$C$67</c:f>
            </c:numRef>
          </c:val>
          <c:smooth val="0"/>
          <c:extLst>
            <c:ext xmlns:c16="http://schemas.microsoft.com/office/drawing/2014/chart" uri="{C3380CC4-5D6E-409C-BE32-E72D297353CC}">
              <c16:uniqueId val="{00000000-6509-403B-A68D-E78F2B172F6B}"/>
            </c:ext>
          </c:extLst>
        </c:ser>
        <c:ser>
          <c:idx val="1"/>
          <c:order val="1"/>
          <c:tx>
            <c:strRef>
              <c:f>Sheet1!$D$1</c:f>
              <c:strCache>
                <c:ptCount val="1"/>
                <c:pt idx="0">
                  <c:v>2025թ. մարվող պարտատոմսեր</c:v>
                </c:pt>
              </c:strCache>
            </c:strRef>
          </c:tx>
          <c:spPr>
            <a:ln w="28575" cap="rnd">
              <a:solidFill>
                <a:srgbClr val="F79646">
                  <a:lumMod val="60000"/>
                  <a:lumOff val="40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Sheet1!$D$16:$D$71</c:f>
              <c:numCache>
                <c:formatCode>0.0</c:formatCode>
                <c:ptCount val="18"/>
                <c:pt idx="0">
                  <c:v>5.1645909090909088</c:v>
                </c:pt>
                <c:pt idx="1">
                  <c:v>3.9795454545454545</c:v>
                </c:pt>
                <c:pt idx="2">
                  <c:v>3.6502727272727271</c:v>
                </c:pt>
                <c:pt idx="3">
                  <c:v>3.5371818181818182</c:v>
                </c:pt>
                <c:pt idx="4">
                  <c:v>4.046347826086957</c:v>
                </c:pt>
                <c:pt idx="5">
                  <c:v>3.4342272727272727</c:v>
                </c:pt>
                <c:pt idx="6">
                  <c:v>2.6846818181818177</c:v>
                </c:pt>
                <c:pt idx="7">
                  <c:v>3.1654285714285715</c:v>
                </c:pt>
                <c:pt idx="8">
                  <c:v>7.4899130434782624</c:v>
                </c:pt>
                <c:pt idx="9">
                  <c:v>7.4219500000000007</c:v>
                </c:pt>
                <c:pt idx="10">
                  <c:v>7.4047000000000001</c:v>
                </c:pt>
                <c:pt idx="11">
                  <c:v>6.4584761904761896</c:v>
                </c:pt>
                <c:pt idx="12">
                  <c:v>6.3918695652173918</c:v>
                </c:pt>
                <c:pt idx="13">
                  <c:v>6.3964999999999996</c:v>
                </c:pt>
                <c:pt idx="14">
                  <c:v>6.4304615384615404</c:v>
                </c:pt>
                <c:pt idx="15">
                  <c:v>6.0984603174603169</c:v>
                </c:pt>
                <c:pt idx="16">
                  <c:v>5.9378360655737712</c:v>
                </c:pt>
                <c:pt idx="17">
                  <c:v>6.0319841269841268</c:v>
                </c:pt>
              </c:numCache>
            </c:numRef>
          </c:val>
          <c:smooth val="0"/>
          <c:extLst>
            <c:ext xmlns:c16="http://schemas.microsoft.com/office/drawing/2014/chart" uri="{C3380CC4-5D6E-409C-BE32-E72D297353CC}">
              <c16:uniqueId val="{00000001-6509-403B-A68D-E78F2B172F6B}"/>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Sheet1!$E$16:$E$71</c:f>
              <c:numCache>
                <c:formatCode>0.0</c:formatCode>
                <c:ptCount val="18"/>
                <c:pt idx="0">
                  <c:v>4.9182272727272718</c:v>
                </c:pt>
                <c:pt idx="1">
                  <c:v>4.1830000000000007</c:v>
                </c:pt>
                <c:pt idx="2">
                  <c:v>3.7706363636363633</c:v>
                </c:pt>
                <c:pt idx="3">
                  <c:v>3.9598636363636364</c:v>
                </c:pt>
                <c:pt idx="4">
                  <c:v>4.4904782608695655</c:v>
                </c:pt>
                <c:pt idx="5">
                  <c:v>4.2633181818181818</c:v>
                </c:pt>
                <c:pt idx="6">
                  <c:v>4.0162272727272734</c:v>
                </c:pt>
                <c:pt idx="7">
                  <c:v>4.3866190476190461</c:v>
                </c:pt>
                <c:pt idx="8">
                  <c:v>6.8682173913043476</c:v>
                </c:pt>
                <c:pt idx="9">
                  <c:v>8.2034500000000001</c:v>
                </c:pt>
                <c:pt idx="10">
                  <c:v>8.7533500000000011</c:v>
                </c:pt>
                <c:pt idx="11">
                  <c:v>7.0670952380952361</c:v>
                </c:pt>
                <c:pt idx="12">
                  <c:v>7.5711739130434781</c:v>
                </c:pt>
                <c:pt idx="13">
                  <c:v>7.398681818181819</c:v>
                </c:pt>
                <c:pt idx="14">
                  <c:v>7.4433538461538475</c:v>
                </c:pt>
                <c:pt idx="15">
                  <c:v>7.6833333333333345</c:v>
                </c:pt>
                <c:pt idx="16">
                  <c:v>6.9522786885245909</c:v>
                </c:pt>
                <c:pt idx="17">
                  <c:v>7.0754920634920646</c:v>
                </c:pt>
              </c:numCache>
            </c:numRef>
          </c:val>
          <c:smooth val="0"/>
          <c:extLst>
            <c:ext xmlns:c16="http://schemas.microsoft.com/office/drawing/2014/chart" uri="{C3380CC4-5D6E-409C-BE32-E72D297353CC}">
              <c16:uniqueId val="{00000002-6509-403B-A68D-E78F2B172F6B}"/>
            </c:ext>
          </c:extLst>
        </c:ser>
        <c:ser>
          <c:idx val="3"/>
          <c:order val="3"/>
          <c:tx>
            <c:strRef>
              <c:f>Sheet1!$F$1</c:f>
              <c:strCache>
                <c:ptCount val="1"/>
                <c:pt idx="0">
                  <c:v>2031թ. մարվող պարտատոմսեր</c:v>
                </c:pt>
              </c:strCache>
            </c:strRef>
          </c:tx>
          <c:spPr>
            <a:ln w="28575" cap="rnd">
              <a:solidFill>
                <a:srgbClr val="9BBB59">
                  <a:lumMod val="75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Sheet1!$F$16:$F$71</c:f>
              <c:numCache>
                <c:formatCode>General</c:formatCode>
                <c:ptCount val="18"/>
                <c:pt idx="4" formatCode="0.0">
                  <c:v>4.6077826086956497</c:v>
                </c:pt>
                <c:pt idx="5" formatCode="0.0">
                  <c:v>4.4961363636363636</c:v>
                </c:pt>
                <c:pt idx="6" formatCode="0.0">
                  <c:v>4.1649090909090898</c:v>
                </c:pt>
                <c:pt idx="7" formatCode="0.0">
                  <c:v>4.5901428571428564</c:v>
                </c:pt>
                <c:pt idx="8" formatCode="0.0">
                  <c:v>7.189913043478259</c:v>
                </c:pt>
                <c:pt idx="9" formatCode="0.0">
                  <c:v>8.3145000000000007</c:v>
                </c:pt>
                <c:pt idx="10" formatCode="0.0">
                  <c:v>8.5759000000000007</c:v>
                </c:pt>
                <c:pt idx="11" formatCode="0.0">
                  <c:v>6.8412857142857133</c:v>
                </c:pt>
                <c:pt idx="12" formatCode="0.0">
                  <c:v>7.607956521739129</c:v>
                </c:pt>
                <c:pt idx="13" formatCode="0.0">
                  <c:v>7.484909090909091</c:v>
                </c:pt>
                <c:pt idx="14" formatCode="0.0">
                  <c:v>7.5491846153846156</c:v>
                </c:pt>
                <c:pt idx="15" formatCode="0.0">
                  <c:v>8.0171904761904749</c:v>
                </c:pt>
                <c:pt idx="16" formatCode="0.0">
                  <c:v>7.1284262295081948</c:v>
                </c:pt>
                <c:pt idx="17" formatCode="0.0">
                  <c:v>7.2118412698412699</c:v>
                </c:pt>
              </c:numCache>
            </c:numRef>
          </c:val>
          <c:smooth val="0"/>
          <c:extLst>
            <c:ext xmlns:c16="http://schemas.microsoft.com/office/drawing/2014/chart" uri="{C3380CC4-5D6E-409C-BE32-E72D297353CC}">
              <c16:uniqueId val="{00000003-6509-403B-A68D-E78F2B172F6B}"/>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dLbls>
          <c:showLegendKey val="0"/>
          <c:showVal val="0"/>
          <c:showCatName val="0"/>
          <c:showSerName val="0"/>
          <c:showPercent val="0"/>
          <c:showBubbleSize val="0"/>
        </c:dLbls>
        <c:axId val="1152192904"/>
        <c:axId val="1152194872"/>
        <c:extLst>
          <c:ext xmlns:c15="http://schemas.microsoft.com/office/drawing/2012/chart" uri="{02D57815-91ED-43cb-92C2-25804820EDAC}">
            <c15:filteredArea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cat>
                  <c:strRef>
                    <c:extLst>
                      <c:ext uri="{02D57815-91ED-43cb-92C2-25804820EDAC}">
                        <c15:formulaRef>
                          <c15:sqref>Sheet1!$B$2:$B$68</c15:sqref>
                        </c15:formulaRef>
                      </c:ext>
                    </c:extLst>
                    <c:strCache>
                      <c:ptCount val="15"/>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4-CE1F-45E0-8802-8230A2AE6206}"/>
                  </c:ext>
                </c:extLst>
              </c15:ser>
            </c15:filteredAreaSeries>
          </c:ext>
        </c:extLst>
      </c:area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Sheet1!$C$2:$C$68</c:f>
            </c:numRef>
          </c:val>
          <c:smooth val="0"/>
          <c:extLst>
            <c:ext xmlns:c16="http://schemas.microsoft.com/office/drawing/2014/chart" uri="{C3380CC4-5D6E-409C-BE32-E72D297353CC}">
              <c16:uniqueId val="{00000000-CE1F-45E0-8802-8230A2AE6206}"/>
            </c:ext>
          </c:extLst>
        </c:ser>
        <c:ser>
          <c:idx val="1"/>
          <c:order val="1"/>
          <c:tx>
            <c:strRef>
              <c:f>Sheet1!$D$1</c:f>
              <c:strCache>
                <c:ptCount val="1"/>
                <c:pt idx="0">
                  <c:v>2025թ. մարվող պարտատոմսեր</c:v>
                </c:pt>
              </c:strCache>
            </c:strRef>
          </c:tx>
          <c:spPr>
            <a:ln w="28575" cap="rnd">
              <a:solidFill>
                <a:srgbClr val="F79646">
                  <a:lumMod val="60000"/>
                  <a:lumOff val="40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Sheet1!$D$16:$D$71</c:f>
              <c:numCache>
                <c:formatCode>0.0</c:formatCode>
                <c:ptCount val="18"/>
                <c:pt idx="0">
                  <c:v>455.08540909090902</c:v>
                </c:pt>
                <c:pt idx="1">
                  <c:v>363.78313636363634</c:v>
                </c:pt>
                <c:pt idx="2">
                  <c:v>341.7038695652173</c:v>
                </c:pt>
                <c:pt idx="3">
                  <c:v>309.91835000000003</c:v>
                </c:pt>
                <c:pt idx="4">
                  <c:v>322.77860869565217</c:v>
                </c:pt>
                <c:pt idx="5">
                  <c:v>260.00977272727283</c:v>
                </c:pt>
                <c:pt idx="6">
                  <c:v>183.10550000000001</c:v>
                </c:pt>
                <c:pt idx="7">
                  <c:v>194.42571428571429</c:v>
                </c:pt>
                <c:pt idx="8">
                  <c:v>540.08386956521736</c:v>
                </c:pt>
                <c:pt idx="9">
                  <c:v>422.71915000000001</c:v>
                </c:pt>
                <c:pt idx="10">
                  <c:v>358.6154761904761</c:v>
                </c:pt>
                <c:pt idx="11">
                  <c:v>239.95066666666671</c:v>
                </c:pt>
                <c:pt idx="12">
                  <c:v>196.41682258064506</c:v>
                </c:pt>
                <c:pt idx="13">
                  <c:v>202.66291935483878</c:v>
                </c:pt>
                <c:pt idx="14">
                  <c:v>144.29619047619053</c:v>
                </c:pt>
                <c:pt idx="15">
                  <c:v>114.3223548387097</c:v>
                </c:pt>
                <c:pt idx="16">
                  <c:v>144.468868852459</c:v>
                </c:pt>
                <c:pt idx="17">
                  <c:v>119.144873015873</c:v>
                </c:pt>
              </c:numCache>
            </c:numRef>
          </c:val>
          <c:smooth val="0"/>
          <c:extLst>
            <c:ext xmlns:c16="http://schemas.microsoft.com/office/drawing/2014/chart" uri="{C3380CC4-5D6E-409C-BE32-E72D297353CC}">
              <c16:uniqueId val="{00000001-CE1F-45E0-8802-8230A2AE6206}"/>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Sheet1!$E$16:$E$71</c:f>
              <c:numCache>
                <c:formatCode>0.0</c:formatCode>
                <c:ptCount val="18"/>
                <c:pt idx="0">
                  <c:v>405.31604545454542</c:v>
                </c:pt>
                <c:pt idx="1">
                  <c:v>345.75059090909087</c:v>
                </c:pt>
                <c:pt idx="2">
                  <c:v>310.69999999999993</c:v>
                </c:pt>
                <c:pt idx="3">
                  <c:v>298.91015000000004</c:v>
                </c:pt>
                <c:pt idx="4">
                  <c:v>288.58165217391308</c:v>
                </c:pt>
                <c:pt idx="5">
                  <c:v>275.1784545454546</c:v>
                </c:pt>
                <c:pt idx="6">
                  <c:v>264.96990909090908</c:v>
                </c:pt>
                <c:pt idx="7">
                  <c:v>292.65804761904764</c:v>
                </c:pt>
                <c:pt idx="8">
                  <c:v>474.19495652173907</c:v>
                </c:pt>
                <c:pt idx="9">
                  <c:v>505.30729999999994</c:v>
                </c:pt>
                <c:pt idx="10">
                  <c:v>527.93804761904767</c:v>
                </c:pt>
                <c:pt idx="11">
                  <c:v>346.68850000000003</c:v>
                </c:pt>
                <c:pt idx="12">
                  <c:v>344.51777419354835</c:v>
                </c:pt>
                <c:pt idx="13">
                  <c:v>367.83704838709673</c:v>
                </c:pt>
                <c:pt idx="14">
                  <c:v>311.25285714285712</c:v>
                </c:pt>
                <c:pt idx="15">
                  <c:v>320.38603225806452</c:v>
                </c:pt>
                <c:pt idx="16">
                  <c:v>282.60708196721316</c:v>
                </c:pt>
                <c:pt idx="17">
                  <c:v>260.88726984126987</c:v>
                </c:pt>
              </c:numCache>
            </c:numRef>
          </c:val>
          <c:smooth val="0"/>
          <c:extLst>
            <c:ext xmlns:c16="http://schemas.microsoft.com/office/drawing/2014/chart" uri="{C3380CC4-5D6E-409C-BE32-E72D297353CC}">
              <c16:uniqueId val="{00000002-CE1F-45E0-8802-8230A2AE6206}"/>
            </c:ext>
          </c:extLst>
        </c:ser>
        <c:ser>
          <c:idx val="3"/>
          <c:order val="3"/>
          <c:tx>
            <c:strRef>
              <c:f>Sheet1!$F$1</c:f>
              <c:strCache>
                <c:ptCount val="1"/>
                <c:pt idx="0">
                  <c:v>2031թ. մարվող պարտատոմսեր</c:v>
                </c:pt>
              </c:strCache>
            </c:strRef>
          </c:tx>
          <c:spPr>
            <a:ln w="28575" cap="rnd">
              <a:solidFill>
                <a:srgbClr val="9BBB59">
                  <a:lumMod val="75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Sheet1!$F$16:$F$71</c:f>
              <c:numCache>
                <c:formatCode>General</c:formatCode>
                <c:ptCount val="18"/>
                <c:pt idx="4" formatCode="0.0">
                  <c:v>293.64643478260865</c:v>
                </c:pt>
                <c:pt idx="5" formatCode="0.0">
                  <c:v>292.26331818181819</c:v>
                </c:pt>
                <c:pt idx="6" formatCode="0.0">
                  <c:v>274.45186363636361</c:v>
                </c:pt>
                <c:pt idx="7" formatCode="0.0">
                  <c:v>304.84927272727271</c:v>
                </c:pt>
                <c:pt idx="8" formatCode="0.0">
                  <c:v>494.65360869565217</c:v>
                </c:pt>
                <c:pt idx="9" formatCode="0.0">
                  <c:v>505.76620000000003</c:v>
                </c:pt>
                <c:pt idx="10" formatCode="0.0">
                  <c:v>496.96447619047615</c:v>
                </c:pt>
                <c:pt idx="11" formatCode="0.0">
                  <c:v>312.66779999999994</c:v>
                </c:pt>
                <c:pt idx="12" formatCode="0.0">
                  <c:v>364.13509677419353</c:v>
                </c:pt>
                <c:pt idx="13" formatCode="0.0">
                  <c:v>372.4433387096775</c:v>
                </c:pt>
                <c:pt idx="14" formatCode="0.0">
                  <c:v>326.68344444444443</c:v>
                </c:pt>
                <c:pt idx="15" formatCode="0.0">
                  <c:v>341.11614516129043</c:v>
                </c:pt>
                <c:pt idx="16" formatCode="0.0">
                  <c:v>296.59526229508197</c:v>
                </c:pt>
                <c:pt idx="17" formatCode="0.0">
                  <c:v>276.91879365079365</c:v>
                </c:pt>
              </c:numCache>
            </c:numRef>
          </c:val>
          <c:smooth val="0"/>
          <c:extLst>
            <c:ext xmlns:c16="http://schemas.microsoft.com/office/drawing/2014/chart" uri="{C3380CC4-5D6E-409C-BE32-E72D297353CC}">
              <c16:uniqueId val="{00000003-CE1F-45E0-8802-8230A2AE6206}"/>
            </c:ext>
          </c:extLst>
        </c:ser>
        <c:dLbls>
          <c:showLegendKey val="0"/>
          <c:showVal val="0"/>
          <c:showCatName val="0"/>
          <c:showSerName val="0"/>
          <c:showPercent val="0"/>
          <c:showBubbleSize val="0"/>
        </c:dLbls>
        <c:marker val="1"/>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80071881863715E-2"/>
          <c:y val="5.5366430260047284E-2"/>
          <c:w val="0.82333886048146954"/>
          <c:h val="0.60290761527149528"/>
        </c:manualLayout>
      </c:layout>
      <c:barChart>
        <c:barDir val="col"/>
        <c:grouping val="clustered"/>
        <c:varyColors val="0"/>
        <c:ser>
          <c:idx val="0"/>
          <c:order val="0"/>
          <c:tx>
            <c:strRef>
              <c:f>Sheet1!$A$2</c:f>
              <c:strCache>
                <c:ptCount val="1"/>
                <c:pt idx="0">
                  <c:v>առանց հիպոտեկի տոկոսագումարի, մլրդ դրամ</c:v>
                </c:pt>
              </c:strCache>
            </c:strRef>
          </c:tx>
          <c:spPr>
            <a:solidFill>
              <a:srgbClr val="1F497D">
                <a:lumMod val="60000"/>
                <a:lumOff val="40000"/>
              </a:srgbClr>
            </a:solidFill>
            <a:ln w="28575" cap="rnd">
              <a:solidFill>
                <a:srgbClr val="1F497D">
                  <a:lumMod val="60000"/>
                  <a:lumOff val="40000"/>
                </a:srgbClr>
              </a:solidFill>
              <a:round/>
            </a:ln>
            <a:effectLst/>
          </c:spPr>
          <c:invertIfNegative val="0"/>
          <c:dLbls>
            <c:dLbl>
              <c:idx val="3"/>
              <c:layout>
                <c:manualLayout>
                  <c:x val="-2.205071664829107E-3"/>
                  <c:y val="0.4642795182517078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429-462E-8DA7-6C876EB9A9BC}"/>
                </c:ext>
              </c:extLst>
            </c:dLbl>
            <c:dLbl>
              <c:idx val="4"/>
              <c:layout>
                <c:manualLayout>
                  <c:x val="0"/>
                  <c:y val="0.4911818469499822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429-462E-8DA7-6C876EB9A9BC}"/>
                </c:ext>
              </c:extLst>
            </c:dLbl>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2020 6 ամիս</c:v>
                </c:pt>
                <c:pt idx="1">
                  <c:v>2021 6 ամիս</c:v>
                </c:pt>
                <c:pt idx="2">
                  <c:v>2022 6 ամիս</c:v>
                </c:pt>
                <c:pt idx="3">
                  <c:v>2023 6 ամիս</c:v>
                </c:pt>
                <c:pt idx="4">
                  <c:v>2024 6 ամիս</c:v>
                </c:pt>
              </c:strCache>
            </c:strRef>
          </c:cat>
          <c:val>
            <c:numRef>
              <c:f>Sheet1!$B$2:$H$2</c:f>
              <c:numCache>
                <c:formatCode>0.0</c:formatCode>
                <c:ptCount val="5"/>
                <c:pt idx="0">
                  <c:v>680.28931143</c:v>
                </c:pt>
                <c:pt idx="1">
                  <c:v>750.20173813920019</c:v>
                </c:pt>
                <c:pt idx="2">
                  <c:v>927.89941158000011</c:v>
                </c:pt>
                <c:pt idx="3">
                  <c:v>1103.5135429859999</c:v>
                </c:pt>
                <c:pt idx="4">
                  <c:v>1155.5495078649999</c:v>
                </c:pt>
              </c:numCache>
            </c:numRef>
          </c:val>
          <c:extLst>
            <c:ext xmlns:c16="http://schemas.microsoft.com/office/drawing/2014/chart" uri="{C3380CC4-5D6E-409C-BE32-E72D297353CC}">
              <c16:uniqueId val="{00000003-C429-462E-8DA7-6C876EB9A9BC}"/>
            </c:ext>
          </c:extLst>
        </c:ser>
        <c:ser>
          <c:idx val="3"/>
          <c:order val="3"/>
          <c:tx>
            <c:strRef>
              <c:f>Sheet1!$A$5</c:f>
              <c:strCache>
                <c:ptCount val="1"/>
                <c:pt idx="0">
                  <c:v>ներառյալ հիպոտեկի տոկոսագումարի, մլրդ դրամ</c:v>
                </c:pt>
              </c:strCache>
            </c:strRef>
          </c:tx>
          <c:invertIfNegative val="0"/>
          <c:dLbls>
            <c:spPr>
              <a:noFill/>
              <a:ln>
                <a:noFill/>
              </a:ln>
              <a:effectLst/>
            </c:spPr>
            <c:txPr>
              <a:bodyPr rot="-5400000" vert="horz"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Sheet1!$B$1:$H$1</c:f>
              <c:strCache>
                <c:ptCount val="5"/>
                <c:pt idx="0">
                  <c:v>2020 6 ամիս</c:v>
                </c:pt>
                <c:pt idx="1">
                  <c:v>2021 6 ամիս</c:v>
                </c:pt>
                <c:pt idx="2">
                  <c:v>2022 6 ամիս</c:v>
                </c:pt>
                <c:pt idx="3">
                  <c:v>2023 6 ամիս</c:v>
                </c:pt>
                <c:pt idx="4">
                  <c:v>2024 6 ամիս</c:v>
                </c:pt>
              </c:strCache>
            </c:strRef>
          </c:cat>
          <c:val>
            <c:numRef>
              <c:f>Sheet1!$B$5:$H$5</c:f>
              <c:numCache>
                <c:formatCode>General</c:formatCode>
                <c:ptCount val="5"/>
                <c:pt idx="3" formatCode="0.0">
                  <c:v>1127.544060446</c:v>
                </c:pt>
                <c:pt idx="4" formatCode="0.0">
                  <c:v>1187.6383874149999</c:v>
                </c:pt>
              </c:numCache>
            </c:numRef>
          </c:val>
          <c:extLst>
            <c:ext xmlns:c16="http://schemas.microsoft.com/office/drawing/2014/chart" uri="{C3380CC4-5D6E-409C-BE32-E72D297353CC}">
              <c16:uniqueId val="{00000004-C429-462E-8DA7-6C876EB9A9BC}"/>
            </c:ext>
          </c:extLst>
        </c:ser>
        <c:dLbls>
          <c:showLegendKey val="0"/>
          <c:showVal val="0"/>
          <c:showCatName val="0"/>
          <c:showSerName val="0"/>
          <c:showPercent val="0"/>
          <c:showBubbleSize val="0"/>
        </c:dLbls>
        <c:gapWidth val="150"/>
        <c:axId val="295923712"/>
        <c:axId val="295925248"/>
      </c:barChart>
      <c:barChart>
        <c:barDir val="col"/>
        <c:grouping val="stacked"/>
        <c:varyColors val="0"/>
        <c:ser>
          <c:idx val="2"/>
          <c:order val="2"/>
          <c:tx>
            <c:strRef>
              <c:f>Sheet1!$A$4</c:f>
              <c:strCache>
                <c:ptCount val="1"/>
                <c:pt idx="0">
                  <c:v>Հիփոթեքի տոկոսագումար</c:v>
                </c:pt>
              </c:strCache>
            </c:strRef>
          </c:tx>
          <c:invertIfNegative val="0"/>
          <c:cat>
            <c:strRef>
              <c:f>Sheet1!$B$1:$H$1</c:f>
              <c:strCache>
                <c:ptCount val="5"/>
                <c:pt idx="0">
                  <c:v>2020 6 ամիս</c:v>
                </c:pt>
                <c:pt idx="1">
                  <c:v>2021 6 ամիս</c:v>
                </c:pt>
                <c:pt idx="2">
                  <c:v>2022 6 ամիս</c:v>
                </c:pt>
                <c:pt idx="3">
                  <c:v>2023 6 ամիս</c:v>
                </c:pt>
                <c:pt idx="4">
                  <c:v>2024 6 ամիս</c:v>
                </c:pt>
              </c:strCache>
            </c:strRef>
          </c:cat>
          <c:val>
            <c:numRef>
              <c:f>Sheet1!$B$4:$H$4</c:f>
            </c:numRef>
          </c:val>
          <c:extLst>
            <c:ext xmlns:c16="http://schemas.microsoft.com/office/drawing/2014/chart" uri="{C3380CC4-5D6E-409C-BE32-E72D297353CC}">
              <c16:uniqueId val="{00000000-C429-462E-8DA7-6C876EB9A9BC}"/>
            </c:ext>
          </c:extLst>
        </c:ser>
        <c:dLbls>
          <c:showLegendKey val="0"/>
          <c:showVal val="0"/>
          <c:showCatName val="0"/>
          <c:showSerName val="0"/>
          <c:showPercent val="0"/>
          <c:showBubbleSize val="0"/>
        </c:dLbls>
        <c:gapWidth val="150"/>
        <c:overlap val="100"/>
        <c:axId val="295923712"/>
        <c:axId val="295925248"/>
      </c:barChart>
      <c:lineChart>
        <c:grouping val="standard"/>
        <c:varyColors val="0"/>
        <c:ser>
          <c:idx val="1"/>
          <c:order val="1"/>
          <c:tx>
            <c:strRef>
              <c:f>Sheet1!$A$3</c:f>
              <c:strCache>
                <c:ptCount val="1"/>
                <c:pt idx="0">
                  <c:v>աճի տեմպը, %</c:v>
                </c:pt>
              </c:strCache>
            </c:strRef>
          </c:tx>
          <c:spPr>
            <a:ln>
              <a:solidFill>
                <a:srgbClr val="9BBB59"/>
              </a:solidFill>
            </a:ln>
            <a:effectLst/>
          </c:spPr>
          <c:marker>
            <c:symbol val="circle"/>
            <c:size val="5"/>
            <c:spPr>
              <a:solidFill>
                <a:srgbClr val="70AD47"/>
              </a:solidFill>
              <a:ln>
                <a:solidFill>
                  <a:srgbClr val="9BBB59"/>
                </a:solidFill>
              </a:ln>
            </c:spPr>
          </c:marker>
          <c:dLbls>
            <c:dLbl>
              <c:idx val="2"/>
              <c:layout>
                <c:manualLayout>
                  <c:x val="-3.7486218302094899E-2"/>
                  <c:y val="-5.20094562647754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429-462E-8DA7-6C876EB9A9BC}"/>
                </c:ext>
              </c:extLst>
            </c:dLbl>
            <c:dLbl>
              <c:idx val="3"/>
              <c:layout>
                <c:manualLayout>
                  <c:x val="-3.3076074972436684E-2"/>
                  <c:y val="-5.20094562647754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429-462E-8DA7-6C876EB9A9BC}"/>
                </c:ext>
              </c:extLst>
            </c:dLbl>
            <c:dLbl>
              <c:idx val="4"/>
              <c:layout>
                <c:manualLayout>
                  <c:x val="-1.9845644983461964E-2"/>
                  <c:y val="3.7825059101654762E-2"/>
                </c:manualLayout>
              </c:layout>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429-462E-8DA7-6C876EB9A9BC}"/>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Sheet1!$B$1:$H$1</c:f>
              <c:strCache>
                <c:ptCount val="5"/>
                <c:pt idx="0">
                  <c:v>2020 6 ամիս</c:v>
                </c:pt>
                <c:pt idx="1">
                  <c:v>2021 6 ամիս</c:v>
                </c:pt>
                <c:pt idx="2">
                  <c:v>2022 6 ամիս</c:v>
                </c:pt>
                <c:pt idx="3">
                  <c:v>2023 6 ամիս</c:v>
                </c:pt>
                <c:pt idx="4">
                  <c:v>2024 6 ամիս</c:v>
                </c:pt>
              </c:strCache>
            </c:strRef>
          </c:cat>
          <c:val>
            <c:numRef>
              <c:f>Sheet1!$B$3:$H$3</c:f>
              <c:numCache>
                <c:formatCode>0.0</c:formatCode>
                <c:ptCount val="5"/>
                <c:pt idx="0">
                  <c:v>-4.6391685364529991</c:v>
                </c:pt>
                <c:pt idx="1">
                  <c:v>10.276866846877382</c:v>
                </c:pt>
                <c:pt idx="2">
                  <c:v>23.686651790698463</c:v>
                </c:pt>
                <c:pt idx="3">
                  <c:v>18.925988012749045</c:v>
                </c:pt>
                <c:pt idx="4">
                  <c:v>4.7154804043632907</c:v>
                </c:pt>
              </c:numCache>
            </c:numRef>
          </c:val>
          <c:smooth val="0"/>
          <c:extLst>
            <c:ext xmlns:c16="http://schemas.microsoft.com/office/drawing/2014/chart" uri="{C3380CC4-5D6E-409C-BE32-E72D297353CC}">
              <c16:uniqueId val="{00000008-C429-462E-8DA7-6C876EB9A9BC}"/>
            </c:ext>
          </c:extLst>
        </c:ser>
        <c:ser>
          <c:idx val="4"/>
          <c:order val="4"/>
          <c:tx>
            <c:strRef>
              <c:f>Sheet1!$A$6</c:f>
              <c:strCache>
                <c:ptCount val="1"/>
                <c:pt idx="0">
                  <c:v>աճի տեմպը (ներառյալ հիպոտեկի տոկոսագումար)%</c:v>
                </c:pt>
              </c:strCache>
            </c:strRef>
          </c:tx>
          <c:spPr>
            <a:ln>
              <a:noFill/>
            </a:ln>
          </c:spPr>
          <c:marker>
            <c:symbol val="circle"/>
            <c:size val="6"/>
            <c:spPr>
              <a:solidFill>
                <a:srgbClr val="ED7D31"/>
              </a:solidFill>
              <a:ln>
                <a:noFill/>
              </a:ln>
            </c:spPr>
          </c:marker>
          <c:dLbls>
            <c:dLbl>
              <c:idx val="4"/>
              <c:layout>
                <c:manualLayout>
                  <c:x val="-8.8202866593164279E-3"/>
                  <c:y val="-1.89125295508274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429-462E-8DA7-6C876EB9A9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5"/>
                <c:pt idx="0">
                  <c:v>2020 6 ամիս</c:v>
                </c:pt>
                <c:pt idx="1">
                  <c:v>2021 6 ամիս</c:v>
                </c:pt>
                <c:pt idx="2">
                  <c:v>2022 6 ամիս</c:v>
                </c:pt>
                <c:pt idx="3">
                  <c:v>2023 6 ամիս</c:v>
                </c:pt>
                <c:pt idx="4">
                  <c:v>2024 6 ամիս</c:v>
                </c:pt>
              </c:strCache>
            </c:strRef>
          </c:cat>
          <c:val>
            <c:numRef>
              <c:f>Sheet1!$C$6:$H$6</c:f>
              <c:numCache>
                <c:formatCode>General</c:formatCode>
                <c:ptCount val="5"/>
                <c:pt idx="4" formatCode="0.0">
                  <c:v>5.3296655161510671</c:v>
                </c:pt>
              </c:numCache>
            </c:numRef>
          </c:val>
          <c:smooth val="0"/>
          <c:extLst>
            <c:ext xmlns:c16="http://schemas.microsoft.com/office/drawing/2014/chart" uri="{C3380CC4-5D6E-409C-BE32-E72D297353CC}">
              <c16:uniqueId val="{0000000A-C429-462E-8DA7-6C876EB9A9BC}"/>
            </c:ext>
          </c:extLst>
        </c:ser>
        <c:dLbls>
          <c:showLegendKey val="0"/>
          <c:showVal val="0"/>
          <c:showCatName val="0"/>
          <c:showSerName val="0"/>
          <c:showPercent val="0"/>
          <c:showBubbleSize val="0"/>
        </c:dLbls>
        <c:marker val="1"/>
        <c:smooth val="0"/>
        <c:axId val="295928576"/>
        <c:axId val="295926784"/>
      </c:lineChart>
      <c:catAx>
        <c:axId val="295923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5248"/>
        <c:crosses val="autoZero"/>
        <c:auto val="1"/>
        <c:lblAlgn val="ctr"/>
        <c:lblOffset val="100"/>
        <c:noMultiLvlLbl val="0"/>
      </c:catAx>
      <c:valAx>
        <c:axId val="295925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3712"/>
        <c:crosses val="autoZero"/>
        <c:crossBetween val="between"/>
      </c:valAx>
      <c:valAx>
        <c:axId val="295926784"/>
        <c:scaling>
          <c:orientation val="minMax"/>
        </c:scaling>
        <c:delete val="0"/>
        <c:axPos val="r"/>
        <c:numFmt formatCode="0.0" sourceLinked="1"/>
        <c:majorTickMark val="out"/>
        <c:minorTickMark val="none"/>
        <c:tickLblPos val="nextTo"/>
        <c:crossAx val="295928576"/>
        <c:crosses val="max"/>
        <c:crossBetween val="between"/>
      </c:valAx>
      <c:catAx>
        <c:axId val="295928576"/>
        <c:scaling>
          <c:orientation val="minMax"/>
        </c:scaling>
        <c:delete val="1"/>
        <c:axPos val="b"/>
        <c:numFmt formatCode="General" sourceLinked="1"/>
        <c:majorTickMark val="out"/>
        <c:minorTickMark val="none"/>
        <c:tickLblPos val="nextTo"/>
        <c:crossAx val="295926784"/>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0"/>
          <c:y val="0.74610152454347467"/>
          <c:w val="0.99007717750826907"/>
          <c:h val="0.25389847545652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ysClr val="window" lastClr="FFFFFF">
          <a:lumMod val="75000"/>
        </a:sysClr>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69917073054689916"/>
          <c:h val="0.56827525548668123"/>
        </c:manualLayout>
      </c:layout>
      <c:barChart>
        <c:barDir val="col"/>
        <c:grouping val="clustered"/>
        <c:varyColors val="0"/>
        <c:ser>
          <c:idx val="0"/>
          <c:order val="0"/>
          <c:tx>
            <c:strRef>
              <c:f>Sheet1!$B$1</c:f>
              <c:strCache>
                <c:ptCount val="1"/>
                <c:pt idx="0">
                  <c:v>առանց հիպոտեկի տոկոսագումարի,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Sheet1!$B$2:$B$8</c:f>
              <c:numCache>
                <c:formatCode>0.0</c:formatCode>
                <c:ptCount val="5"/>
                <c:pt idx="0">
                  <c:v>719.83163120000006</c:v>
                </c:pt>
                <c:pt idx="1">
                  <c:v>789.27060415999983</c:v>
                </c:pt>
                <c:pt idx="2">
                  <c:v>813.29383471000006</c:v>
                </c:pt>
                <c:pt idx="3">
                  <c:v>911.89989819000004</c:v>
                </c:pt>
                <c:pt idx="4">
                  <c:v>1045.76292562</c:v>
                </c:pt>
              </c:numCache>
            </c:numRef>
          </c:val>
          <c:extLst>
            <c:ext xmlns:c16="http://schemas.microsoft.com/office/drawing/2014/chart" uri="{C3380CC4-5D6E-409C-BE32-E72D297353CC}">
              <c16:uniqueId val="{00000000-0BD0-4743-9047-CF39F7DA3D42}"/>
            </c:ext>
          </c:extLst>
        </c:ser>
        <c:ser>
          <c:idx val="1"/>
          <c:order val="2"/>
          <c:tx>
            <c:strRef>
              <c:f>Sheet1!$D$1</c:f>
              <c:strCache>
                <c:ptCount val="1"/>
                <c:pt idx="0">
                  <c:v>ներառյալ հիպոտեկի տոկոսագումար, մլրդ դրամ</c:v>
                </c:pt>
              </c:strCache>
            </c:strRef>
          </c:tx>
          <c:invertIfNegative val="0"/>
          <c:dLbls>
            <c:dLbl>
              <c:idx val="3"/>
              <c:layout/>
              <c:dLblPos val="inBase"/>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BD0-4743-9047-CF39F7DA3D42}"/>
                </c:ext>
              </c:extLst>
            </c:dLbl>
            <c:dLbl>
              <c:idx val="4"/>
              <c:layout/>
              <c:dLblPos val="inBase"/>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BD0-4743-9047-CF39F7DA3D42}"/>
                </c:ext>
              </c:extLst>
            </c:dLbl>
            <c:spPr>
              <a:noFill/>
              <a:ln>
                <a:noFill/>
              </a:ln>
              <a:effectLst/>
            </c:spPr>
            <c:txPr>
              <a:bodyPr rot="-5400000" vert="horz" wrap="square" lIns="38100" tIns="19050" rIns="38100" bIns="19050" anchor="ctr">
                <a:spAutoFit/>
              </a:bodyPr>
              <a:lstStyle/>
              <a:p>
                <a:pPr>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Sheet1!$D$2:$D$8</c:f>
              <c:numCache>
                <c:formatCode>General</c:formatCode>
                <c:ptCount val="5"/>
                <c:pt idx="3" formatCode="0.0">
                  <c:v>935.93041564999999</c:v>
                </c:pt>
                <c:pt idx="4" formatCode="0.0">
                  <c:v>1077.85180517</c:v>
                </c:pt>
              </c:numCache>
            </c:numRef>
          </c:val>
          <c:extLst>
            <c:ext xmlns:c16="http://schemas.microsoft.com/office/drawing/2014/chart" uri="{C3380CC4-5D6E-409C-BE32-E72D297353CC}">
              <c16:uniqueId val="{00000003-0BD0-4743-9047-CF39F7DA3D42}"/>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none"/>
          </c:marker>
          <c:dLbls>
            <c:dLbl>
              <c:idx val="3"/>
              <c:layout>
                <c:manualLayout>
                  <c:x val="-7.8870900788709078E-2"/>
                  <c:y val="-0.1058434399117971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BD0-4743-9047-CF39F7DA3D42}"/>
                </c:ext>
              </c:extLst>
            </c:dLbl>
            <c:dLbl>
              <c:idx val="4"/>
              <c:layout>
                <c:manualLayout>
                  <c:x val="-8.3513729968044029E-2"/>
                  <c:y val="1.79103144021891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BD0-4743-9047-CF39F7DA3D42}"/>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Sheet1!$C$2:$C$8</c:f>
              <c:numCache>
                <c:formatCode>0.0</c:formatCode>
                <c:ptCount val="5"/>
                <c:pt idx="0">
                  <c:v>17.408874411549746</c:v>
                </c:pt>
                <c:pt idx="1">
                  <c:v>9.646557604622231</c:v>
                </c:pt>
                <c:pt idx="2">
                  <c:v>3.043725488239545</c:v>
                </c:pt>
                <c:pt idx="3">
                  <c:v>12.124285131850328</c:v>
                </c:pt>
                <c:pt idx="4">
                  <c:v>14.679574775224808</c:v>
                </c:pt>
              </c:numCache>
            </c:numRef>
          </c:val>
          <c:smooth val="0"/>
          <c:extLst>
            <c:ext xmlns:c16="http://schemas.microsoft.com/office/drawing/2014/chart" uri="{C3380CC4-5D6E-409C-BE32-E72D297353CC}">
              <c16:uniqueId val="{00000006-0BD0-4743-9047-CF39F7DA3D42}"/>
            </c:ext>
          </c:extLst>
        </c:ser>
        <c:ser>
          <c:idx val="3"/>
          <c:order val="3"/>
          <c:tx>
            <c:strRef>
              <c:f>Sheet1!$E$1</c:f>
              <c:strCache>
                <c:ptCount val="1"/>
                <c:pt idx="0">
                  <c:v>աճը (ներառյալ հիպոտեկի տոկոսագումար)</c:v>
                </c:pt>
              </c:strCache>
            </c:strRef>
          </c:tx>
          <c:spPr>
            <a:ln>
              <a:noFill/>
            </a:ln>
          </c:spPr>
          <c:marker>
            <c:symbol val="triangle"/>
            <c:size val="8"/>
            <c:spPr>
              <a:solidFill>
                <a:srgbClr val="1F497D"/>
              </a:solidFill>
            </c:spPr>
          </c:marker>
          <c:dLbls>
            <c:dLbl>
              <c:idx val="4"/>
              <c:layout>
                <c:manualLayout>
                  <c:x val="-6.4451158106747383E-2"/>
                  <c:y val="-0.1028368794326241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BD0-4743-9047-CF39F7DA3D4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Sheet1!$E$2:$E$8</c:f>
              <c:numCache>
                <c:formatCode>General</c:formatCode>
                <c:ptCount val="5"/>
                <c:pt idx="4" formatCode="0.0">
                  <c:v>15.16366891671494</c:v>
                </c:pt>
              </c:numCache>
            </c:numRef>
          </c:val>
          <c:smooth val="0"/>
          <c:extLst>
            <c:ext xmlns:c16="http://schemas.microsoft.com/office/drawing/2014/chart" uri="{C3380CC4-5D6E-409C-BE32-E72D297353CC}">
              <c16:uniqueId val="{00000008-0BD0-4743-9047-CF39F7DA3D42}"/>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77905148824482051"/>
          <c:w val="0.98981722450856768"/>
          <c:h val="0.22094851175517954"/>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Sheet1!$B$2:$B$8</c:f>
              <c:numCache>
                <c:formatCode>0.0</c:formatCode>
                <c:ptCount val="5"/>
                <c:pt idx="0">
                  <c:v>46.614117459999996</c:v>
                </c:pt>
                <c:pt idx="1">
                  <c:v>77.73566769</c:v>
                </c:pt>
                <c:pt idx="2">
                  <c:v>100.60722398000003</c:v>
                </c:pt>
                <c:pt idx="3">
                  <c:v>116.93243115999999</c:v>
                </c:pt>
                <c:pt idx="4">
                  <c:v>163.74375649999999</c:v>
                </c:pt>
              </c:numCache>
            </c:numRef>
          </c:val>
          <c:extLst>
            <c:ext xmlns:c16="http://schemas.microsoft.com/office/drawing/2014/chart" uri="{C3380CC4-5D6E-409C-BE32-E72D297353CC}">
              <c16:uniqueId val="{00000000-8D0A-4749-9095-D2ED7E316579}"/>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2"/>
              <c:layout>
                <c:manualLayout>
                  <c:x val="-6.7228537828302626E-2"/>
                  <c:y val="-7.04579214832189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0A-4749-9095-D2ED7E316579}"/>
                </c:ext>
              </c:extLst>
            </c:dLbl>
            <c:dLbl>
              <c:idx val="3"/>
              <c:layout>
                <c:manualLayout>
                  <c:x val="-7.5666482497214305E-2"/>
                  <c:y val="-5.90453453956552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0A-4749-9095-D2ED7E316579}"/>
                </c:ext>
              </c:extLst>
            </c:dLbl>
            <c:dLbl>
              <c:idx val="4"/>
              <c:layout>
                <c:manualLayout>
                  <c:x val="-8.618636508147183E-2"/>
                  <c:y val="-4.39071312894398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0A-4749-9095-D2ED7E316579}"/>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0A-4749-9095-D2ED7E316579}"/>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Sheet1!$C$2:$C$8</c:f>
              <c:numCache>
                <c:formatCode>0.0</c:formatCode>
                <c:ptCount val="5"/>
                <c:pt idx="0">
                  <c:v>95.995986494668472</c:v>
                </c:pt>
                <c:pt idx="1">
                  <c:v>66.764216348632345</c:v>
                </c:pt>
                <c:pt idx="2">
                  <c:v>29.422216299998723</c:v>
                </c:pt>
                <c:pt idx="3">
                  <c:v>16.226674918736748</c:v>
                </c:pt>
                <c:pt idx="4">
                  <c:v>40.032799177798267</c:v>
                </c:pt>
              </c:numCache>
            </c:numRef>
          </c:val>
          <c:smooth val="0"/>
          <c:extLst>
            <c:ext xmlns:c16="http://schemas.microsoft.com/office/drawing/2014/chart" uri="{C3380CC4-5D6E-409C-BE32-E72D297353CC}">
              <c16:uniqueId val="{00000005-8D0A-4749-9095-D2ED7E316579}"/>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9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B5F2-40E2-BA2C-EB08FBFC4CC9}"/>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B5F2-40E2-BA2C-EB08FBFC4CC9}"/>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B5F2-40E2-BA2C-EB08FBFC4CC9}"/>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B5F2-40E2-BA2C-EB08FBFC4CC9}"/>
            </c:ext>
          </c:extLst>
        </c:ser>
        <c:dLbls>
          <c:showLegendKey val="0"/>
          <c:showVal val="0"/>
          <c:showCatName val="0"/>
          <c:showSerName val="0"/>
          <c:showPercent val="0"/>
          <c:showBubbleSize val="0"/>
        </c:dLbls>
        <c:smooth val="0"/>
        <c:axId val="-276756560"/>
        <c:axId val="-276764176"/>
      </c:lineChart>
      <c:catAx>
        <c:axId val="-276756560"/>
        <c:scaling>
          <c:orientation val="minMax"/>
        </c:scaling>
        <c:delete val="1"/>
        <c:axPos val="b"/>
        <c:numFmt formatCode="General" sourceLinked="1"/>
        <c:majorTickMark val="none"/>
        <c:minorTickMark val="none"/>
        <c:tickLblPos val="low"/>
        <c:crossAx val="-276764176"/>
        <c:crosses val="autoZero"/>
        <c:auto val="1"/>
        <c:lblAlgn val="ctr"/>
        <c:lblOffset val="100"/>
        <c:noMultiLvlLbl val="0"/>
      </c:catAx>
      <c:valAx>
        <c:axId val="-276764176"/>
        <c:scaling>
          <c:orientation val="minMax"/>
          <c:max val="21"/>
        </c:scaling>
        <c:delete val="1"/>
        <c:axPos val="l"/>
        <c:numFmt formatCode="General" sourceLinked="1"/>
        <c:majorTickMark val="none"/>
        <c:minorTickMark val="none"/>
        <c:tickLblPos val="nextTo"/>
        <c:crossAx val="-276756560"/>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Sheet1!$C$1</c:f>
              <c:strCache>
                <c:ptCount val="1"/>
                <c:pt idx="0">
                  <c:v>եկամուտների ազդակ</c:v>
                </c:pt>
              </c:strCache>
            </c:strRef>
          </c:tx>
          <c:spPr>
            <a:solidFill>
              <a:schemeClr val="accent1"/>
            </a:solidFill>
            <a:ln>
              <a:noFill/>
            </a:ln>
            <a:effectLst/>
          </c:spPr>
          <c:invertIfNegative val="0"/>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Sheet1!$C$2:$C$43</c:f>
              <c:numCache>
                <c:formatCode>0.0</c:formatCode>
                <c:ptCount val="18"/>
                <c:pt idx="0">
                  <c:v>-1.2342606927194621</c:v>
                </c:pt>
                <c:pt idx="1">
                  <c:v>-0.51164480950977587</c:v>
                </c:pt>
                <c:pt idx="2">
                  <c:v>0.24669604417808891</c:v>
                </c:pt>
                <c:pt idx="3">
                  <c:v>0.55554604589055057</c:v>
                </c:pt>
                <c:pt idx="4">
                  <c:v>0.78712698514257307</c:v>
                </c:pt>
                <c:pt idx="5">
                  <c:v>0.46058180624403317</c:v>
                </c:pt>
                <c:pt idx="6">
                  <c:v>-0.327142488278792</c:v>
                </c:pt>
                <c:pt idx="7">
                  <c:v>-0.5921809418433841</c:v>
                </c:pt>
                <c:pt idx="8">
                  <c:v>-3.0171058330210676</c:v>
                </c:pt>
                <c:pt idx="9">
                  <c:v>-2.3357071644807079</c:v>
                </c:pt>
                <c:pt idx="10">
                  <c:v>-1.216158647670899</c:v>
                </c:pt>
                <c:pt idx="11">
                  <c:v>-0.30066826981164768</c:v>
                </c:pt>
                <c:pt idx="12">
                  <c:v>1.8299370284732941</c:v>
                </c:pt>
                <c:pt idx="13">
                  <c:v>-0.56212500213991023</c:v>
                </c:pt>
                <c:pt idx="14">
                  <c:v>-0.52052203537197117</c:v>
                </c:pt>
                <c:pt idx="15">
                  <c:v>-0.70973845933449298</c:v>
                </c:pt>
                <c:pt idx="16">
                  <c:v>0.15591508227504747</c:v>
                </c:pt>
                <c:pt idx="17">
                  <c:v>0.56321018322388128</c:v>
                </c:pt>
              </c:numCache>
            </c:numRef>
          </c:val>
          <c:extLst>
            <c:ext xmlns:c16="http://schemas.microsoft.com/office/drawing/2014/chart" uri="{C3380CC4-5D6E-409C-BE32-E72D297353CC}">
              <c16:uniqueId val="{00000000-37F2-403A-B9F8-34D4D1EA175E}"/>
            </c:ext>
          </c:extLst>
        </c:ser>
        <c:ser>
          <c:idx val="2"/>
          <c:order val="1"/>
          <c:tx>
            <c:strRef>
              <c:f>Sheet1!$D$1</c:f>
              <c:strCache>
                <c:ptCount val="1"/>
                <c:pt idx="0">
                  <c:v>ծախսերի ազդակ</c:v>
                </c:pt>
              </c:strCache>
            </c:strRef>
          </c:tx>
          <c:spPr>
            <a:solidFill>
              <a:schemeClr val="accent3"/>
            </a:solidFill>
            <a:ln>
              <a:noFill/>
            </a:ln>
            <a:effectLst/>
          </c:spPr>
          <c:invertIfNegative val="0"/>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Sheet1!$D$2:$D$43</c:f>
              <c:numCache>
                <c:formatCode>0.0</c:formatCode>
                <c:ptCount val="18"/>
                <c:pt idx="0">
                  <c:v>2.9589477162103597</c:v>
                </c:pt>
                <c:pt idx="1">
                  <c:v>4.8409082927327294</c:v>
                </c:pt>
                <c:pt idx="2">
                  <c:v>3.7546304753879092</c:v>
                </c:pt>
                <c:pt idx="3">
                  <c:v>4.1530235158656801</c:v>
                </c:pt>
                <c:pt idx="4">
                  <c:v>1.9099830894394412</c:v>
                </c:pt>
                <c:pt idx="5">
                  <c:v>-0.28740091365116666</c:v>
                </c:pt>
                <c:pt idx="6">
                  <c:v>-0.36142319023171215</c:v>
                </c:pt>
                <c:pt idx="7">
                  <c:v>-0.47750791962448491</c:v>
                </c:pt>
                <c:pt idx="8">
                  <c:v>-0.62438319328942449</c:v>
                </c:pt>
                <c:pt idx="9">
                  <c:v>-0.67773207463256002</c:v>
                </c:pt>
                <c:pt idx="10">
                  <c:v>-0.45872949869589974</c:v>
                </c:pt>
                <c:pt idx="11">
                  <c:v>-0.82748125320750454</c:v>
                </c:pt>
                <c:pt idx="12">
                  <c:v>-3.0429892015429956</c:v>
                </c:pt>
                <c:pt idx="13">
                  <c:v>-1.3624828808149367</c:v>
                </c:pt>
                <c:pt idx="14">
                  <c:v>-1.2713528547077653</c:v>
                </c:pt>
                <c:pt idx="15">
                  <c:v>-0.20109364229122856</c:v>
                </c:pt>
                <c:pt idx="16">
                  <c:v>0.33923109802072759</c:v>
                </c:pt>
                <c:pt idx="17">
                  <c:v>0.31562871365802386</c:v>
                </c:pt>
              </c:numCache>
            </c:numRef>
          </c:val>
          <c:extLst>
            <c:ext xmlns:c16="http://schemas.microsoft.com/office/drawing/2014/chart" uri="{C3380CC4-5D6E-409C-BE32-E72D297353CC}">
              <c16:uniqueId val="{00000001-37F2-403A-B9F8-34D4D1EA175E}"/>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Sheet1!$E$1</c:f>
              <c:strCache>
                <c:ptCount val="1"/>
                <c:pt idx="0">
                  <c:v>հարկաբյուջետային ազդակ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7F2-403A-B9F8-34D4D1EA175E}"/>
                </c:ext>
              </c:extLst>
            </c:dLbl>
            <c:dLbl>
              <c:idx val="4"/>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F2-403A-B9F8-34D4D1EA175E}"/>
                </c:ext>
              </c:extLst>
            </c:dLbl>
            <c:dLbl>
              <c:idx val="16"/>
              <c:layout>
                <c:manualLayout>
                  <c:x val="-6.855075547988948E-2"/>
                  <c:y val="-3.0841377385966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7F2-403A-B9F8-34D4D1EA175E}"/>
                </c:ext>
              </c:extLst>
            </c:dLbl>
            <c:dLbl>
              <c:idx val="17"/>
              <c:layout>
                <c:manualLayout>
                  <c:x val="0"/>
                  <c:y val="-4.4130413930816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7F2-403A-B9F8-34D4D1EA175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Sheet1!$E$2:$E$43</c:f>
              <c:numCache>
                <c:formatCode>0.0</c:formatCode>
                <c:ptCount val="18"/>
                <c:pt idx="0">
                  <c:v>1.7246870234908975</c:v>
                </c:pt>
                <c:pt idx="1">
                  <c:v>4.3292634832229533</c:v>
                </c:pt>
                <c:pt idx="2">
                  <c:v>4.0013265195659979</c:v>
                </c:pt>
                <c:pt idx="3">
                  <c:v>4.7085695617562306</c:v>
                </c:pt>
                <c:pt idx="4">
                  <c:v>2.6971100745820142</c:v>
                </c:pt>
                <c:pt idx="5">
                  <c:v>0.17318089259286651</c:v>
                </c:pt>
                <c:pt idx="6">
                  <c:v>-0.6885656785105041</c:v>
                </c:pt>
                <c:pt idx="7">
                  <c:v>-1.069688861467869</c:v>
                </c:pt>
                <c:pt idx="8">
                  <c:v>-3.641489026310492</c:v>
                </c:pt>
                <c:pt idx="9">
                  <c:v>-3.0134392391132678</c:v>
                </c:pt>
                <c:pt idx="10">
                  <c:v>-1.6748881463667988</c:v>
                </c:pt>
                <c:pt idx="11">
                  <c:v>-1.1281495230191523</c:v>
                </c:pt>
                <c:pt idx="12">
                  <c:v>-1.2130521730697015</c:v>
                </c:pt>
                <c:pt idx="13">
                  <c:v>-1.924607882954847</c:v>
                </c:pt>
                <c:pt idx="14">
                  <c:v>-1.7918748900797365</c:v>
                </c:pt>
                <c:pt idx="15">
                  <c:v>-0.91083210162572148</c:v>
                </c:pt>
                <c:pt idx="16">
                  <c:v>0.49514618029577506</c:v>
                </c:pt>
                <c:pt idx="17">
                  <c:v>0.8788388968819052</c:v>
                </c:pt>
              </c:numCache>
            </c:numRef>
          </c:val>
          <c:smooth val="0"/>
          <c:extLst>
            <c:ext xmlns:c16="http://schemas.microsoft.com/office/drawing/2014/chart" uri="{C3380CC4-5D6E-409C-BE32-E72D297353CC}">
              <c16:uniqueId val="{00000006-37F2-403A-B9F8-34D4D1EA175E}"/>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6960"/>
        <c:crosses val="autoZero"/>
        <c:auto val="1"/>
        <c:lblAlgn val="ctr"/>
        <c:lblOffset val="100"/>
        <c:tickLblSkip val="1"/>
        <c:noMultiLvlLbl val="0"/>
      </c:catAx>
      <c:valAx>
        <c:axId val="296856960"/>
        <c:scaling>
          <c:orientation val="minMax"/>
        </c:scaling>
        <c:delete val="0"/>
        <c:axPos val="l"/>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5424"/>
        <c:crosses val="autoZero"/>
        <c:crossBetween val="between"/>
      </c:valAx>
      <c:spPr>
        <a:noFill/>
        <a:ln>
          <a:noFill/>
        </a:ln>
        <a:effectLst/>
      </c:spPr>
    </c:plotArea>
    <c:legend>
      <c:legendPos val="b"/>
      <c:layout>
        <c:manualLayout>
          <c:xMode val="edge"/>
          <c:yMode val="edge"/>
          <c:x val="6.8598362141669242E-2"/>
          <c:y val="0.79567949355167811"/>
          <c:w val="0.92286302050081581"/>
          <c:h val="0.17774243335862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74430115154524601"/>
          <c:h val="0.6956029838375466"/>
        </c:manualLayout>
      </c:layout>
      <c:barChart>
        <c:barDir val="col"/>
        <c:grouping val="clustered"/>
        <c:varyColors val="0"/>
        <c:ser>
          <c:idx val="0"/>
          <c:order val="0"/>
          <c:tx>
            <c:strRef>
              <c:f>Sheet1!$B$1</c:f>
              <c:strCache>
                <c:ptCount val="1"/>
                <c:pt idx="0">
                  <c:v>Ծավալը, մլրդ դրամ</c:v>
                </c:pt>
              </c:strCache>
            </c:strRef>
          </c:tx>
          <c:invertIfNegative val="0"/>
          <c:dLbls>
            <c:dLbl>
              <c:idx val="4"/>
              <c:layout>
                <c:manualLayout>
                  <c:x val="-1.4373282279536489E-16"/>
                  <c:y val="0.105843439911797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4F1-4666-B8F3-C26903D814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5"/>
                <c:pt idx="0">
                  <c:v>2020</c:v>
                </c:pt>
                <c:pt idx="1">
                  <c:v>2021</c:v>
                </c:pt>
                <c:pt idx="2">
                  <c:v>2022</c:v>
                </c:pt>
                <c:pt idx="3">
                  <c:v>2023</c:v>
                </c:pt>
                <c:pt idx="4">
                  <c:v>2024</c:v>
                </c:pt>
              </c:numCache>
            </c:numRef>
          </c:cat>
          <c:val>
            <c:numRef>
              <c:f>Sheet1!$B$2:$B$7</c:f>
              <c:numCache>
                <c:formatCode>0.0</c:formatCode>
                <c:ptCount val="5"/>
                <c:pt idx="0">
                  <c:v>-48.911046494000011</c:v>
                </c:pt>
                <c:pt idx="1">
                  <c:v>-75.49235614679975</c:v>
                </c:pt>
                <c:pt idx="2">
                  <c:v>72.413195348000031</c:v>
                </c:pt>
                <c:pt idx="3">
                  <c:v>134.29529753199964</c:v>
                </c:pt>
                <c:pt idx="4">
                  <c:v>10.977747454999946</c:v>
                </c:pt>
              </c:numCache>
            </c:numRef>
          </c:val>
          <c:extLst>
            <c:ext xmlns:c16="http://schemas.microsoft.com/office/drawing/2014/chart" uri="{C3380CC4-5D6E-409C-BE32-E72D297353CC}">
              <c16:uniqueId val="{00000001-C4F1-4666-B8F3-C26903D814B7}"/>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2"/>
              <c:layout>
                <c:manualLayout>
                  <c:x val="-7.1148569188553515E-2"/>
                  <c:y val="-0.12364930679144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F1-4666-B8F3-C26903D814B7}"/>
                </c:ext>
              </c:extLst>
            </c:dLbl>
            <c:dLbl>
              <c:idx val="3"/>
              <c:layout>
                <c:manualLayout>
                  <c:x val="-7.1746451136963429E-2"/>
                  <c:y val="-0.101598590143156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F1-4666-B8F3-C26903D814B7}"/>
                </c:ext>
              </c:extLst>
            </c:dLbl>
            <c:dLbl>
              <c:idx val="4"/>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F1-4666-B8F3-C26903D814B7}"/>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F1-4666-B8F3-C26903D814B7}"/>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2020</c:v>
                </c:pt>
                <c:pt idx="1">
                  <c:v>2021</c:v>
                </c:pt>
                <c:pt idx="2">
                  <c:v>2022</c:v>
                </c:pt>
                <c:pt idx="3">
                  <c:v>2023</c:v>
                </c:pt>
                <c:pt idx="4">
                  <c:v>2024</c:v>
                </c:pt>
              </c:numCache>
            </c:numRef>
          </c:cat>
          <c:val>
            <c:numRef>
              <c:f>Sheet1!$C$2:$C$7</c:f>
            </c:numRef>
          </c:val>
          <c:smooth val="0"/>
          <c:extLst>
            <c:ext xmlns:c16="http://schemas.microsoft.com/office/drawing/2014/chart" uri="{C3380CC4-5D6E-409C-BE32-E72D297353CC}">
              <c16:uniqueId val="{00000006-C4F1-4666-B8F3-C26903D814B7}"/>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none"/>
        <c:minorTickMark val="none"/>
        <c:tickLblPos val="low"/>
        <c:spPr>
          <a:ln/>
        </c:spPr>
        <c:txPr>
          <a:bodyPr rot="-5400000" vert="horz" anchor="t" anchorCtr="1"/>
          <a:lstStyle/>
          <a:p>
            <a:pPr>
              <a:defRPr sz="900" b="0" i="0" u="none" strike="noStrike" baseline="0">
                <a:ln>
                  <a:noFill/>
                </a:ln>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 val="autoZero"/>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b="0" i="0" baseline="0" dirty="0">
                <a:effectLst/>
                <a:latin typeface="GHEA Grapalat" panose="02000506050000020003" pitchFamily="50" charset="0"/>
              </a:rPr>
              <a:t>Նավթի</a:t>
            </a:r>
            <a:r>
              <a:rPr lang="hy-AM" sz="1000" b="0" i="0" u="none" strike="noStrike" kern="1200" spc="0" baseline="0" dirty="0">
                <a:solidFill>
                  <a:sysClr val="windowText" lastClr="000000">
                    <a:lumMod val="65000"/>
                    <a:lumOff val="35000"/>
                  </a:sysClr>
                </a:solidFill>
                <a:effectLst/>
                <a:latin typeface="GHEA Grapalat" panose="02000506050000020003" pitchFamily="50" charset="0"/>
                <a:ea typeface="+mn-ea"/>
                <a:cs typeface="+mn-cs"/>
              </a:rPr>
              <a:t> </a:t>
            </a:r>
            <a:r>
              <a:rPr lang="hy-AM" sz="1000" b="0" i="0" baseline="0" dirty="0">
                <a:effectLst/>
                <a:latin typeface="GHEA Grapalat" panose="02000506050000020003" pitchFamily="50" charset="0"/>
              </a:rPr>
              <a:t>և պղնձի միջազգային գներ</a:t>
            </a:r>
            <a:endParaRPr lang="en-US" sz="1000" dirty="0">
              <a:effectLst/>
              <a:latin typeface="GHEA Grapalat" panose="02000506050000020003" pitchFamily="50" charset="0"/>
            </a:endParaRPr>
          </a:p>
        </c:rich>
      </c:tx>
      <c:layout>
        <c:manualLayout>
          <c:xMode val="edge"/>
          <c:yMode val="edge"/>
          <c:x val="0.2231020408163265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4926177085007231"/>
          <c:y val="0.13848012850852659"/>
          <c:w val="0.74686421340189624"/>
          <c:h val="0.57736885697474394"/>
        </c:manualLayout>
      </c:layout>
      <c:lineChart>
        <c:grouping val="standard"/>
        <c:varyColors val="0"/>
        <c:ser>
          <c:idx val="1"/>
          <c:order val="1"/>
          <c:tx>
            <c:strRef>
              <c:f>Sheet1!$D$1</c:f>
              <c:strCache>
                <c:ptCount val="1"/>
                <c:pt idx="0">
                  <c:v>Պղինձ, դոլար/տոննա</c:v>
                </c:pt>
              </c:strCache>
            </c:strRef>
          </c:tx>
          <c:spPr>
            <a:ln w="31750" cap="rnd">
              <a:solidFill>
                <a:schemeClr val="accent5">
                  <a:lumMod val="75000"/>
                </a:scheme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Sheet1!$D$14:$D$79</c:f>
              <c:numCache>
                <c:formatCode>0.0</c:formatCode>
                <c:ptCount val="66"/>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formatCode="0">
                  <c:v>7972.15</c:v>
                </c:pt>
                <c:pt idx="25" formatCode="0">
                  <c:v>8470.94</c:v>
                </c:pt>
                <c:pt idx="26" formatCode="0">
                  <c:v>8988.25</c:v>
                </c:pt>
                <c:pt idx="27" formatCode="0">
                  <c:v>9324.82</c:v>
                </c:pt>
                <c:pt idx="28" formatCode="0">
                  <c:v>10161.969999999999</c:v>
                </c:pt>
                <c:pt idx="29" formatCode="0">
                  <c:v>9631.5</c:v>
                </c:pt>
                <c:pt idx="30" formatCode="0">
                  <c:v>9450.82</c:v>
                </c:pt>
                <c:pt idx="31" formatCode="0">
                  <c:v>9370.14</c:v>
                </c:pt>
                <c:pt idx="32" formatCode="0">
                  <c:v>9324.7099999999991</c:v>
                </c:pt>
                <c:pt idx="33" formatCode="0">
                  <c:v>9829.2199999999993</c:v>
                </c:pt>
                <c:pt idx="34" formatCode="0">
                  <c:v>9728.9</c:v>
                </c:pt>
                <c:pt idx="35" formatCode="0">
                  <c:v>9551.18</c:v>
                </c:pt>
                <c:pt idx="36" formatCode="0">
                  <c:v>9782.34</c:v>
                </c:pt>
                <c:pt idx="37" formatCode="0">
                  <c:v>9943.17</c:v>
                </c:pt>
                <c:pt idx="38" formatCode="0">
                  <c:v>10230.89</c:v>
                </c:pt>
                <c:pt idx="39" formatCode="0">
                  <c:v>10161.379999999999</c:v>
                </c:pt>
                <c:pt idx="40" formatCode="0">
                  <c:v>9377.15</c:v>
                </c:pt>
                <c:pt idx="41" formatCode="0">
                  <c:v>9024.4599999999991</c:v>
                </c:pt>
                <c:pt idx="42" formatCode="0">
                  <c:v>7544.81</c:v>
                </c:pt>
                <c:pt idx="43" formatCode="0">
                  <c:v>7981.84</c:v>
                </c:pt>
                <c:pt idx="44" formatCode="0">
                  <c:v>7746.01</c:v>
                </c:pt>
                <c:pt idx="45" formatCode="0">
                  <c:v>7651.08</c:v>
                </c:pt>
                <c:pt idx="46" formatCode="0">
                  <c:v>8049.86</c:v>
                </c:pt>
                <c:pt idx="47" formatCode="0">
                  <c:v>8375.4</c:v>
                </c:pt>
                <c:pt idx="48" formatCode="0">
                  <c:v>9037.9500000000007</c:v>
                </c:pt>
                <c:pt idx="49" formatCode="0">
                  <c:v>8936.59</c:v>
                </c:pt>
                <c:pt idx="50" formatCode="0">
                  <c:v>8856.31</c:v>
                </c:pt>
                <c:pt idx="51" formatCode="0">
                  <c:v>8809.42</c:v>
                </c:pt>
                <c:pt idx="52" formatCode="0">
                  <c:v>8217.4699999999993</c:v>
                </c:pt>
                <c:pt idx="53" formatCode="0">
                  <c:v>8396.52</c:v>
                </c:pt>
                <c:pt idx="54" formatCode="0">
                  <c:v>8476.68</c:v>
                </c:pt>
                <c:pt idx="55" formatCode="0">
                  <c:v>8349.1299999999992</c:v>
                </c:pt>
                <c:pt idx="56" formatCode="0">
                  <c:v>8276.7099999999991</c:v>
                </c:pt>
                <c:pt idx="57" formatCode="0">
                  <c:v>7937.18</c:v>
                </c:pt>
                <c:pt idx="58" formatCode="0">
                  <c:v>8189.59</c:v>
                </c:pt>
                <c:pt idx="59" formatCode="0">
                  <c:v>8399.94</c:v>
                </c:pt>
                <c:pt idx="60" formatCode="0">
                  <c:v>8338.8799999999992</c:v>
                </c:pt>
                <c:pt idx="61" formatCode="0">
                  <c:v>8304.9500000000007</c:v>
                </c:pt>
                <c:pt idx="62" formatCode="0">
                  <c:v>8689.1299999999992</c:v>
                </c:pt>
                <c:pt idx="63" formatCode="0">
                  <c:v>9464.43</c:v>
                </c:pt>
                <c:pt idx="64" formatCode="0">
                  <c:v>10139.33</c:v>
                </c:pt>
                <c:pt idx="65" formatCode="0">
                  <c:v>9648.17</c:v>
                </c:pt>
              </c:numCache>
            </c:numRef>
          </c:val>
          <c:smooth val="0"/>
          <c:extLst>
            <c:ext xmlns:c16="http://schemas.microsoft.com/office/drawing/2014/chart" uri="{C3380CC4-5D6E-409C-BE32-E72D297353CC}">
              <c16:uniqueId val="{00000000-5FB5-483E-A94B-E1B061DEE5D8}"/>
            </c:ext>
          </c:extLst>
        </c:ser>
        <c:dLbls>
          <c:showLegendKey val="0"/>
          <c:showVal val="0"/>
          <c:showCatName val="0"/>
          <c:showSerName val="0"/>
          <c:showPercent val="0"/>
          <c:showBubbleSize val="0"/>
        </c:dLbls>
        <c:marker val="1"/>
        <c:smooth val="0"/>
        <c:axId val="-1888354832"/>
        <c:axId val="-1888366800"/>
      </c:lineChart>
      <c:lineChart>
        <c:grouping val="standard"/>
        <c:varyColors val="0"/>
        <c:ser>
          <c:idx val="0"/>
          <c:order val="0"/>
          <c:tx>
            <c:strRef>
              <c:f>Sheet1!$C$1</c:f>
              <c:strCache>
                <c:ptCount val="1"/>
                <c:pt idx="0">
                  <c:v>Նավթ, դոլար/բարել, աջ առանցք</c:v>
                </c:pt>
              </c:strCache>
            </c:strRef>
          </c:tx>
          <c:spPr>
            <a:ln w="31750" cap="rnd">
              <a:solidFill>
                <a:schemeClr val="accent2">
                  <a:lumMod val="60000"/>
                  <a:lumOff val="40000"/>
                </a:scheme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Sheet1!$C$14:$C$79</c:f>
              <c:numCache>
                <c:formatCode>0.0</c:formatCode>
                <c:ptCount val="66"/>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formatCode="0">
                  <c:v>54.55</c:v>
                </c:pt>
                <c:pt idx="25" formatCode="0">
                  <c:v>61.96</c:v>
                </c:pt>
                <c:pt idx="26" formatCode="0">
                  <c:v>65.19</c:v>
                </c:pt>
                <c:pt idx="27" formatCode="0">
                  <c:v>64.77</c:v>
                </c:pt>
                <c:pt idx="28" formatCode="0">
                  <c:v>68.040000000000006</c:v>
                </c:pt>
                <c:pt idx="29" formatCode="0">
                  <c:v>73.069999999999993</c:v>
                </c:pt>
                <c:pt idx="30" formatCode="0">
                  <c:v>74.39</c:v>
                </c:pt>
                <c:pt idx="31" formatCode="0">
                  <c:v>70.02</c:v>
                </c:pt>
                <c:pt idx="32" formatCode="0">
                  <c:v>74.599999999999994</c:v>
                </c:pt>
                <c:pt idx="33" formatCode="0">
                  <c:v>83.65</c:v>
                </c:pt>
                <c:pt idx="34" formatCode="0">
                  <c:v>80.77</c:v>
                </c:pt>
                <c:pt idx="35" formatCode="0">
                  <c:v>74.31</c:v>
                </c:pt>
                <c:pt idx="36" formatCode="0">
                  <c:v>85.53</c:v>
                </c:pt>
                <c:pt idx="37" formatCode="0">
                  <c:v>95.76</c:v>
                </c:pt>
                <c:pt idx="38" formatCode="0">
                  <c:v>115.59</c:v>
                </c:pt>
                <c:pt idx="39" formatCode="0">
                  <c:v>105.78</c:v>
                </c:pt>
                <c:pt idx="40" formatCode="0">
                  <c:v>112.37</c:v>
                </c:pt>
                <c:pt idx="41" formatCode="0">
                  <c:v>120.08</c:v>
                </c:pt>
                <c:pt idx="42" formatCode="0">
                  <c:v>108.92</c:v>
                </c:pt>
                <c:pt idx="43" formatCode="0">
                  <c:v>98.6</c:v>
                </c:pt>
                <c:pt idx="44" formatCode="0">
                  <c:v>90.16</c:v>
                </c:pt>
                <c:pt idx="45" formatCode="0">
                  <c:v>93.13</c:v>
                </c:pt>
                <c:pt idx="46" formatCode="0">
                  <c:v>91.07</c:v>
                </c:pt>
                <c:pt idx="47" formatCode="0">
                  <c:v>80.900000000000006</c:v>
                </c:pt>
                <c:pt idx="48" formatCode="0">
                  <c:v>83.09</c:v>
                </c:pt>
                <c:pt idx="49" formatCode="0">
                  <c:v>82.71</c:v>
                </c:pt>
                <c:pt idx="50" formatCode="0">
                  <c:v>78.53</c:v>
                </c:pt>
                <c:pt idx="51" formatCode="0">
                  <c:v>84.11</c:v>
                </c:pt>
                <c:pt idx="52" formatCode="0">
                  <c:v>75.7</c:v>
                </c:pt>
                <c:pt idx="53" formatCode="0">
                  <c:v>74.89</c:v>
                </c:pt>
                <c:pt idx="54" formatCode="0">
                  <c:v>80.099999999999994</c:v>
                </c:pt>
                <c:pt idx="55" formatCode="0">
                  <c:v>86.162999999999997</c:v>
                </c:pt>
                <c:pt idx="56" formatCode="0">
                  <c:v>94</c:v>
                </c:pt>
                <c:pt idx="57" formatCode="0">
                  <c:v>91.061000000000007</c:v>
                </c:pt>
                <c:pt idx="58" formatCode="0">
                  <c:v>83.183000000000007</c:v>
                </c:pt>
                <c:pt idx="59" formatCode="0">
                  <c:v>77.858000000000004</c:v>
                </c:pt>
                <c:pt idx="60" formatCode="0">
                  <c:v>80.227000000000004</c:v>
                </c:pt>
                <c:pt idx="61" formatCode="0">
                  <c:v>83.763999999999996</c:v>
                </c:pt>
                <c:pt idx="62" formatCode="0">
                  <c:v>85.447000000000003</c:v>
                </c:pt>
                <c:pt idx="63" formatCode="0">
                  <c:v>90.054000000000002</c:v>
                </c:pt>
                <c:pt idx="64" formatCode="0">
                  <c:v>81.995000000000005</c:v>
                </c:pt>
                <c:pt idx="65" formatCode="0">
                  <c:v>82.555000000000007</c:v>
                </c:pt>
              </c:numCache>
            </c:numRef>
          </c:val>
          <c:smooth val="0"/>
          <c:extLst>
            <c:ext xmlns:c16="http://schemas.microsoft.com/office/drawing/2014/chart" uri="{C3380CC4-5D6E-409C-BE32-E72D297353CC}">
              <c16:uniqueId val="{00000001-5FB5-483E-A94B-E1B061DEE5D8}"/>
            </c:ext>
          </c:extLst>
        </c:ser>
        <c:ser>
          <c:idx val="2"/>
          <c:order val="2"/>
          <c:tx>
            <c:strRef>
              <c:f>Sheet1!#REF!</c:f>
              <c:strCache>
                <c:ptCount val="1"/>
                <c:pt idx="0">
                  <c:v>#REF!</c:v>
                </c:pt>
              </c:strCache>
            </c:strRef>
          </c:tx>
          <c:spPr>
            <a:ln w="28575" cap="rnd">
              <a:solidFill>
                <a:schemeClr val="accent3"/>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Sheet1!#REF!</c:f>
              <c:numCache>
                <c:formatCode>General</c:formatCode>
                <c:ptCount val="1"/>
                <c:pt idx="0">
                  <c:v>1</c:v>
                </c:pt>
              </c:numCache>
            </c:numRef>
          </c:val>
          <c:smooth val="0"/>
          <c:extLst>
            <c:ext xmlns:c16="http://schemas.microsoft.com/office/drawing/2014/chart" uri="{C3380CC4-5D6E-409C-BE32-E72D297353CC}">
              <c16:uniqueId val="{00000002-5FB5-483E-A94B-E1B061DEE5D8}"/>
            </c:ext>
          </c:extLst>
        </c:ser>
        <c:dLbls>
          <c:showLegendKey val="0"/>
          <c:showVal val="0"/>
          <c:showCatName val="0"/>
          <c:showSerName val="0"/>
          <c:showPercent val="0"/>
          <c:showBubbleSize val="0"/>
        </c:dLbls>
        <c:marker val="1"/>
        <c:smooth val="0"/>
        <c:axId val="-1888362992"/>
        <c:axId val="-1888343952"/>
      </c:lineChart>
      <c:catAx>
        <c:axId val="-188835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88366800"/>
        <c:crosses val="autoZero"/>
        <c:auto val="1"/>
        <c:lblAlgn val="ctr"/>
        <c:lblOffset val="0"/>
        <c:noMultiLvlLbl val="0"/>
      </c:catAx>
      <c:valAx>
        <c:axId val="-1888366800"/>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88354832"/>
        <c:crosses val="autoZero"/>
        <c:crossBetween val="between"/>
        <c:majorUnit val="5000"/>
      </c:valAx>
      <c:valAx>
        <c:axId val="-1888343952"/>
        <c:scaling>
          <c:orientation val="minMax"/>
          <c:max val="15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88362992"/>
        <c:crosses val="max"/>
        <c:crossBetween val="between"/>
        <c:majorUnit val="50"/>
      </c:valAx>
      <c:catAx>
        <c:axId val="-1888362992"/>
        <c:scaling>
          <c:orientation val="minMax"/>
        </c:scaling>
        <c:delete val="1"/>
        <c:axPos val="b"/>
        <c:numFmt formatCode="General" sourceLinked="1"/>
        <c:majorTickMark val="out"/>
        <c:minorTickMark val="none"/>
        <c:tickLblPos val="nextTo"/>
        <c:crossAx val="-1888343952"/>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1.5087732860998498E-2"/>
          <c:y val="0.88509783492675009"/>
          <c:w val="0.97829235665236636"/>
          <c:h val="0.11002934485640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y-AM" sz="1000" dirty="0">
                <a:latin typeface="GHEA Grapalat" panose="02000506050000020003" pitchFamily="50" charset="0"/>
              </a:rPr>
              <a:t>Պարենի</a:t>
            </a:r>
            <a:r>
              <a:rPr lang="hy-AM" sz="1000" baseline="0" dirty="0">
                <a:latin typeface="GHEA Grapalat" panose="02000506050000020003" pitchFamily="50" charset="0"/>
              </a:rPr>
              <a:t> միջազգային գներ</a:t>
            </a:r>
            <a:endParaRPr lang="en-US" sz="1000" dirty="0">
              <a:latin typeface="GHEA Grapalat" panose="02000506050000020003" pitchFamily="50" charset="0"/>
            </a:endParaRPr>
          </a:p>
        </c:rich>
      </c:tx>
      <c:layout>
        <c:manualLayout>
          <c:xMode val="edge"/>
          <c:yMode val="edge"/>
          <c:x val="0.27089836027161202"/>
          <c:y val="9.107468123861567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85866638027966"/>
          <c:y val="0.13275569037476873"/>
          <c:w val="0.80339904545830076"/>
          <c:h val="0.55811286089238843"/>
        </c:manualLayout>
      </c:layout>
      <c:lineChart>
        <c:grouping val="standard"/>
        <c:varyColors val="0"/>
        <c:ser>
          <c:idx val="0"/>
          <c:order val="0"/>
          <c:tx>
            <c:strRef>
              <c:f>Sheet1!$D$1</c:f>
              <c:strCache>
                <c:ptCount val="1"/>
                <c:pt idx="0">
                  <c:v>Միս</c:v>
                </c:pt>
              </c:strCache>
            </c:strRef>
          </c:tx>
          <c:spPr>
            <a:ln w="12700" cap="rnd">
              <a:solidFill>
                <a:schemeClr val="bg1">
                  <a:lumMod val="50000"/>
                </a:schemeClr>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Sheet1!$D$2:$D$67</c:f>
              <c:numCache>
                <c:formatCode>0.0</c:formatCode>
                <c:ptCount val="66"/>
                <c:pt idx="0">
                  <c:v>100</c:v>
                </c:pt>
                <c:pt idx="1">
                  <c:v>100.89382651043778</c:v>
                </c:pt>
                <c:pt idx="2">
                  <c:v>102.50156164381458</c:v>
                </c:pt>
                <c:pt idx="3">
                  <c:v>105.94542842382498</c:v>
                </c:pt>
                <c:pt idx="4">
                  <c:v>108.9578899623221</c:v>
                </c:pt>
                <c:pt idx="5">
                  <c:v>109.7112869950171</c:v>
                </c:pt>
                <c:pt idx="6">
                  <c:v>111.02445504971973</c:v>
                </c:pt>
                <c:pt idx="7">
                  <c:v>110.84259704419428</c:v>
                </c:pt>
                <c:pt idx="8">
                  <c:v>109.47961507107598</c:v>
                </c:pt>
                <c:pt idx="9">
                  <c:v>110.05895691544292</c:v>
                </c:pt>
                <c:pt idx="10">
                  <c:v>115.45079898372904</c:v>
                </c:pt>
                <c:pt idx="11">
                  <c:v>115.58266625358216</c:v>
                </c:pt>
                <c:pt idx="12">
                  <c:v>112.29051058854664</c:v>
                </c:pt>
                <c:pt idx="13">
                  <c:v>108.87962695707913</c:v>
                </c:pt>
                <c:pt idx="14">
                  <c:v>107.75461124716239</c:v>
                </c:pt>
                <c:pt idx="15">
                  <c:v>105.02501121896981</c:v>
                </c:pt>
                <c:pt idx="16">
                  <c:v>103.40959303622228</c:v>
                </c:pt>
                <c:pt idx="17">
                  <c:v>102.75986548640878</c:v>
                </c:pt>
                <c:pt idx="18">
                  <c:v>99.953576839975611</c:v>
                </c:pt>
                <c:pt idx="19">
                  <c:v>99.927529852408483</c:v>
                </c:pt>
                <c:pt idx="20">
                  <c:v>99.137473353780067</c:v>
                </c:pt>
                <c:pt idx="21">
                  <c:v>99.472804816040963</c:v>
                </c:pt>
                <c:pt idx="22">
                  <c:v>101.13605313987937</c:v>
                </c:pt>
                <c:pt idx="23">
                  <c:v>102.79097619978188</c:v>
                </c:pt>
                <c:pt idx="24">
                  <c:v>104.00018051327531</c:v>
                </c:pt>
                <c:pt idx="25">
                  <c:v>105.95893633292587</c:v>
                </c:pt>
                <c:pt idx="26">
                  <c:v>109.20436144823053</c:v>
                </c:pt>
                <c:pt idx="27">
                  <c:v>113.08705779161301</c:v>
                </c:pt>
                <c:pt idx="28">
                  <c:v>116.38077467368926</c:v>
                </c:pt>
                <c:pt idx="29">
                  <c:v>119.95958468735375</c:v>
                </c:pt>
                <c:pt idx="30">
                  <c:v>123.67339307268786</c:v>
                </c:pt>
                <c:pt idx="31">
                  <c:v>122.9359923531395</c:v>
                </c:pt>
                <c:pt idx="32">
                  <c:v>122.12209010220813</c:v>
                </c:pt>
                <c:pt idx="33">
                  <c:v>121.34972751815869</c:v>
                </c:pt>
                <c:pt idx="34">
                  <c:v>121.93538976479982</c:v>
                </c:pt>
                <c:pt idx="35">
                  <c:v>120.3316311831653</c:v>
                </c:pt>
                <c:pt idx="36">
                  <c:v>121.54282491034134</c:v>
                </c:pt>
                <c:pt idx="37">
                  <c:v>123.41343700517467</c:v>
                </c:pt>
                <c:pt idx="38">
                  <c:v>129.31863354144474</c:v>
                </c:pt>
                <c:pt idx="39">
                  <c:v>132.11451837876544</c:v>
                </c:pt>
                <c:pt idx="40">
                  <c:v>133.16726615138023</c:v>
                </c:pt>
                <c:pt idx="41">
                  <c:v>136.47240432057984</c:v>
                </c:pt>
                <c:pt idx="42">
                  <c:v>134.44629883580902</c:v>
                </c:pt>
                <c:pt idx="43">
                  <c:v>131.23894152039051</c:v>
                </c:pt>
                <c:pt idx="44">
                  <c:v>130.3523200881308</c:v>
                </c:pt>
                <c:pt idx="45">
                  <c:v>126.61319947289506</c:v>
                </c:pt>
                <c:pt idx="46">
                  <c:v>124.22928767560416</c:v>
                </c:pt>
                <c:pt idx="47">
                  <c:v>121.8208849987623</c:v>
                </c:pt>
                <c:pt idx="48">
                  <c:v>120.43665627393959</c:v>
                </c:pt>
                <c:pt idx="49">
                  <c:v>122.80532362970983</c:v>
                </c:pt>
                <c:pt idx="50">
                  <c:v>124.29773352435258</c:v>
                </c:pt>
                <c:pt idx="51">
                  <c:v>126.62345565402664</c:v>
                </c:pt>
                <c:pt idx="52">
                  <c:v>127.98607374742997</c:v>
                </c:pt>
                <c:pt idx="53">
                  <c:v>128.92178591694537</c:v>
                </c:pt>
                <c:pt idx="54">
                  <c:v>128.42102586180263</c:v>
                </c:pt>
                <c:pt idx="55">
                  <c:v>124.85698252371478</c:v>
                </c:pt>
                <c:pt idx="56">
                  <c:v>123.62151029768974</c:v>
                </c:pt>
                <c:pt idx="57">
                  <c:v>121.95751118138364</c:v>
                </c:pt>
                <c:pt idx="58">
                  <c:v>121.41485550891048</c:v>
                </c:pt>
                <c:pt idx="59">
                  <c:v>120.99100522256239</c:v>
                </c:pt>
                <c:pt idx="60">
                  <c:v>118.10733829138786</c:v>
                </c:pt>
                <c:pt idx="61">
                  <c:v>121.95307128089595</c:v>
                </c:pt>
                <c:pt idx="62">
                  <c:v>124.0908637524912</c:v>
                </c:pt>
                <c:pt idx="63">
                  <c:v>126.5837888239852</c:v>
                </c:pt>
                <c:pt idx="64">
                  <c:v>126.3193037358558</c:v>
                </c:pt>
                <c:pt idx="65">
                  <c:v>126.68424628122023</c:v>
                </c:pt>
              </c:numCache>
            </c:numRef>
          </c:val>
          <c:smooth val="0"/>
          <c:extLst>
            <c:ext xmlns:c16="http://schemas.microsoft.com/office/drawing/2014/chart" uri="{C3380CC4-5D6E-409C-BE32-E72D297353CC}">
              <c16:uniqueId val="{00000000-1B98-487D-B46F-E61422A519C3}"/>
            </c:ext>
          </c:extLst>
        </c:ser>
        <c:ser>
          <c:idx val="1"/>
          <c:order val="1"/>
          <c:tx>
            <c:strRef>
              <c:f>Sheet1!$E$1</c:f>
              <c:strCache>
                <c:ptCount val="1"/>
                <c:pt idx="0">
                  <c:v>Կաթնամթերք</c:v>
                </c:pt>
              </c:strCache>
            </c:strRef>
          </c:tx>
          <c:spPr>
            <a:ln w="15875" cap="rnd">
              <a:solidFill>
                <a:schemeClr val="accent1"/>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Sheet1!$E$2:$E$67</c:f>
              <c:numCache>
                <c:formatCode>0.0</c:formatCode>
                <c:ptCount val="66"/>
                <c:pt idx="0">
                  <c:v>100</c:v>
                </c:pt>
                <c:pt idx="1">
                  <c:v>102.79088173953953</c:v>
                </c:pt>
                <c:pt idx="2">
                  <c:v>104.65645969082081</c:v>
                </c:pt>
                <c:pt idx="3">
                  <c:v>105.13242449586475</c:v>
                </c:pt>
                <c:pt idx="4">
                  <c:v>105.59289868247235</c:v>
                </c:pt>
                <c:pt idx="5">
                  <c:v>101.9258681400421</c:v>
                </c:pt>
                <c:pt idx="6">
                  <c:v>100.11613268066765</c:v>
                </c:pt>
                <c:pt idx="7">
                  <c:v>99.358745923751528</c:v>
                </c:pt>
                <c:pt idx="8">
                  <c:v>98.70342642414947</c:v>
                </c:pt>
                <c:pt idx="9">
                  <c:v>99.874433528895068</c:v>
                </c:pt>
                <c:pt idx="10">
                  <c:v>101.49237329423926</c:v>
                </c:pt>
                <c:pt idx="11">
                  <c:v>102.57162094379964</c:v>
                </c:pt>
                <c:pt idx="12">
                  <c:v>102.87063092330064</c:v>
                </c:pt>
                <c:pt idx="13">
                  <c:v>101.88671873852967</c:v>
                </c:pt>
                <c:pt idx="14">
                  <c:v>100.57216594765747</c:v>
                </c:pt>
                <c:pt idx="15">
                  <c:v>94.85541180536778</c:v>
                </c:pt>
                <c:pt idx="16">
                  <c:v>93.539673582469774</c:v>
                </c:pt>
                <c:pt idx="17">
                  <c:v>97.410138227753947</c:v>
                </c:pt>
                <c:pt idx="18">
                  <c:v>100.83250143127985</c:v>
                </c:pt>
                <c:pt idx="19">
                  <c:v>101.14264602784645</c:v>
                </c:pt>
                <c:pt idx="20">
                  <c:v>101.35839722165771</c:v>
                </c:pt>
                <c:pt idx="21">
                  <c:v>103.4998133741383</c:v>
                </c:pt>
                <c:pt idx="22">
                  <c:v>104.39330368509646</c:v>
                </c:pt>
                <c:pt idx="23">
                  <c:v>108.1614192133524</c:v>
                </c:pt>
                <c:pt idx="24">
                  <c:v>110.20312246920356</c:v>
                </c:pt>
                <c:pt idx="25">
                  <c:v>112.01347204740341</c:v>
                </c:pt>
                <c:pt idx="26">
                  <c:v>116.35791851074396</c:v>
                </c:pt>
                <c:pt idx="27">
                  <c:v>117.98773818082701</c:v>
                </c:pt>
                <c:pt idx="28">
                  <c:v>119.99502104091046</c:v>
                </c:pt>
                <c:pt idx="29">
                  <c:v>118.78863620491821</c:v>
                </c:pt>
                <c:pt idx="30">
                  <c:v>115.63454509861253</c:v>
                </c:pt>
                <c:pt idx="31">
                  <c:v>115.07162667689985</c:v>
                </c:pt>
                <c:pt idx="32">
                  <c:v>117.02290932854433</c:v>
                </c:pt>
                <c:pt idx="33">
                  <c:v>120.32030282356355</c:v>
                </c:pt>
                <c:pt idx="34">
                  <c:v>124.80382329993753</c:v>
                </c:pt>
                <c:pt idx="35">
                  <c:v>127.75314168728802</c:v>
                </c:pt>
                <c:pt idx="36">
                  <c:v>131.38839047060878</c:v>
                </c:pt>
                <c:pt idx="37">
                  <c:v>140.20189444991058</c:v>
                </c:pt>
                <c:pt idx="38">
                  <c:v>144.46315367173901</c:v>
                </c:pt>
                <c:pt idx="39">
                  <c:v>145.31319437878705</c:v>
                </c:pt>
                <c:pt idx="40">
                  <c:v>142.82546142349045</c:v>
                </c:pt>
                <c:pt idx="41">
                  <c:v>148.77295834364918</c:v>
                </c:pt>
                <c:pt idx="42">
                  <c:v>145.09144041732978</c:v>
                </c:pt>
                <c:pt idx="43">
                  <c:v>142.00683409562455</c:v>
                </c:pt>
                <c:pt idx="44">
                  <c:v>141.35492692661768</c:v>
                </c:pt>
                <c:pt idx="45">
                  <c:v>137.94649153309936</c:v>
                </c:pt>
                <c:pt idx="46">
                  <c:v>136.0964363201924</c:v>
                </c:pt>
                <c:pt idx="47">
                  <c:v>136.87362784925605</c:v>
                </c:pt>
                <c:pt idx="48">
                  <c:v>143.38320947136242</c:v>
                </c:pt>
                <c:pt idx="49">
                  <c:v>137.36013382152004</c:v>
                </c:pt>
                <c:pt idx="50">
                  <c:v>134.01897327411606</c:v>
                </c:pt>
                <c:pt idx="51">
                  <c:v>128.0468754876556</c:v>
                </c:pt>
                <c:pt idx="52">
                  <c:v>120.57137322383382</c:v>
                </c:pt>
                <c:pt idx="53">
                  <c:v>118.75513147344192</c:v>
                </c:pt>
                <c:pt idx="54">
                  <c:v>117.99502874328228</c:v>
                </c:pt>
                <c:pt idx="55">
                  <c:v>113.27695769296625</c:v>
                </c:pt>
                <c:pt idx="56">
                  <c:v>110.91599772287488</c:v>
                </c:pt>
                <c:pt idx="57">
                  <c:v>113.49787214001763</c:v>
                </c:pt>
                <c:pt idx="58">
                  <c:v>115.36401166442539</c:v>
                </c:pt>
                <c:pt idx="59">
                  <c:v>117.5814173848933</c:v>
                </c:pt>
                <c:pt idx="60">
                  <c:v>117.57434198462568</c:v>
                </c:pt>
                <c:pt idx="61">
                  <c:v>119.56424075101903</c:v>
                </c:pt>
                <c:pt idx="62">
                  <c:v>122.87560015930775</c:v>
                </c:pt>
                <c:pt idx="63">
                  <c:v>122.60493116203642</c:v>
                </c:pt>
                <c:pt idx="64">
                  <c:v>124.84939899463392</c:v>
                </c:pt>
                <c:pt idx="65">
                  <c:v>126.57278510551447</c:v>
                </c:pt>
              </c:numCache>
            </c:numRef>
          </c:val>
          <c:smooth val="0"/>
          <c:extLst>
            <c:ext xmlns:c16="http://schemas.microsoft.com/office/drawing/2014/chart" uri="{C3380CC4-5D6E-409C-BE32-E72D297353CC}">
              <c16:uniqueId val="{00000001-1B98-487D-B46F-E61422A519C3}"/>
            </c:ext>
          </c:extLst>
        </c:ser>
        <c:ser>
          <c:idx val="2"/>
          <c:order val="2"/>
          <c:tx>
            <c:strRef>
              <c:f>Sheet1!$F$1</c:f>
              <c:strCache>
                <c:ptCount val="1"/>
                <c:pt idx="0">
                  <c:v>Հացահատիկ</c:v>
                </c:pt>
              </c:strCache>
            </c:strRef>
          </c:tx>
          <c:spPr>
            <a:ln w="12700" cap="rnd">
              <a:solidFill>
                <a:srgbClr val="8B53AD"/>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Sheet1!$F$2:$F$67</c:f>
              <c:numCache>
                <c:formatCode>0.0</c:formatCode>
                <c:ptCount val="66"/>
                <c:pt idx="0">
                  <c:v>100</c:v>
                </c:pt>
                <c:pt idx="1">
                  <c:v>98.985395098475806</c:v>
                </c:pt>
                <c:pt idx="2">
                  <c:v>95.816626080183198</c:v>
                </c:pt>
                <c:pt idx="3">
                  <c:v>92.987942994225008</c:v>
                </c:pt>
                <c:pt idx="4">
                  <c:v>92.801046560737234</c:v>
                </c:pt>
                <c:pt idx="5">
                  <c:v>97.465520350487068</c:v>
                </c:pt>
                <c:pt idx="6">
                  <c:v>95.854793466357037</c:v>
                </c:pt>
                <c:pt idx="7">
                  <c:v>91.01473530222674</c:v>
                </c:pt>
                <c:pt idx="8">
                  <c:v>90.240091601802135</c:v>
                </c:pt>
                <c:pt idx="9">
                  <c:v>94.308612311417278</c:v>
                </c:pt>
                <c:pt idx="10">
                  <c:v>93.90698271263858</c:v>
                </c:pt>
                <c:pt idx="11">
                  <c:v>95.703138536731757</c:v>
                </c:pt>
                <c:pt idx="12">
                  <c:v>98.936351837251266</c:v>
                </c:pt>
                <c:pt idx="13">
                  <c:v>97.844578780153185</c:v>
                </c:pt>
                <c:pt idx="14">
                  <c:v>96.319077782832437</c:v>
                </c:pt>
                <c:pt idx="15">
                  <c:v>97.914255891970967</c:v>
                </c:pt>
                <c:pt idx="16">
                  <c:v>96.314261860736863</c:v>
                </c:pt>
                <c:pt idx="17">
                  <c:v>95.617224463784694</c:v>
                </c:pt>
                <c:pt idx="18">
                  <c:v>95.581822270726576</c:v>
                </c:pt>
                <c:pt idx="19">
                  <c:v>97.492093538398393</c:v>
                </c:pt>
                <c:pt idx="20">
                  <c:v>102.51289527455974</c:v>
                </c:pt>
                <c:pt idx="21">
                  <c:v>110.13891645112076</c:v>
                </c:pt>
                <c:pt idx="22">
                  <c:v>112.84616841427791</c:v>
                </c:pt>
                <c:pt idx="23">
                  <c:v>114.36236890932446</c:v>
                </c:pt>
                <c:pt idx="24">
                  <c:v>122.83525898681131</c:v>
                </c:pt>
                <c:pt idx="25">
                  <c:v>123.95325316936005</c:v>
                </c:pt>
                <c:pt idx="26">
                  <c:v>121.75339483791809</c:v>
                </c:pt>
                <c:pt idx="27">
                  <c:v>124.00589966739793</c:v>
                </c:pt>
                <c:pt idx="28">
                  <c:v>131.37017225284697</c:v>
                </c:pt>
                <c:pt idx="29">
                  <c:v>128.04821188790831</c:v>
                </c:pt>
                <c:pt idx="30">
                  <c:v>124.06125093955555</c:v>
                </c:pt>
                <c:pt idx="31">
                  <c:v>128.12056089305887</c:v>
                </c:pt>
                <c:pt idx="32">
                  <c:v>130.52668449223728</c:v>
                </c:pt>
                <c:pt idx="33">
                  <c:v>134.7576081189911</c:v>
                </c:pt>
                <c:pt idx="34">
                  <c:v>138.98475844737547</c:v>
                </c:pt>
                <c:pt idx="35">
                  <c:v>138.05150811785779</c:v>
                </c:pt>
                <c:pt idx="36">
                  <c:v>138.20150153537679</c:v>
                </c:pt>
                <c:pt idx="37">
                  <c:v>142.74817414022243</c:v>
                </c:pt>
                <c:pt idx="38">
                  <c:v>167.1723725042124</c:v>
                </c:pt>
                <c:pt idx="39">
                  <c:v>166.72569891241511</c:v>
                </c:pt>
                <c:pt idx="40">
                  <c:v>170.50289594114409</c:v>
                </c:pt>
                <c:pt idx="41">
                  <c:v>163.44365022121542</c:v>
                </c:pt>
                <c:pt idx="42">
                  <c:v>144.69558297650883</c:v>
                </c:pt>
                <c:pt idx="43">
                  <c:v>143.04370356207207</c:v>
                </c:pt>
                <c:pt idx="44">
                  <c:v>145.34256159766957</c:v>
                </c:pt>
                <c:pt idx="45">
                  <c:v>149.63321614291354</c:v>
                </c:pt>
                <c:pt idx="46">
                  <c:v>147.49795083868722</c:v>
                </c:pt>
                <c:pt idx="47">
                  <c:v>144.69298147846806</c:v>
                </c:pt>
                <c:pt idx="48">
                  <c:v>144.92698641546843</c:v>
                </c:pt>
                <c:pt idx="49">
                  <c:v>144.16416316386986</c:v>
                </c:pt>
                <c:pt idx="50">
                  <c:v>136.14462283416228</c:v>
                </c:pt>
                <c:pt idx="51">
                  <c:v>133.77294032195991</c:v>
                </c:pt>
                <c:pt idx="52">
                  <c:v>127.0229375737151</c:v>
                </c:pt>
                <c:pt idx="53">
                  <c:v>124.40059132190768</c:v>
                </c:pt>
                <c:pt idx="54">
                  <c:v>123.67107287353399</c:v>
                </c:pt>
                <c:pt idx="55">
                  <c:v>122.81920659581708</c:v>
                </c:pt>
                <c:pt idx="56">
                  <c:v>124.09612447748671</c:v>
                </c:pt>
                <c:pt idx="57">
                  <c:v>122.60051725263892</c:v>
                </c:pt>
                <c:pt idx="58">
                  <c:v>118.93744058584635</c:v>
                </c:pt>
                <c:pt idx="59">
                  <c:v>120.66550861468217</c:v>
                </c:pt>
                <c:pt idx="60">
                  <c:v>117.81223508776446</c:v>
                </c:pt>
                <c:pt idx="61">
                  <c:v>111.86439323089733</c:v>
                </c:pt>
                <c:pt idx="62">
                  <c:v>108.96450524293466</c:v>
                </c:pt>
                <c:pt idx="63">
                  <c:v>109.67484430370378</c:v>
                </c:pt>
                <c:pt idx="64">
                  <c:v>116.61066752357604</c:v>
                </c:pt>
                <c:pt idx="65">
                  <c:v>113.1621332018463</c:v>
                </c:pt>
              </c:numCache>
            </c:numRef>
          </c:val>
          <c:smooth val="0"/>
          <c:extLst>
            <c:ext xmlns:c16="http://schemas.microsoft.com/office/drawing/2014/chart" uri="{C3380CC4-5D6E-409C-BE32-E72D297353CC}">
              <c16:uniqueId val="{00000002-1B98-487D-B46F-E61422A519C3}"/>
            </c:ext>
          </c:extLst>
        </c:ser>
        <c:ser>
          <c:idx val="3"/>
          <c:order val="3"/>
          <c:tx>
            <c:strRef>
              <c:f>Sheet1!$G$1</c:f>
              <c:strCache>
                <c:ptCount val="1"/>
                <c:pt idx="0">
                  <c:v>Բուսական յուղեր</c:v>
                </c:pt>
              </c:strCache>
            </c:strRef>
          </c:tx>
          <c:spPr>
            <a:ln w="12700" cap="rnd">
              <a:solidFill>
                <a:srgbClr val="30BCD8"/>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Sheet1!$G$2:$G$67</c:f>
              <c:numCache>
                <c:formatCode>0.0</c:formatCode>
                <c:ptCount val="66"/>
                <c:pt idx="0">
                  <c:v>100</c:v>
                </c:pt>
                <c:pt idx="1">
                  <c:v>101.90158761245678</c:v>
                </c:pt>
                <c:pt idx="2">
                  <c:v>97.702481638652813</c:v>
                </c:pt>
                <c:pt idx="3">
                  <c:v>98.572245351657685</c:v>
                </c:pt>
                <c:pt idx="4">
                  <c:v>97.811420319519797</c:v>
                </c:pt>
                <c:pt idx="5">
                  <c:v>96.516098791435752</c:v>
                </c:pt>
                <c:pt idx="6">
                  <c:v>97.299143182493083</c:v>
                </c:pt>
                <c:pt idx="7">
                  <c:v>102.90490450098041</c:v>
                </c:pt>
                <c:pt idx="8">
                  <c:v>104.52331034940649</c:v>
                </c:pt>
                <c:pt idx="9">
                  <c:v>104.79856180734109</c:v>
                </c:pt>
                <c:pt idx="10">
                  <c:v>116.0803304223341</c:v>
                </c:pt>
                <c:pt idx="11">
                  <c:v>126.46549525320391</c:v>
                </c:pt>
                <c:pt idx="12">
                  <c:v>135.47876006027283</c:v>
                </c:pt>
                <c:pt idx="13">
                  <c:v>121.54970216207607</c:v>
                </c:pt>
                <c:pt idx="14">
                  <c:v>106.43780089071068</c:v>
                </c:pt>
                <c:pt idx="15">
                  <c:v>101.14577420980156</c:v>
                </c:pt>
                <c:pt idx="16">
                  <c:v>96.898600570707501</c:v>
                </c:pt>
                <c:pt idx="17">
                  <c:v>107.91904549425286</c:v>
                </c:pt>
                <c:pt idx="18">
                  <c:v>116.1260300308309</c:v>
                </c:pt>
                <c:pt idx="19">
                  <c:v>122.98069204901711</c:v>
                </c:pt>
                <c:pt idx="20">
                  <c:v>130.32515106440414</c:v>
                </c:pt>
                <c:pt idx="21">
                  <c:v>132.63508261724903</c:v>
                </c:pt>
                <c:pt idx="22">
                  <c:v>151.88949268183791</c:v>
                </c:pt>
                <c:pt idx="23">
                  <c:v>163.47201641400815</c:v>
                </c:pt>
                <c:pt idx="24">
                  <c:v>173.03516139386724</c:v>
                </c:pt>
                <c:pt idx="25">
                  <c:v>183.73558324521639</c:v>
                </c:pt>
                <c:pt idx="26">
                  <c:v>198.48742240136227</c:v>
                </c:pt>
                <c:pt idx="27">
                  <c:v>202.08746281888722</c:v>
                </c:pt>
                <c:pt idx="28">
                  <c:v>217.89223210508541</c:v>
                </c:pt>
                <c:pt idx="29">
                  <c:v>196.46708388723403</c:v>
                </c:pt>
                <c:pt idx="30">
                  <c:v>193.74461309045728</c:v>
                </c:pt>
                <c:pt idx="31">
                  <c:v>206.66142036391179</c:v>
                </c:pt>
                <c:pt idx="32">
                  <c:v>210.03624559668773</c:v>
                </c:pt>
                <c:pt idx="33">
                  <c:v>230.30414407291863</c:v>
                </c:pt>
                <c:pt idx="34">
                  <c:v>229.95241258820283</c:v>
                </c:pt>
                <c:pt idx="35">
                  <c:v>222.41455002447412</c:v>
                </c:pt>
                <c:pt idx="36">
                  <c:v>231.66721156204446</c:v>
                </c:pt>
                <c:pt idx="37">
                  <c:v>251.3365728438678</c:v>
                </c:pt>
                <c:pt idx="38">
                  <c:v>313.77720677985673</c:v>
                </c:pt>
                <c:pt idx="39">
                  <c:v>295.96024430789657</c:v>
                </c:pt>
                <c:pt idx="40">
                  <c:v>285.63001933404212</c:v>
                </c:pt>
                <c:pt idx="41">
                  <c:v>263.89296419451284</c:v>
                </c:pt>
                <c:pt idx="42">
                  <c:v>210.34719343638744</c:v>
                </c:pt>
                <c:pt idx="43">
                  <c:v>203.49817760835785</c:v>
                </c:pt>
                <c:pt idx="44">
                  <c:v>190.1029284524889</c:v>
                </c:pt>
                <c:pt idx="45">
                  <c:v>188.49833853760259</c:v>
                </c:pt>
                <c:pt idx="46">
                  <c:v>192.76226734476404</c:v>
                </c:pt>
                <c:pt idx="47">
                  <c:v>180.16935522996457</c:v>
                </c:pt>
                <c:pt idx="48">
                  <c:v>174.95068241007854</c:v>
                </c:pt>
                <c:pt idx="49">
                  <c:v>169.29049786435638</c:v>
                </c:pt>
                <c:pt idx="50">
                  <c:v>164.20379142631597</c:v>
                </c:pt>
                <c:pt idx="51">
                  <c:v>162.01505722191894</c:v>
                </c:pt>
                <c:pt idx="52">
                  <c:v>147.87614701606566</c:v>
                </c:pt>
                <c:pt idx="53">
                  <c:v>144.27186696819604</c:v>
                </c:pt>
                <c:pt idx="54">
                  <c:v>161.73595868426494</c:v>
                </c:pt>
                <c:pt idx="55">
                  <c:v>156.77174837707108</c:v>
                </c:pt>
                <c:pt idx="56">
                  <c:v>150.59708963531318</c:v>
                </c:pt>
                <c:pt idx="57">
                  <c:v>149.5283561004486</c:v>
                </c:pt>
                <c:pt idx="58">
                  <c:v>154.65475199844806</c:v>
                </c:pt>
                <c:pt idx="59">
                  <c:v>152.38631194777344</c:v>
                </c:pt>
                <c:pt idx="60">
                  <c:v>152.59719391806181</c:v>
                </c:pt>
                <c:pt idx="61">
                  <c:v>150.60390379335402</c:v>
                </c:pt>
                <c:pt idx="62">
                  <c:v>162.67383315475158</c:v>
                </c:pt>
                <c:pt idx="63">
                  <c:v>163.09714860713689</c:v>
                </c:pt>
                <c:pt idx="64">
                  <c:v>159.21383455405413</c:v>
                </c:pt>
                <c:pt idx="65">
                  <c:v>164.23435779271935</c:v>
                </c:pt>
              </c:numCache>
            </c:numRef>
          </c:val>
          <c:smooth val="0"/>
          <c:extLst>
            <c:ext xmlns:c16="http://schemas.microsoft.com/office/drawing/2014/chart" uri="{C3380CC4-5D6E-409C-BE32-E72D297353CC}">
              <c16:uniqueId val="{00000003-1B98-487D-B46F-E61422A519C3}"/>
            </c:ext>
          </c:extLst>
        </c:ser>
        <c:ser>
          <c:idx val="4"/>
          <c:order val="4"/>
          <c:tx>
            <c:strRef>
              <c:f>Sheet1!$H$1</c:f>
              <c:strCache>
                <c:ptCount val="1"/>
                <c:pt idx="0">
                  <c:v>Շաքարավազ</c:v>
                </c:pt>
              </c:strCache>
            </c:strRef>
          </c:tx>
          <c:spPr>
            <a:ln w="12700" cap="rnd">
              <a:solidFill>
                <a:schemeClr val="accent6"/>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Sheet1!$H$2:$H$67</c:f>
              <c:numCache>
                <c:formatCode>0.0</c:formatCode>
                <c:ptCount val="66"/>
                <c:pt idx="0">
                  <c:v>100</c:v>
                </c:pt>
                <c:pt idx="1">
                  <c:v>101.21747145997304</c:v>
                </c:pt>
                <c:pt idx="2">
                  <c:v>99.142364171081468</c:v>
                </c:pt>
                <c:pt idx="3">
                  <c:v>99.89009430617601</c:v>
                </c:pt>
                <c:pt idx="4">
                  <c:v>96.713465220165901</c:v>
                </c:pt>
                <c:pt idx="5">
                  <c:v>100.75728568389701</c:v>
                </c:pt>
                <c:pt idx="6">
                  <c:v>100.10821009405953</c:v>
                </c:pt>
                <c:pt idx="7">
                  <c:v>96.075303126994257</c:v>
                </c:pt>
                <c:pt idx="8">
                  <c:v>92.649993415787918</c:v>
                </c:pt>
                <c:pt idx="9">
                  <c:v>98.019231184237697</c:v>
                </c:pt>
                <c:pt idx="10">
                  <c:v>99.807200764443877</c:v>
                </c:pt>
                <c:pt idx="11">
                  <c:v>104.60590958357389</c:v>
                </c:pt>
                <c:pt idx="12">
                  <c:v>110.33113521945684</c:v>
                </c:pt>
                <c:pt idx="13">
                  <c:v>115.25703750974969</c:v>
                </c:pt>
                <c:pt idx="14">
                  <c:v>93.195419414309001</c:v>
                </c:pt>
                <c:pt idx="15">
                  <c:v>79.628110196074459</c:v>
                </c:pt>
                <c:pt idx="16">
                  <c:v>85.508757002056271</c:v>
                </c:pt>
                <c:pt idx="17">
                  <c:v>94.451180599872359</c:v>
                </c:pt>
                <c:pt idx="18">
                  <c:v>95.801386692316456</c:v>
                </c:pt>
                <c:pt idx="19">
                  <c:v>102.20655517400888</c:v>
                </c:pt>
                <c:pt idx="20">
                  <c:v>99.517833085159154</c:v>
                </c:pt>
                <c:pt idx="21">
                  <c:v>106.76451818761964</c:v>
                </c:pt>
                <c:pt idx="22">
                  <c:v>110.31589023611994</c:v>
                </c:pt>
                <c:pt idx="23">
                  <c:v>109.82769623484363</c:v>
                </c:pt>
                <c:pt idx="24">
                  <c:v>118.67333191519532</c:v>
                </c:pt>
                <c:pt idx="25">
                  <c:v>126.25469758207471</c:v>
                </c:pt>
                <c:pt idx="26">
                  <c:v>121.24216555836099</c:v>
                </c:pt>
                <c:pt idx="27">
                  <c:v>126.0181048949396</c:v>
                </c:pt>
                <c:pt idx="28">
                  <c:v>134.60433950223356</c:v>
                </c:pt>
                <c:pt idx="29">
                  <c:v>135.77962135715802</c:v>
                </c:pt>
                <c:pt idx="30">
                  <c:v>138.07345954761399</c:v>
                </c:pt>
                <c:pt idx="31">
                  <c:v>151.92512231440114</c:v>
                </c:pt>
                <c:pt idx="32">
                  <c:v>152.74055165567609</c:v>
                </c:pt>
                <c:pt idx="33">
                  <c:v>150.0636473833666</c:v>
                </c:pt>
                <c:pt idx="34">
                  <c:v>151.47486350421894</c:v>
                </c:pt>
                <c:pt idx="35">
                  <c:v>146.74537332482456</c:v>
                </c:pt>
                <c:pt idx="36">
                  <c:v>142.00018233202667</c:v>
                </c:pt>
                <c:pt idx="37">
                  <c:v>139.30759412890876</c:v>
                </c:pt>
                <c:pt idx="38">
                  <c:v>148.61253695636762</c:v>
                </c:pt>
                <c:pt idx="39">
                  <c:v>153.18726512089628</c:v>
                </c:pt>
                <c:pt idx="40">
                  <c:v>151.7301283414877</c:v>
                </c:pt>
                <c:pt idx="41">
                  <c:v>147.81961284833019</c:v>
                </c:pt>
                <c:pt idx="42">
                  <c:v>142.21931841587241</c:v>
                </c:pt>
                <c:pt idx="43">
                  <c:v>139.23587025887187</c:v>
                </c:pt>
                <c:pt idx="44">
                  <c:v>138.22945472594489</c:v>
                </c:pt>
                <c:pt idx="45">
                  <c:v>136.84862727619594</c:v>
                </c:pt>
                <c:pt idx="46">
                  <c:v>144.17499822732759</c:v>
                </c:pt>
                <c:pt idx="47">
                  <c:v>147.68286382836484</c:v>
                </c:pt>
                <c:pt idx="48">
                  <c:v>147.19259326789648</c:v>
                </c:pt>
                <c:pt idx="49">
                  <c:v>157.75792384599026</c:v>
                </c:pt>
                <c:pt idx="50">
                  <c:v>160.05783536651165</c:v>
                </c:pt>
                <c:pt idx="51">
                  <c:v>188.29439051788162</c:v>
                </c:pt>
                <c:pt idx="52">
                  <c:v>198.14223923987808</c:v>
                </c:pt>
                <c:pt idx="53">
                  <c:v>191.77125434304764</c:v>
                </c:pt>
                <c:pt idx="54">
                  <c:v>184.42344249619305</c:v>
                </c:pt>
                <c:pt idx="55">
                  <c:v>186.77709645496341</c:v>
                </c:pt>
                <c:pt idx="56">
                  <c:v>205.07423277046763</c:v>
                </c:pt>
                <c:pt idx="57">
                  <c:v>200.6239807133235</c:v>
                </c:pt>
                <c:pt idx="58">
                  <c:v>203.41062185350637</c:v>
                </c:pt>
                <c:pt idx="59">
                  <c:v>169.18067077926688</c:v>
                </c:pt>
                <c:pt idx="60">
                  <c:v>171.9102318655606</c:v>
                </c:pt>
                <c:pt idx="61">
                  <c:v>177.41851615495526</c:v>
                </c:pt>
                <c:pt idx="62">
                  <c:v>168.07700489257616</c:v>
                </c:pt>
                <c:pt idx="63">
                  <c:v>159.57952208749919</c:v>
                </c:pt>
                <c:pt idx="64">
                  <c:v>147.59271077075806</c:v>
                </c:pt>
                <c:pt idx="65">
                  <c:v>150.4378501028151</c:v>
                </c:pt>
              </c:numCache>
            </c:numRef>
          </c:val>
          <c:smooth val="0"/>
          <c:extLst>
            <c:ext xmlns:c16="http://schemas.microsoft.com/office/drawing/2014/chart" uri="{C3380CC4-5D6E-409C-BE32-E72D297353CC}">
              <c16:uniqueId val="{00000004-1B98-487D-B46F-E61422A519C3}"/>
            </c:ext>
          </c:extLst>
        </c:ser>
        <c:ser>
          <c:idx val="5"/>
          <c:order val="5"/>
          <c:tx>
            <c:strRef>
              <c:f>Sheet1!$C$1</c:f>
              <c:strCache>
                <c:ptCount val="1"/>
                <c:pt idx="0">
                  <c:v>Պարենի գնի համաթիվ</c:v>
                </c:pt>
              </c:strCache>
            </c:strRef>
          </c:tx>
          <c:spPr>
            <a:ln w="28575" cap="rnd">
              <a:solidFill>
                <a:schemeClr val="tx2"/>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Sheet1!$C$2:$C$67</c:f>
              <c:numCache>
                <c:formatCode>0.0</c:formatCode>
                <c:ptCount val="66"/>
                <c:pt idx="0">
                  <c:v>100</c:v>
                </c:pt>
                <c:pt idx="1">
                  <c:v>100.74453890270553</c:v>
                </c:pt>
                <c:pt idx="2">
                  <c:v>99.832132827399604</c:v>
                </c:pt>
                <c:pt idx="3">
                  <c:v>100.31753700950637</c:v>
                </c:pt>
                <c:pt idx="4">
                  <c:v>101.02084693992067</c:v>
                </c:pt>
                <c:pt idx="5">
                  <c:v>102.23965210334796</c:v>
                </c:pt>
                <c:pt idx="6">
                  <c:v>101.96319281775789</c:v>
                </c:pt>
                <c:pt idx="7">
                  <c:v>100.82421534090194</c:v>
                </c:pt>
                <c:pt idx="8">
                  <c:v>100.0574124353123</c:v>
                </c:pt>
                <c:pt idx="9">
                  <c:v>102.07071553450325</c:v>
                </c:pt>
                <c:pt idx="10">
                  <c:v>105.69159498568746</c:v>
                </c:pt>
                <c:pt idx="11">
                  <c:v>108.24274701853363</c:v>
                </c:pt>
                <c:pt idx="12">
                  <c:v>109.85911726662653</c:v>
                </c:pt>
                <c:pt idx="13">
                  <c:v>106.54119961188425</c:v>
                </c:pt>
                <c:pt idx="14">
                  <c:v>101.99558194667132</c:v>
                </c:pt>
                <c:pt idx="15">
                  <c:v>99.155350990555917</c:v>
                </c:pt>
                <c:pt idx="16">
                  <c:v>97.664150112245395</c:v>
                </c:pt>
                <c:pt idx="17">
                  <c:v>99.936540825253985</c:v>
                </c:pt>
                <c:pt idx="18">
                  <c:v>100.77842889257241</c:v>
                </c:pt>
                <c:pt idx="19">
                  <c:v>102.78720724941809</c:v>
                </c:pt>
                <c:pt idx="20">
                  <c:v>105.03288274311672</c:v>
                </c:pt>
                <c:pt idx="21">
                  <c:v>108.63882062522549</c:v>
                </c:pt>
                <c:pt idx="22">
                  <c:v>113.15001130745854</c:v>
                </c:pt>
                <c:pt idx="23">
                  <c:v>116.37654118872092</c:v>
                </c:pt>
                <c:pt idx="24">
                  <c:v>121.65831839495753</c:v>
                </c:pt>
                <c:pt idx="25">
                  <c:v>124.92143317820711</c:v>
                </c:pt>
                <c:pt idx="26">
                  <c:v>127.77072558939832</c:v>
                </c:pt>
                <c:pt idx="27">
                  <c:v>130.81089912356762</c:v>
                </c:pt>
                <c:pt idx="28">
                  <c:v>137.30426601932751</c:v>
                </c:pt>
                <c:pt idx="29">
                  <c:v>134.25232125150248</c:v>
                </c:pt>
                <c:pt idx="30">
                  <c:v>133.4884829370381</c:v>
                </c:pt>
                <c:pt idx="31">
                  <c:v>137.12484937262627</c:v>
                </c:pt>
                <c:pt idx="32">
                  <c:v>138.44409662675565</c:v>
                </c:pt>
                <c:pt idx="33">
                  <c:v>142.76834637008389</c:v>
                </c:pt>
                <c:pt idx="34">
                  <c:v>145.00858965514425</c:v>
                </c:pt>
                <c:pt idx="35">
                  <c:v>143.26851703879638</c:v>
                </c:pt>
                <c:pt idx="36">
                  <c:v>145.3079002302855</c:v>
                </c:pt>
                <c:pt idx="37">
                  <c:v>151.35332825484298</c:v>
                </c:pt>
                <c:pt idx="38">
                  <c:v>171.15477337302912</c:v>
                </c:pt>
                <c:pt idx="39">
                  <c:v>169.78507056106341</c:v>
                </c:pt>
                <c:pt idx="40">
                  <c:v>169.37547831364941</c:v>
                </c:pt>
                <c:pt idx="41">
                  <c:v>165.79125941340135</c:v>
                </c:pt>
                <c:pt idx="42">
                  <c:v>150.64279187151291</c:v>
                </c:pt>
                <c:pt idx="43">
                  <c:v>147.43552710500325</c:v>
                </c:pt>
                <c:pt idx="44">
                  <c:v>145.78756264512978</c:v>
                </c:pt>
                <c:pt idx="45">
                  <c:v>145.07676688971267</c:v>
                </c:pt>
                <c:pt idx="46">
                  <c:v>144.38990540625946</c:v>
                </c:pt>
                <c:pt idx="47">
                  <c:v>141.2361280986444</c:v>
                </c:pt>
                <c:pt idx="48">
                  <c:v>141.06449580706862</c:v>
                </c:pt>
                <c:pt idx="49">
                  <c:v>140.51434754293805</c:v>
                </c:pt>
                <c:pt idx="50">
                  <c:v>137.38093037914913</c:v>
                </c:pt>
                <c:pt idx="51">
                  <c:v>137.87881488374384</c:v>
                </c:pt>
                <c:pt idx="52">
                  <c:v>133.63125738711139</c:v>
                </c:pt>
                <c:pt idx="53">
                  <c:v>131.93722952250036</c:v>
                </c:pt>
                <c:pt idx="54">
                  <c:v>133.4886867125424</c:v>
                </c:pt>
                <c:pt idx="55">
                  <c:v>130.75942047171409</c:v>
                </c:pt>
                <c:pt idx="56">
                  <c:v>130.61217186971152</c:v>
                </c:pt>
                <c:pt idx="57">
                  <c:v>129.56361376176906</c:v>
                </c:pt>
                <c:pt idx="58">
                  <c:v>129.41674047400298</c:v>
                </c:pt>
                <c:pt idx="59">
                  <c:v>127.77273039421719</c:v>
                </c:pt>
                <c:pt idx="60">
                  <c:v>126.11701376103625</c:v>
                </c:pt>
                <c:pt idx="61">
                  <c:v>125.85793440444264</c:v>
                </c:pt>
                <c:pt idx="62">
                  <c:v>127.31973099117938</c:v>
                </c:pt>
                <c:pt idx="63">
                  <c:v>127.87306411444857</c:v>
                </c:pt>
                <c:pt idx="64">
                  <c:v>129.03387792505808</c:v>
                </c:pt>
                <c:pt idx="65">
                  <c:v>129.22031058538295</c:v>
                </c:pt>
              </c:numCache>
            </c:numRef>
          </c:val>
          <c:smooth val="0"/>
          <c:extLst>
            <c:ext xmlns:c16="http://schemas.microsoft.com/office/drawing/2014/chart" uri="{C3380CC4-5D6E-409C-BE32-E72D297353CC}">
              <c16:uniqueId val="{00000005-1B98-487D-B46F-E61422A519C3}"/>
            </c:ext>
          </c:extLst>
        </c:ser>
        <c:dLbls>
          <c:showLegendKey val="0"/>
          <c:showVal val="0"/>
          <c:showCatName val="0"/>
          <c:showSerName val="0"/>
          <c:showPercent val="0"/>
          <c:showBubbleSize val="0"/>
        </c:dLbls>
        <c:smooth val="0"/>
        <c:axId val="-282334448"/>
        <c:axId val="-282325200"/>
      </c:lineChart>
      <c:catAx>
        <c:axId val="-28233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2325200"/>
        <c:crosses val="autoZero"/>
        <c:auto val="1"/>
        <c:lblAlgn val="ctr"/>
        <c:lblOffset val="0"/>
        <c:noMultiLvlLbl val="0"/>
      </c:catAx>
      <c:valAx>
        <c:axId val="-28232520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hy-AM" sz="900" dirty="0">
                    <a:latin typeface="GHEA Grapalat" panose="02000506050000020003" pitchFamily="50" charset="0"/>
                  </a:rPr>
                  <a:t>Ինդեքս,</a:t>
                </a:r>
                <a:r>
                  <a:rPr lang="hy-AM" sz="900" baseline="0" dirty="0">
                    <a:latin typeface="GHEA Grapalat" panose="02000506050000020003" pitchFamily="50" charset="0"/>
                  </a:rPr>
                  <a:t> </a:t>
                </a:r>
                <a:r>
                  <a:rPr lang="hy-AM" sz="900" dirty="0">
                    <a:latin typeface="GHEA Grapalat" panose="02000506050000020003" pitchFamily="50" charset="0"/>
                  </a:rPr>
                  <a:t>2019թ.</a:t>
                </a:r>
                <a:r>
                  <a:rPr lang="hy-AM" sz="900" baseline="0" dirty="0">
                    <a:latin typeface="GHEA Grapalat" panose="02000506050000020003" pitchFamily="50" charset="0"/>
                  </a:rPr>
                  <a:t> հունվար </a:t>
                </a:r>
                <a:r>
                  <a:rPr lang="en-US" sz="900" baseline="0" dirty="0">
                    <a:latin typeface="GHEA Grapalat" panose="02000506050000020003" pitchFamily="50" charset="0"/>
                  </a:rPr>
                  <a:t>=100</a:t>
                </a:r>
                <a:endParaRPr lang="en-US" sz="900" dirty="0">
                  <a:latin typeface="GHEA Grapalat" panose="02000506050000020003" pitchFamily="50" charset="0"/>
                </a:endParaRPr>
              </a:p>
            </c:rich>
          </c:tx>
          <c:layout>
            <c:manualLayout>
              <c:xMode val="edge"/>
              <c:yMode val="edge"/>
              <c:x val="5.775339301183945E-3"/>
              <c:y val="0.101853108878631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2334448"/>
        <c:crosses val="autoZero"/>
        <c:crossBetween val="between"/>
      </c:valAx>
      <c:spPr>
        <a:noFill/>
        <a:ln w="25400">
          <a:noFill/>
        </a:ln>
        <a:effectLst/>
      </c:spPr>
    </c:plotArea>
    <c:legend>
      <c:legendPos val="b"/>
      <c:layout>
        <c:manualLayout>
          <c:xMode val="edge"/>
          <c:yMode val="edge"/>
          <c:x val="0"/>
          <c:y val="0.83821147356580428"/>
          <c:w val="1"/>
          <c:h val="0.16178852643419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ysClr val="window" lastClr="FFFFFF">
                <a:lumMod val="65000"/>
              </a:sysClr>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19.299999999999983</c:v>
                </c:pt>
                <c:pt idx="1">
                  <c:v>28.480160472444283</c:v>
                </c:pt>
                <c:pt idx="2">
                  <c:v>29.323247969888541</c:v>
                </c:pt>
                <c:pt idx="3">
                  <c:v>26.068838616538969</c:v>
                </c:pt>
                <c:pt idx="4">
                  <c:v>22</c:v>
                </c:pt>
                <c:pt idx="5">
                  <c:v>18.200000000000003</c:v>
                </c:pt>
              </c:numCache>
            </c:numRef>
          </c:val>
          <c:extLst>
            <c:ext xmlns:c16="http://schemas.microsoft.com/office/drawing/2014/chart" uri="{C3380CC4-5D6E-409C-BE32-E72D297353CC}">
              <c16:uniqueId val="{00000000-3CFE-4F76-A9DC-369CD8F8911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3.7000000000000028</c:v>
                </c:pt>
                <c:pt idx="5" formatCode="0.0">
                  <c:v>4</c:v>
                </c:pt>
              </c:numCache>
            </c:numRef>
          </c:val>
          <c:extLst>
            <c:ext xmlns:c16="http://schemas.microsoft.com/office/drawing/2014/chart" uri="{C3380CC4-5D6E-409C-BE32-E72D297353CC}">
              <c16:uniqueId val="{00000001-3CFE-4F76-A9DC-369CD8F8911F}"/>
            </c:ext>
          </c:extLst>
        </c:ser>
        <c:ser>
          <c:idx val="3"/>
          <c:order val="3"/>
          <c:tx>
            <c:strRef>
              <c:f>Sheet1!$A$5</c:f>
              <c:strCache>
                <c:ptCount val="1"/>
                <c:pt idx="0">
                  <c:v>շինարարություն</c:v>
                </c:pt>
              </c:strCache>
            </c:strRef>
          </c:tx>
          <c:spPr>
            <a:solidFill>
              <a:srgbClr val="1F497D">
                <a:lumMod val="60000"/>
                <a:lumOff val="40000"/>
              </a:srgbClr>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9.5</c:v>
                </c:pt>
                <c:pt idx="1">
                  <c:v>10.799999999999997</c:v>
                </c:pt>
                <c:pt idx="2">
                  <c:v>11.700000000000003</c:v>
                </c:pt>
                <c:pt idx="3">
                  <c:v>13.700000000000003</c:v>
                </c:pt>
                <c:pt idx="4">
                  <c:v>14.900000000000006</c:v>
                </c:pt>
                <c:pt idx="5">
                  <c:v>15.700000000000003</c:v>
                </c:pt>
              </c:numCache>
            </c:numRef>
          </c:val>
          <c:extLst>
            <c:ext xmlns:c16="http://schemas.microsoft.com/office/drawing/2014/chart" uri="{C3380CC4-5D6E-409C-BE32-E72D297353CC}">
              <c16:uniqueId val="{00000002-3CFE-4F76-A9DC-369CD8F8911F}"/>
            </c:ext>
          </c:extLst>
        </c:ser>
        <c:ser>
          <c:idx val="4"/>
          <c:order val="4"/>
          <c:tx>
            <c:strRef>
              <c:f>Sheet1!$A$6</c:f>
              <c:strCache>
                <c:ptCount val="1"/>
                <c:pt idx="0">
                  <c:v>ծառայություններ</c:v>
                </c:pt>
              </c:strCache>
            </c:strRef>
          </c:tx>
          <c:spPr>
            <a:solidFill>
              <a:srgbClr val="1F497D"/>
            </a:solidFill>
            <a:ln>
              <a:solidFill>
                <a:srgbClr val="1F497D">
                  <a:lumMod val="75000"/>
                </a:srgbClr>
              </a:solidFill>
            </a:ln>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4.5000000000000142</c:v>
                </c:pt>
                <c:pt idx="1">
                  <c:v>5.2424922691839129</c:v>
                </c:pt>
                <c:pt idx="2">
                  <c:v>4.0169578251112199</c:v>
                </c:pt>
                <c:pt idx="3">
                  <c:v>3.9042713428262488</c:v>
                </c:pt>
                <c:pt idx="4">
                  <c:v>3.6470304875379895</c:v>
                </c:pt>
                <c:pt idx="5">
                  <c:v>4.4000000000000057</c:v>
                </c:pt>
              </c:numCache>
            </c:numRef>
          </c:val>
          <c:extLst>
            <c:ext xmlns:c16="http://schemas.microsoft.com/office/drawing/2014/chart" uri="{C3380CC4-5D6E-409C-BE32-E72D297353CC}">
              <c16:uniqueId val="{00000003-3CFE-4F76-A9DC-369CD8F8911F}"/>
            </c:ext>
          </c:extLst>
        </c:ser>
        <c:ser>
          <c:idx val="5"/>
          <c:order val="5"/>
          <c:tx>
            <c:strRef>
              <c:f>Sheet1!$A$7</c:f>
              <c:strCache>
                <c:ptCount val="1"/>
                <c:pt idx="0">
                  <c:v>առևտուր</c:v>
                </c:pt>
              </c:strCache>
            </c:strRef>
          </c:tx>
          <c:spPr>
            <a:solidFill>
              <a:srgbClr val="F79646"/>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19.299999999999997</c:v>
                </c:pt>
                <c:pt idx="1">
                  <c:v>24.099999999999994</c:v>
                </c:pt>
                <c:pt idx="2">
                  <c:v>26.5</c:v>
                </c:pt>
                <c:pt idx="3">
                  <c:v>26.700000000000003</c:v>
                </c:pt>
                <c:pt idx="4">
                  <c:v>24.599999999999994</c:v>
                </c:pt>
                <c:pt idx="5">
                  <c:v>22.900000000000006</c:v>
                </c:pt>
              </c:numCache>
            </c:numRef>
          </c:val>
          <c:extLst>
            <c:ext xmlns:c16="http://schemas.microsoft.com/office/drawing/2014/chart" uri="{C3380CC4-5D6E-409C-BE32-E72D297353CC}">
              <c16:uniqueId val="{00000004-3CFE-4F76-A9DC-369CD8F8911F}"/>
            </c:ext>
          </c:extLst>
        </c:ser>
        <c:dLbls>
          <c:showLegendKey val="0"/>
          <c:showVal val="0"/>
          <c:showCatName val="0"/>
          <c:showSerName val="0"/>
          <c:showPercent val="0"/>
          <c:showBubbleSize val="0"/>
        </c:dLbls>
        <c:gapWidth val="150"/>
        <c:axId val="186112256"/>
        <c:axId val="186118144"/>
      </c:barChart>
      <c:lineChart>
        <c:grouping val="standard"/>
        <c:varyColors val="0"/>
        <c:ser>
          <c:idx val="0"/>
          <c:order val="0"/>
          <c:tx>
            <c:strRef>
              <c:f>Sheet1!$A$2</c:f>
              <c:strCache>
                <c:ptCount val="1"/>
                <c:pt idx="0">
                  <c:v>ՏԱՑ, աջ առանցք</c:v>
                </c:pt>
              </c:strCache>
            </c:strRef>
          </c:tx>
          <c:spPr>
            <a:effectLst/>
          </c:spPr>
          <c:dLbls>
            <c:dLbl>
              <c:idx val="0"/>
              <c:layout>
                <c:manualLayout>
                  <c:x val="-6.2142724285448571E-2"/>
                  <c:y val="-4.54684016071178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CFE-4F76-A9DC-369CD8F8911F}"/>
                </c:ext>
              </c:extLst>
            </c:dLbl>
            <c:dLbl>
              <c:idx val="1"/>
              <c:layout>
                <c:manualLayout>
                  <c:x val="-8.0543055822953749E-2"/>
                  <c:y val="-5.23083468875556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CFE-4F76-A9DC-369CD8F8911F}"/>
                </c:ext>
              </c:extLst>
            </c:dLbl>
            <c:dLbl>
              <c:idx val="2"/>
              <c:layout>
                <c:manualLayout>
                  <c:x val="-7.4078074471938413E-2"/>
                  <c:y val="-5.23083468875556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CFE-4F76-A9DC-369CD8F8911F}"/>
                </c:ext>
              </c:extLst>
            </c:dLbl>
            <c:dLbl>
              <c:idx val="3"/>
              <c:layout>
                <c:manualLayout>
                  <c:x val="-6.5789636842431498E-2"/>
                  <c:y val="-5.23083468875556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CFE-4F76-A9DC-369CD8F8911F}"/>
                </c:ext>
              </c:extLst>
            </c:dLbl>
            <c:dLbl>
              <c:idx val="4"/>
              <c:layout>
                <c:manualLayout>
                  <c:x val="-6.6473269788644845E-2"/>
                  <c:y val="-5.23083468875556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CFE-4F76-A9DC-369CD8F8911F}"/>
                </c:ext>
              </c:extLst>
            </c:dLbl>
            <c:dLbl>
              <c:idx val="5"/>
              <c:layout>
                <c:manualLayout>
                  <c:x val="-6.897024320364438E-2"/>
                  <c:y val="-5.23083468875556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CFE-4F76-A9DC-369CD8F8911F}"/>
                </c:ext>
              </c:extLst>
            </c:dLbl>
            <c:dLbl>
              <c:idx val="6"/>
              <c:layout>
                <c:manualLayout>
                  <c:x val="-6.7633651056775879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FE-4F76-A9DC-369CD8F8911F}"/>
                </c:ext>
              </c:extLst>
            </c:dLbl>
            <c:dLbl>
              <c:idx val="7"/>
              <c:layout>
                <c:manualLayout>
                  <c:x val="-7.5922088686282793E-2"/>
                  <c:y val="-4.5468401607117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FE-4F76-A9DC-369CD8F8911F}"/>
                </c:ext>
              </c:extLst>
            </c:dLbl>
            <c:dLbl>
              <c:idx val="8"/>
              <c:layout>
                <c:manualLayout>
                  <c:x val="-6.4836466515038299E-2"/>
                  <c:y val="-4.5468401607117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FE-4F76-A9DC-369CD8F8911F}"/>
                </c:ext>
              </c:extLst>
            </c:dLbl>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10.448773289508679</c:v>
                </c:pt>
                <c:pt idx="1">
                  <c:v>13.508185139728667</c:v>
                </c:pt>
                <c:pt idx="2">
                  <c:v>13.641544390529077</c:v>
                </c:pt>
                <c:pt idx="3">
                  <c:v>12.923567245656528</c:v>
                </c:pt>
                <c:pt idx="4">
                  <c:v>11.168079423909234</c:v>
                </c:pt>
                <c:pt idx="5">
                  <c:v>10.355655084189124</c:v>
                </c:pt>
              </c:numCache>
            </c:numRef>
          </c:val>
          <c:smooth val="0"/>
          <c:extLst>
            <c:ext xmlns:c16="http://schemas.microsoft.com/office/drawing/2014/chart" uri="{C3380CC4-5D6E-409C-BE32-E72D297353CC}">
              <c16:uniqueId val="{0000000E-3CFE-4F76-A9DC-369CD8F8911F}"/>
            </c:ext>
          </c:extLst>
        </c:ser>
        <c:dLbls>
          <c:showLegendKey val="0"/>
          <c:showVal val="0"/>
          <c:showCatName val="0"/>
          <c:showSerName val="0"/>
          <c:showPercent val="0"/>
          <c:showBubbleSize val="0"/>
        </c:dLbls>
        <c:marker val="1"/>
        <c:smooth val="0"/>
        <c:axId val="186121216"/>
        <c:axId val="186119680"/>
      </c:lineChart>
      <c:catAx>
        <c:axId val="186112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8144"/>
        <c:crosses val="autoZero"/>
        <c:auto val="1"/>
        <c:lblAlgn val="ctr"/>
        <c:lblOffset val="100"/>
        <c:noMultiLvlLbl val="0"/>
      </c:catAx>
      <c:valAx>
        <c:axId val="186118144"/>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2256"/>
        <c:crosses val="autoZero"/>
        <c:crossBetween val="between"/>
        <c:majorUnit val="5"/>
      </c:valAx>
      <c:valAx>
        <c:axId val="186119680"/>
        <c:scaling>
          <c:orientation val="minMax"/>
          <c:max val="16"/>
          <c:min val="0"/>
        </c:scaling>
        <c:delete val="0"/>
        <c:axPos val="r"/>
        <c:numFmt formatCode="0.0" sourceLinked="1"/>
        <c:majorTickMark val="out"/>
        <c:minorTickMark val="none"/>
        <c:tickLblPos val="nextTo"/>
        <c:crossAx val="186121216"/>
        <c:crosses val="max"/>
        <c:crossBetween val="between"/>
      </c:valAx>
      <c:catAx>
        <c:axId val="186121216"/>
        <c:scaling>
          <c:orientation val="minMax"/>
        </c:scaling>
        <c:delete val="1"/>
        <c:axPos val="b"/>
        <c:numFmt formatCode="General" sourceLinked="1"/>
        <c:majorTickMark val="out"/>
        <c:minorTickMark val="none"/>
        <c:tickLblPos val="nextTo"/>
        <c:crossAx val="1861196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07172761713944"/>
          <c:h val="0.17935682971229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ysClr val="window" lastClr="FFFFFF">
                <a:lumMod val="65000"/>
              </a:sys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19.299999999999997</c:v>
                </c:pt>
                <c:pt idx="1">
                  <c:v>37.300000000000011</c:v>
                </c:pt>
                <c:pt idx="2">
                  <c:v>30.900000000000006</c:v>
                </c:pt>
                <c:pt idx="3">
                  <c:v>16.599999999999994</c:v>
                </c:pt>
                <c:pt idx="4">
                  <c:v>6.9000000000000057</c:v>
                </c:pt>
                <c:pt idx="5">
                  <c:v>1.4000000000000057</c:v>
                </c:pt>
              </c:numCache>
            </c:numRef>
          </c:val>
          <c:extLst>
            <c:ext xmlns:c16="http://schemas.microsoft.com/office/drawing/2014/chart" uri="{C3380CC4-5D6E-409C-BE32-E72D297353CC}">
              <c16:uniqueId val="{00000000-06F9-4B2E-84CD-4641EB23AE84}"/>
            </c:ext>
          </c:extLst>
        </c:ser>
        <c:ser>
          <c:idx val="2"/>
          <c:order val="2"/>
          <c:tx>
            <c:strRef>
              <c:f>Sheet1!$A$4</c:f>
              <c:strCache>
                <c:ptCount val="1"/>
                <c:pt idx="0">
                  <c:v>շինարարություն</c:v>
                </c:pt>
              </c:strCache>
            </c:strRef>
          </c:tx>
          <c:spPr>
            <a:solidFill>
              <a:srgbClr val="1F497D">
                <a:lumMod val="60000"/>
                <a:lumOff val="40000"/>
              </a:srgbClr>
            </a:solidFill>
            <a:ln>
              <a:solidFill>
                <a:srgbClr val="1F497D">
                  <a:lumMod val="60000"/>
                  <a:lumOff val="40000"/>
                </a:srgbClr>
              </a:solid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9.5</c:v>
                </c:pt>
                <c:pt idx="1">
                  <c:v>11.700000000000003</c:v>
                </c:pt>
                <c:pt idx="2">
                  <c:v>13.099999999999994</c:v>
                </c:pt>
                <c:pt idx="3">
                  <c:v>17.799999999999997</c:v>
                </c:pt>
                <c:pt idx="4">
                  <c:v>18.099999999999994</c:v>
                </c:pt>
                <c:pt idx="5">
                  <c:v>18</c:v>
                </c:pt>
              </c:numCache>
            </c:numRef>
          </c:val>
          <c:extLst>
            <c:ext xmlns:c16="http://schemas.microsoft.com/office/drawing/2014/chart" uri="{C3380CC4-5D6E-409C-BE32-E72D297353CC}">
              <c16:uniqueId val="{00000001-06F9-4B2E-84CD-4641EB23AE84}"/>
            </c:ext>
          </c:extLst>
        </c:ser>
        <c:ser>
          <c:idx val="3"/>
          <c:order val="3"/>
          <c:tx>
            <c:strRef>
              <c:f>Sheet1!$A$5</c:f>
              <c:strCache>
                <c:ptCount val="1"/>
                <c:pt idx="0">
                  <c:v>ծառայություններ</c:v>
                </c:pt>
              </c:strCache>
            </c:strRef>
          </c:tx>
          <c:spPr>
            <a:solidFill>
              <a:srgbClr val="1F497D">
                <a:lumMod val="75000"/>
              </a:srgbClr>
            </a:solidFill>
            <a:ln>
              <a:solidFill>
                <a:srgbClr val="1F497D">
                  <a:lumMod val="75000"/>
                </a:srgbClr>
              </a:solid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4.5</c:v>
                </c:pt>
                <c:pt idx="1">
                  <c:v>6</c:v>
                </c:pt>
                <c:pt idx="2">
                  <c:v>1.9000000000000057</c:v>
                </c:pt>
                <c:pt idx="3">
                  <c:v>3.5999999999999943</c:v>
                </c:pt>
                <c:pt idx="4">
                  <c:v>2.7000000000000028</c:v>
                </c:pt>
                <c:pt idx="5">
                  <c:v>7.7999999999999972</c:v>
                </c:pt>
              </c:numCache>
            </c:numRef>
          </c:val>
          <c:extLst>
            <c:ext xmlns:c16="http://schemas.microsoft.com/office/drawing/2014/chart" uri="{C3380CC4-5D6E-409C-BE32-E72D297353CC}">
              <c16:uniqueId val="{00000002-06F9-4B2E-84CD-4641EB23AE84}"/>
            </c:ext>
          </c:extLst>
        </c:ser>
        <c:ser>
          <c:idx val="4"/>
          <c:order val="4"/>
          <c:tx>
            <c:strRef>
              <c:f>Sheet1!$A$6</c:f>
              <c:strCache>
                <c:ptCount val="1"/>
                <c:pt idx="0">
                  <c:v>առևտուր</c:v>
                </c:pt>
              </c:strCache>
            </c:strRef>
          </c:tx>
          <c:spPr>
            <a:solidFill>
              <a:srgbClr val="F79646"/>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19.299999999999997</c:v>
                </c:pt>
                <c:pt idx="1">
                  <c:v>28.300000000000011</c:v>
                </c:pt>
                <c:pt idx="2">
                  <c:v>30.400000000000006</c:v>
                </c:pt>
                <c:pt idx="3">
                  <c:v>27.200000000000003</c:v>
                </c:pt>
                <c:pt idx="4">
                  <c:v>17.599999999999994</c:v>
                </c:pt>
                <c:pt idx="5">
                  <c:v>16.200000000000003</c:v>
                </c:pt>
              </c:numCache>
            </c:numRef>
          </c:val>
          <c:extLst>
            <c:ext xmlns:c16="http://schemas.microsoft.com/office/drawing/2014/chart" uri="{C3380CC4-5D6E-409C-BE32-E72D297353CC}">
              <c16:uniqueId val="{00000003-06F9-4B2E-84CD-4641EB23AE84}"/>
            </c:ext>
          </c:extLst>
        </c:ser>
        <c:dLbls>
          <c:showLegendKey val="0"/>
          <c:showVal val="0"/>
          <c:showCatName val="0"/>
          <c:showSerName val="0"/>
          <c:showPercent val="0"/>
          <c:showBubbleSize val="0"/>
        </c:dLbls>
        <c:gapWidth val="219"/>
        <c:overlap val="-27"/>
        <c:axId val="187651968"/>
        <c:axId val="187653504"/>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67E-2"/>
                  <c:y val="-4.383202099737532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6F9-4B2E-84CD-4641EB23AE84}"/>
                </c:ext>
              </c:extLst>
            </c:dLbl>
            <c:dLbl>
              <c:idx val="1"/>
              <c:layout>
                <c:manualLayout>
                  <c:x val="-8.7174309223539623E-2"/>
                  <c:y val="-4.37798536052558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6F9-4B2E-84CD-4641EB23AE84}"/>
                </c:ext>
              </c:extLst>
            </c:dLbl>
            <c:dLbl>
              <c:idx val="2"/>
              <c:layout>
                <c:manualLayout>
                  <c:x val="-7.8606082375082556E-2"/>
                  <c:y val="-4.567744249360134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6F9-4B2E-84CD-4641EB23AE84}"/>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6F9-4B2E-84CD-4641EB23AE84}"/>
                </c:ext>
              </c:extLst>
            </c:dLbl>
            <c:dLbl>
              <c:idx val="4"/>
              <c:layout>
                <c:manualLayout>
                  <c:x val="-7.0197421454334108E-2"/>
                  <c:y val="-5.6216614227569441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06F9-4B2E-84CD-4641EB23AE84}"/>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6F9-4B2E-84CD-4641EB23AE84}"/>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F9-4B2E-84CD-4641EB23AE84}"/>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F9-4B2E-84CD-4641EB23AE84}"/>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F9-4B2E-84CD-4641EB23AE84}"/>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F9-4B2E-84CD-4641EB23AE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10.448773289508679</c:v>
                </c:pt>
                <c:pt idx="1">
                  <c:v>16.404720793263522</c:v>
                </c:pt>
                <c:pt idx="2">
                  <c:v>13.873849215011475</c:v>
                </c:pt>
                <c:pt idx="3">
                  <c:v>11.038106847081153</c:v>
                </c:pt>
                <c:pt idx="4">
                  <c:v>5.1954216941462903</c:v>
                </c:pt>
                <c:pt idx="5">
                  <c:v>7.083393472041962</c:v>
                </c:pt>
              </c:numCache>
            </c:numRef>
          </c:val>
          <c:smooth val="0"/>
          <c:extLst>
            <c:ext xmlns:c16="http://schemas.microsoft.com/office/drawing/2014/chart" uri="{C3380CC4-5D6E-409C-BE32-E72D297353CC}">
              <c16:uniqueId val="{0000000E-06F9-4B2E-84CD-4641EB23AE84}"/>
            </c:ext>
          </c:extLst>
        </c:ser>
        <c:dLbls>
          <c:showLegendKey val="0"/>
          <c:showVal val="0"/>
          <c:showCatName val="0"/>
          <c:showSerName val="0"/>
          <c:showPercent val="0"/>
          <c:showBubbleSize val="0"/>
        </c:dLbls>
        <c:marker val="1"/>
        <c:smooth val="0"/>
        <c:axId val="187677312"/>
        <c:axId val="187675776"/>
      </c:lineChart>
      <c:catAx>
        <c:axId val="187651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3504"/>
        <c:crosses val="autoZero"/>
        <c:auto val="1"/>
        <c:lblAlgn val="ctr"/>
        <c:lblOffset val="100"/>
        <c:noMultiLvlLbl val="0"/>
      </c:catAx>
      <c:valAx>
        <c:axId val="187653504"/>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1968"/>
        <c:crosses val="autoZero"/>
        <c:crossBetween val="between"/>
        <c:majorUnit val="8"/>
      </c:valAx>
      <c:valAx>
        <c:axId val="187675776"/>
        <c:scaling>
          <c:orientation val="minMax"/>
          <c:max val="22"/>
          <c:min val="0"/>
        </c:scaling>
        <c:delete val="0"/>
        <c:axPos val="r"/>
        <c:numFmt formatCode="0.0" sourceLinked="1"/>
        <c:majorTickMark val="out"/>
        <c:minorTickMark val="none"/>
        <c:tickLblPos val="nextTo"/>
        <c:crossAx val="187677312"/>
        <c:crosses val="max"/>
        <c:crossBetween val="between"/>
        <c:majorUnit val="4"/>
      </c:valAx>
      <c:catAx>
        <c:axId val="187677312"/>
        <c:scaling>
          <c:orientation val="minMax"/>
        </c:scaling>
        <c:delete val="1"/>
        <c:axPos val="b"/>
        <c:numFmt formatCode="General" sourceLinked="1"/>
        <c:majorTickMark val="out"/>
        <c:minorTickMark val="none"/>
        <c:tickLblPos val="nextTo"/>
        <c:crossAx val="18767577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5008168649929901E-2"/>
          <c:y val="0.84277454448628708"/>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ysClr val="window" lastClr="FFFFFF">
                <a:lumMod val="75000"/>
              </a:sysClr>
            </a:solidFill>
            <a:ln>
              <a:solidFill>
                <a:sysClr val="window" lastClr="FFFFFF">
                  <a:lumMod val="75000"/>
                </a:sysClr>
              </a:solid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3.5738800866835225</c:v>
                </c:pt>
                <c:pt idx="1">
                  <c:v>5.2738175325398906</c:v>
                </c:pt>
                <c:pt idx="2">
                  <c:v>5.4299363728739785</c:v>
                </c:pt>
                <c:pt idx="3">
                  <c:v>4.8273006846950848</c:v>
                </c:pt>
                <c:pt idx="4">
                  <c:v>4.0738529485511688</c:v>
                </c:pt>
                <c:pt idx="5">
                  <c:v>3.3701874392559676</c:v>
                </c:pt>
              </c:numCache>
            </c:numRef>
          </c:val>
          <c:extLst>
            <c:ext xmlns:c16="http://schemas.microsoft.com/office/drawing/2014/chart" uri="{C3380CC4-5D6E-409C-BE32-E72D297353CC}">
              <c16:uniqueId val="{00000000-D7A7-4F8E-8304-CB55342A5BC2}"/>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0.34171168148697456</c:v>
                </c:pt>
                <c:pt idx="5" formatCode="0.0">
                  <c:v>0.3694180340399722</c:v>
                </c:pt>
              </c:numCache>
            </c:numRef>
          </c:val>
          <c:extLst>
            <c:ext xmlns:c16="http://schemas.microsoft.com/office/drawing/2014/chart" uri="{C3380CC4-5D6E-409C-BE32-E72D297353CC}">
              <c16:uniqueId val="{00000001-D7A7-4F8E-8304-CB55342A5BC2}"/>
            </c:ext>
          </c:extLst>
        </c:ser>
        <c:ser>
          <c:idx val="3"/>
          <c:order val="3"/>
          <c:tx>
            <c:strRef>
              <c:f>Sheet1!$A$5</c:f>
              <c:strCache>
                <c:ptCount val="1"/>
                <c:pt idx="0">
                  <c:v>շինարարություն</c:v>
                </c:pt>
              </c:strCache>
            </c:strRef>
          </c:tx>
          <c:spPr>
            <a:solidFill>
              <a:srgbClr val="1F497D">
                <a:lumMod val="60000"/>
                <a:lumOff val="40000"/>
              </a:srgbClr>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0.71574930986669694</c:v>
                </c:pt>
                <c:pt idx="1">
                  <c:v>0.81369395226950791</c:v>
                </c:pt>
                <c:pt idx="2">
                  <c:v>0.88150178162530068</c:v>
                </c:pt>
                <c:pt idx="3">
                  <c:v>1.0321858468603948</c:v>
                </c:pt>
                <c:pt idx="4">
                  <c:v>1.1225962860014513</c:v>
                </c:pt>
                <c:pt idx="5">
                  <c:v>1.1828699120954889</c:v>
                </c:pt>
              </c:numCache>
            </c:numRef>
          </c:val>
          <c:extLst>
            <c:ext xmlns:c16="http://schemas.microsoft.com/office/drawing/2014/chart" uri="{C3380CC4-5D6E-409C-BE32-E72D297353CC}">
              <c16:uniqueId val="{00000002-D7A7-4F8E-8304-CB55342A5BC2}"/>
            </c:ext>
          </c:extLst>
        </c:ser>
        <c:ser>
          <c:idx val="4"/>
          <c:order val="4"/>
          <c:tx>
            <c:strRef>
              <c:f>Sheet1!$A$6</c:f>
              <c:strCache>
                <c:ptCount val="1"/>
                <c:pt idx="0">
                  <c:v>ծառայություններ</c:v>
                </c:pt>
              </c:strCache>
            </c:strRef>
          </c:tx>
          <c:spPr>
            <a:solidFill>
              <a:srgbClr val="4F81BD">
                <a:lumMod val="75000"/>
              </a:srgbClr>
            </a:solidFill>
            <a:ln>
              <a:noFill/>
            </a:ln>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2.2897413010306393</c:v>
                </c:pt>
                <c:pt idx="1">
                  <c:v>2.6675446820187121</c:v>
                </c:pt>
                <c:pt idx="2">
                  <c:v>2.0439542748122985</c:v>
                </c:pt>
                <c:pt idx="3">
                  <c:v>1.9866158542443531</c:v>
                </c:pt>
                <c:pt idx="4">
                  <c:v>1.8557236296519151</c:v>
                </c:pt>
                <c:pt idx="5">
                  <c:v>2.2388581610077321</c:v>
                </c:pt>
              </c:numCache>
            </c:numRef>
          </c:val>
          <c:extLst>
            <c:ext xmlns:c16="http://schemas.microsoft.com/office/drawing/2014/chart" uri="{C3380CC4-5D6E-409C-BE32-E72D297353CC}">
              <c16:uniqueId val="{00000003-D7A7-4F8E-8304-CB55342A5BC2}"/>
            </c:ext>
          </c:extLst>
        </c:ser>
        <c:ser>
          <c:idx val="5"/>
          <c:order val="5"/>
          <c:tx>
            <c:strRef>
              <c:f>Sheet1!$A$7</c:f>
              <c:strCache>
                <c:ptCount val="1"/>
                <c:pt idx="0">
                  <c:v>առևտուր</c:v>
                </c:pt>
              </c:strCache>
            </c:strRef>
          </c:tx>
          <c:spPr>
            <a:solidFill>
              <a:srgbClr val="F79646"/>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2.6691306451346861</c:v>
                </c:pt>
                <c:pt idx="1">
                  <c:v>3.3329558833028976</c:v>
                </c:pt>
                <c:pt idx="2">
                  <c:v>3.6648685023870047</c:v>
                </c:pt>
                <c:pt idx="3">
                  <c:v>3.6925278873106806</c:v>
                </c:pt>
                <c:pt idx="4">
                  <c:v>3.4021043456120865</c:v>
                </c:pt>
                <c:pt idx="5">
                  <c:v>3.1669995737608461</c:v>
                </c:pt>
              </c:numCache>
            </c:numRef>
          </c:val>
          <c:extLst>
            <c:ext xmlns:c16="http://schemas.microsoft.com/office/drawing/2014/chart" uri="{C3380CC4-5D6E-409C-BE32-E72D297353CC}">
              <c16:uniqueId val="{00000004-D7A7-4F8E-8304-CB55342A5BC2}"/>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Sheet1!$B$1:$G$1</c:f>
              <c:strCache>
                <c:ptCount val="6"/>
                <c:pt idx="0">
                  <c:v>I</c:v>
                </c:pt>
                <c:pt idx="1">
                  <c:v>I-II</c:v>
                </c:pt>
                <c:pt idx="2">
                  <c:v>I-III</c:v>
                </c:pt>
                <c:pt idx="3">
                  <c:v>I-IV</c:v>
                </c:pt>
                <c:pt idx="4">
                  <c:v>I-V</c:v>
                </c:pt>
                <c:pt idx="5">
                  <c:v>I-VI</c:v>
                </c:pt>
              </c:strCache>
            </c:strRef>
          </c:cat>
          <c:val>
            <c:numRef>
              <c:f>Sheet1!$B$8:$G$8</c:f>
              <c:numCache>
                <c:formatCode>0.0</c:formatCode>
                <c:ptCount val="6"/>
                <c:pt idx="0">
                  <c:v>1.200271946793134</c:v>
                </c:pt>
                <c:pt idx="1">
                  <c:v>1.4201730895976583</c:v>
                </c:pt>
                <c:pt idx="2">
                  <c:v>1.2795717773435205</c:v>
                </c:pt>
                <c:pt idx="3">
                  <c:v>1.3849369725460137</c:v>
                </c:pt>
                <c:pt idx="4">
                  <c:v>0.71380221409261191</c:v>
                </c:pt>
                <c:pt idx="5">
                  <c:v>2.7321964029116241E-2</c:v>
                </c:pt>
              </c:numCache>
            </c:numRef>
          </c:val>
          <c:extLst>
            <c:ext xmlns:c16="http://schemas.microsoft.com/office/drawing/2014/chart" uri="{C3380CC4-5D6E-409C-BE32-E72D297353CC}">
              <c16:uniqueId val="{00000005-D7A7-4F8E-8304-CB55342A5BC2}"/>
            </c:ext>
          </c:extLst>
        </c:ser>
        <c:dLbls>
          <c:showLegendKey val="0"/>
          <c:showVal val="0"/>
          <c:showCatName val="0"/>
          <c:showSerName val="0"/>
          <c:showPercent val="0"/>
          <c:showBubbleSize val="0"/>
        </c:dLbls>
        <c:gapWidth val="150"/>
        <c:overlap val="100"/>
        <c:axId val="187775616"/>
        <c:axId val="187781504"/>
      </c:barChart>
      <c:lineChart>
        <c:grouping val="standard"/>
        <c:varyColors val="0"/>
        <c:ser>
          <c:idx val="0"/>
          <c:order val="0"/>
          <c:tx>
            <c:strRef>
              <c:f>Sheet1!$A$2</c:f>
              <c:strCache>
                <c:ptCount val="1"/>
                <c:pt idx="0">
                  <c:v>ՏԱՑ</c:v>
                </c:pt>
              </c:strCache>
            </c:strRef>
          </c:tx>
          <c:spPr>
            <a:effectLst/>
          </c:spPr>
          <c:dLbls>
            <c:dLbl>
              <c:idx val="0"/>
              <c:layout>
                <c:manualLayout>
                  <c:x val="-6.9723238441348673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7A7-4F8E-8304-CB55342A5BC2}"/>
                </c:ext>
              </c:extLst>
            </c:dLbl>
            <c:dLbl>
              <c:idx val="1"/>
              <c:layout>
                <c:manualLayout>
                  <c:x val="-6.3323238441348684E-2"/>
                  <c:y val="-5.229046369203851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7A7-4F8E-8304-CB55342A5BC2}"/>
                </c:ext>
              </c:extLst>
            </c:dLbl>
            <c:dLbl>
              <c:idx val="2"/>
              <c:layout>
                <c:manualLayout>
                  <c:x val="-6.1025802543912815E-2"/>
                  <c:y val="-4.5452856854431657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7A7-4F8E-8304-CB55342A5BC2}"/>
                </c:ext>
              </c:extLst>
            </c:dLbl>
            <c:dLbl>
              <c:idx val="3"/>
              <c:layout>
                <c:manualLayout>
                  <c:x val="-6.5128366646476879E-2"/>
                  <c:y val="-5.912807052964533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7A7-4F8E-8304-CB55342A5BC2}"/>
                </c:ext>
              </c:extLst>
            </c:dLbl>
            <c:dLbl>
              <c:idx val="4"/>
              <c:layout>
                <c:manualLayout>
                  <c:x val="-6.1702564102564104E-2"/>
                  <c:y val="-4.5452856854431671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7A7-4F8E-8304-CB55342A5BC2}"/>
                </c:ext>
              </c:extLst>
            </c:dLbl>
            <c:dLbl>
              <c:idx val="5"/>
              <c:layout>
                <c:manualLayout>
                  <c:x val="-6.4174439733494848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7A7-4F8E-8304-CB55342A5BC2}"/>
                </c:ext>
              </c:extLst>
            </c:dLbl>
            <c:dLbl>
              <c:idx val="6"/>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C-D7A7-4F8E-8304-CB55342A5BC2}"/>
                </c:ext>
              </c:extLst>
            </c:dLbl>
            <c:dLbl>
              <c:idx val="7"/>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D-D7A7-4F8E-8304-CB55342A5BC2}"/>
                </c:ext>
              </c:extLst>
            </c:dLbl>
            <c:dLbl>
              <c:idx val="8"/>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E-D7A7-4F8E-8304-CB55342A5BC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10.448773289508679</c:v>
                </c:pt>
                <c:pt idx="1">
                  <c:v>13.508185139728667</c:v>
                </c:pt>
                <c:pt idx="2">
                  <c:v>13.641544390529077</c:v>
                </c:pt>
                <c:pt idx="3">
                  <c:v>12.923567245656528</c:v>
                </c:pt>
                <c:pt idx="4">
                  <c:v>11.168079423909234</c:v>
                </c:pt>
                <c:pt idx="5">
                  <c:v>10.355655084189124</c:v>
                </c:pt>
              </c:numCache>
            </c:numRef>
          </c:val>
          <c:smooth val="0"/>
          <c:extLst>
            <c:ext xmlns:c16="http://schemas.microsoft.com/office/drawing/2014/chart" uri="{C3380CC4-5D6E-409C-BE32-E72D297353CC}">
              <c16:uniqueId val="{0000000F-D7A7-4F8E-8304-CB55342A5BC2}"/>
            </c:ext>
          </c:extLst>
        </c:ser>
        <c:dLbls>
          <c:showLegendKey val="0"/>
          <c:showVal val="0"/>
          <c:showCatName val="0"/>
          <c:showSerName val="0"/>
          <c:showPercent val="0"/>
          <c:showBubbleSize val="0"/>
        </c:dLbls>
        <c:marker val="1"/>
        <c:smooth val="0"/>
        <c:axId val="187775616"/>
        <c:axId val="187781504"/>
      </c:lineChart>
      <c:catAx>
        <c:axId val="187775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81504"/>
        <c:crosses val="autoZero"/>
        <c:auto val="1"/>
        <c:lblAlgn val="ctr"/>
        <c:lblOffset val="100"/>
        <c:noMultiLvlLbl val="0"/>
      </c:catAx>
      <c:valAx>
        <c:axId val="18778150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75616"/>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EBC24-7116-497E-A971-6AA1C83CD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Pages>
  <Words>6382</Words>
  <Characters>45689</Characters>
  <Application>Microsoft Office Word</Application>
  <DocSecurity>0</DocSecurity>
  <Lines>380</Lines>
  <Paragraphs>103</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51968</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subject/>
  <dc:creator>EMMA</dc:creator>
  <cp:keywords/>
  <dc:description/>
  <cp:lastModifiedBy>Greta Adamyan</cp:lastModifiedBy>
  <cp:revision>5</cp:revision>
  <cp:lastPrinted>2024-08-08T05:19:00Z</cp:lastPrinted>
  <dcterms:created xsi:type="dcterms:W3CDTF">2024-08-30T11:32:00Z</dcterms:created>
  <dcterms:modified xsi:type="dcterms:W3CDTF">2024-08-30T11:51:00Z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d646123cfc9ede69348b32f31822380bf9744ebd183abec8f22d1a0465e85ac1</vt:lpwstr>
  </property>
</Properties>
</file>