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4CD5" w14:textId="77777777" w:rsidR="00634088" w:rsidRPr="00CB7B2A" w:rsidRDefault="00634088" w:rsidP="00634088">
      <w:pPr>
        <w:rPr>
          <w:rFonts w:cs="Arial"/>
          <w:b/>
          <w:vertAlign w:val="superscript"/>
        </w:rPr>
      </w:pPr>
      <w:bookmarkStart w:id="0" w:name="_GoBack"/>
      <w:bookmarkEnd w:id="0"/>
    </w:p>
    <w:p w14:paraId="1D3D6FA1" w14:textId="77777777" w:rsidR="00634088" w:rsidRPr="001803FA" w:rsidRDefault="00634088" w:rsidP="00634088">
      <w:pPr>
        <w:rPr>
          <w:rFonts w:cs="Arial"/>
          <w:b/>
        </w:rPr>
      </w:pPr>
    </w:p>
    <w:p w14:paraId="58F03101" w14:textId="0BC80B90" w:rsidR="00634088" w:rsidRPr="001803FA" w:rsidRDefault="00634088" w:rsidP="00634088">
      <w:pPr>
        <w:rPr>
          <w:rFonts w:cs="Arial"/>
          <w:b/>
        </w:rPr>
      </w:pPr>
      <w:r w:rsidRPr="001803FA">
        <w:rPr>
          <w:rFonts w:cs="Arial"/>
          <w:b/>
          <w:noProof/>
          <w:lang w:eastAsia="en-US"/>
        </w:rPr>
        <w:drawing>
          <wp:anchor distT="0" distB="0" distL="114300" distR="114300" simplePos="0" relativeHeight="251658240" behindDoc="0" locked="0" layoutInCell="1" allowOverlap="1" wp14:anchorId="6C554260" wp14:editId="0F602EEA">
            <wp:simplePos x="0" y="0"/>
            <wp:positionH relativeFrom="column">
              <wp:posOffset>-242570</wp:posOffset>
            </wp:positionH>
            <wp:positionV relativeFrom="paragraph">
              <wp:posOffset>-387985</wp:posOffset>
            </wp:positionV>
            <wp:extent cx="794385" cy="794385"/>
            <wp:effectExtent l="0" t="0" r="0" b="0"/>
            <wp:wrapThrough wrapText="bothSides">
              <wp:wrapPolygon edited="0">
                <wp:start x="0" y="0"/>
                <wp:lineTo x="0" y="20719"/>
                <wp:lineTo x="20719" y="20719"/>
                <wp:lineTo x="207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solidFill>
                      <a:srgbClr val="000090"/>
                    </a:solidFill>
                  </pic:spPr>
                </pic:pic>
              </a:graphicData>
            </a:graphic>
            <wp14:sizeRelH relativeFrom="page">
              <wp14:pctWidth>0</wp14:pctWidth>
            </wp14:sizeRelH>
            <wp14:sizeRelV relativeFrom="page">
              <wp14:pctHeight>0</wp14:pctHeight>
            </wp14:sizeRelV>
          </wp:anchor>
        </w:drawing>
      </w:r>
    </w:p>
    <w:p w14:paraId="1194D213" w14:textId="77777777" w:rsidR="00634088" w:rsidRPr="001803FA" w:rsidRDefault="00634088" w:rsidP="00634088">
      <w:pPr>
        <w:rPr>
          <w:rFonts w:cs="Arial"/>
          <w:b/>
        </w:rPr>
      </w:pPr>
    </w:p>
    <w:p w14:paraId="4662ED6F" w14:textId="77777777" w:rsidR="00634088" w:rsidRDefault="00634088" w:rsidP="00634088">
      <w:pPr>
        <w:rPr>
          <w:rFonts w:cs="Arial"/>
          <w:b/>
        </w:rPr>
      </w:pPr>
    </w:p>
    <w:p w14:paraId="42611160" w14:textId="77777777" w:rsidR="00281FB5" w:rsidRPr="001803FA" w:rsidRDefault="00281FB5" w:rsidP="00634088">
      <w:pPr>
        <w:rPr>
          <w:rFonts w:cs="Arial"/>
          <w:b/>
        </w:rPr>
      </w:pPr>
    </w:p>
    <w:p w14:paraId="4C545D9A" w14:textId="77777777" w:rsidR="00634088" w:rsidRPr="00117DF3" w:rsidRDefault="00634088" w:rsidP="00634088">
      <w:pPr>
        <w:pBdr>
          <w:bottom w:val="single" w:sz="4" w:space="0" w:color="auto"/>
        </w:pBdr>
        <w:ind w:left="-360"/>
        <w:rPr>
          <w:rFonts w:cs="Arial"/>
          <w:sz w:val="28"/>
          <w:szCs w:val="28"/>
        </w:rPr>
      </w:pPr>
      <w:r w:rsidRPr="00117DF3">
        <w:rPr>
          <w:rFonts w:cs="Arial"/>
          <w:sz w:val="28"/>
          <w:szCs w:val="28"/>
        </w:rPr>
        <w:t>Technical Assistance Consultant’s Report</w:t>
      </w:r>
    </w:p>
    <w:p w14:paraId="3068BDD9" w14:textId="77777777" w:rsidR="00634088" w:rsidRPr="001803FA" w:rsidRDefault="00634088" w:rsidP="00634088">
      <w:pPr>
        <w:rPr>
          <w:rFonts w:cs="Arial"/>
        </w:rPr>
      </w:pPr>
    </w:p>
    <w:p w14:paraId="3D47EDD2" w14:textId="77777777" w:rsidR="00634088" w:rsidRPr="001803FA" w:rsidRDefault="00634088" w:rsidP="00634088">
      <w:pPr>
        <w:pStyle w:val="ParagraphTextNormal"/>
        <w:widowControl w:val="0"/>
        <w:spacing w:before="0" w:after="0" w:line="240" w:lineRule="auto"/>
        <w:rPr>
          <w:rFonts w:ascii="Arial" w:hAnsi="Arial" w:cs="Arial"/>
          <w:sz w:val="22"/>
          <w:szCs w:val="22"/>
        </w:rPr>
      </w:pPr>
    </w:p>
    <w:p w14:paraId="0B7B6FC7" w14:textId="77777777" w:rsidR="00634088" w:rsidRPr="001803FA" w:rsidRDefault="00634088" w:rsidP="00634088">
      <w:pPr>
        <w:rPr>
          <w:rFonts w:cs="Arial"/>
        </w:rPr>
      </w:pPr>
    </w:p>
    <w:p w14:paraId="197BDAA5" w14:textId="5E2E6C8D" w:rsidR="00634088" w:rsidRPr="001803FA" w:rsidRDefault="00634088" w:rsidP="00370F8A">
      <w:pPr>
        <w:spacing w:line="360" w:lineRule="auto"/>
        <w:ind w:left="-360"/>
        <w:rPr>
          <w:rFonts w:cs="Arial"/>
          <w:bCs/>
          <w:sz w:val="24"/>
          <w:szCs w:val="24"/>
        </w:rPr>
      </w:pPr>
      <w:r w:rsidRPr="001803FA">
        <w:rPr>
          <w:rFonts w:cs="Arial"/>
          <w:bCs/>
          <w:sz w:val="24"/>
          <w:szCs w:val="24"/>
        </w:rPr>
        <w:t>Project Number: TA</w:t>
      </w:r>
      <w:r w:rsidR="00931EDE">
        <w:rPr>
          <w:rFonts w:cs="Arial"/>
          <w:bCs/>
          <w:sz w:val="24"/>
          <w:szCs w:val="24"/>
        </w:rPr>
        <w:t>-</w:t>
      </w:r>
      <w:r w:rsidR="0094354C">
        <w:rPr>
          <w:rFonts w:cs="Arial"/>
          <w:bCs/>
          <w:sz w:val="24"/>
          <w:szCs w:val="24"/>
        </w:rPr>
        <w:t>9332</w:t>
      </w:r>
      <w:r w:rsidR="00662C14">
        <w:rPr>
          <w:rFonts w:cs="Arial"/>
          <w:bCs/>
          <w:sz w:val="24"/>
          <w:szCs w:val="24"/>
        </w:rPr>
        <w:t xml:space="preserve"> </w:t>
      </w:r>
      <w:r w:rsidR="0094354C">
        <w:rPr>
          <w:rFonts w:cs="Arial"/>
          <w:bCs/>
          <w:sz w:val="24"/>
          <w:szCs w:val="24"/>
        </w:rPr>
        <w:t>ARM</w:t>
      </w:r>
    </w:p>
    <w:p w14:paraId="3F7FAC01" w14:textId="429AA98D" w:rsidR="00634088" w:rsidRPr="001803FA" w:rsidRDefault="00BE1E4D" w:rsidP="00370F8A">
      <w:pPr>
        <w:spacing w:line="360" w:lineRule="auto"/>
        <w:ind w:left="-360"/>
        <w:rPr>
          <w:rFonts w:cs="Arial"/>
          <w:bCs/>
          <w:sz w:val="24"/>
          <w:szCs w:val="24"/>
        </w:rPr>
      </w:pPr>
      <w:r>
        <w:rPr>
          <w:rFonts w:cs="Arial"/>
          <w:bCs/>
          <w:sz w:val="24"/>
          <w:szCs w:val="24"/>
        </w:rPr>
        <w:t>July</w:t>
      </w:r>
      <w:r w:rsidR="00662C14">
        <w:rPr>
          <w:rFonts w:cs="Arial"/>
          <w:bCs/>
          <w:sz w:val="24"/>
          <w:szCs w:val="24"/>
        </w:rPr>
        <w:t xml:space="preserve"> 201</w:t>
      </w:r>
      <w:r w:rsidR="0094354C">
        <w:rPr>
          <w:rFonts w:cs="Arial"/>
          <w:bCs/>
          <w:sz w:val="24"/>
          <w:szCs w:val="24"/>
        </w:rPr>
        <w:t>8</w:t>
      </w:r>
    </w:p>
    <w:p w14:paraId="1FF687D2" w14:textId="77777777" w:rsidR="00634088" w:rsidRPr="001803FA" w:rsidRDefault="00634088" w:rsidP="00634088">
      <w:pPr>
        <w:ind w:left="-360" w:firstLine="360"/>
        <w:rPr>
          <w:rFonts w:cs="Arial"/>
          <w:sz w:val="24"/>
          <w:szCs w:val="24"/>
        </w:rPr>
      </w:pPr>
    </w:p>
    <w:p w14:paraId="61AC3E3B" w14:textId="77777777" w:rsidR="00634088" w:rsidRPr="001803FA" w:rsidRDefault="00634088" w:rsidP="00634088">
      <w:pPr>
        <w:pStyle w:val="Default"/>
        <w:rPr>
          <w:sz w:val="22"/>
          <w:szCs w:val="22"/>
        </w:rPr>
      </w:pPr>
    </w:p>
    <w:p w14:paraId="4FC53484" w14:textId="5D7555D1" w:rsidR="00634088" w:rsidRPr="00370F8A" w:rsidRDefault="0025699F" w:rsidP="00634088">
      <w:pPr>
        <w:ind w:left="-360"/>
        <w:rPr>
          <w:rFonts w:cs="Arial"/>
          <w:sz w:val="40"/>
          <w:szCs w:val="40"/>
        </w:rPr>
      </w:pPr>
      <w:r>
        <w:rPr>
          <w:rFonts w:cs="Arial"/>
          <w:sz w:val="40"/>
          <w:szCs w:val="40"/>
        </w:rPr>
        <w:t>Armenia</w:t>
      </w:r>
      <w:r w:rsidR="00634088" w:rsidRPr="00370F8A">
        <w:rPr>
          <w:rFonts w:cs="Arial"/>
          <w:sz w:val="40"/>
          <w:szCs w:val="40"/>
        </w:rPr>
        <w:t xml:space="preserve">: </w:t>
      </w:r>
      <w:r w:rsidR="00BE1E4D">
        <w:rPr>
          <w:rFonts w:cs="Arial"/>
          <w:sz w:val="40"/>
          <w:szCs w:val="40"/>
        </w:rPr>
        <w:t>Framework for Switch Auction</w:t>
      </w:r>
      <w:r w:rsidR="00662C14">
        <w:rPr>
          <w:rFonts w:cs="Arial"/>
          <w:sz w:val="40"/>
          <w:szCs w:val="40"/>
        </w:rPr>
        <w:t xml:space="preserve"> </w:t>
      </w:r>
    </w:p>
    <w:p w14:paraId="5B7C92C1" w14:textId="77777777" w:rsidR="00634088" w:rsidRPr="001803FA" w:rsidRDefault="00634088" w:rsidP="00634088">
      <w:pPr>
        <w:rPr>
          <w:rFonts w:cs="Arial"/>
        </w:rPr>
      </w:pPr>
    </w:p>
    <w:p w14:paraId="5115564B" w14:textId="77777777" w:rsidR="00715DD6" w:rsidRPr="001803FA" w:rsidRDefault="00715DD6" w:rsidP="00715DD6">
      <w:pPr>
        <w:ind w:left="-360"/>
        <w:rPr>
          <w:rFonts w:cs="Arial"/>
          <w:iCs/>
        </w:rPr>
      </w:pPr>
    </w:p>
    <w:p w14:paraId="69FA1CC0" w14:textId="56E986DE" w:rsidR="00634088" w:rsidRPr="00370F8A" w:rsidRDefault="00BE1E4D" w:rsidP="00715DD6">
      <w:pPr>
        <w:ind w:left="-360"/>
        <w:rPr>
          <w:rFonts w:cs="Arial"/>
          <w:iCs/>
          <w:sz w:val="28"/>
          <w:szCs w:val="28"/>
        </w:rPr>
      </w:pPr>
      <w:r>
        <w:rPr>
          <w:rFonts w:cs="Arial"/>
          <w:iCs/>
          <w:sz w:val="28"/>
          <w:szCs w:val="28"/>
        </w:rPr>
        <w:t>Draft</w:t>
      </w:r>
      <w:r w:rsidR="00715DD6" w:rsidRPr="00370F8A">
        <w:rPr>
          <w:rFonts w:cs="Arial"/>
          <w:iCs/>
          <w:sz w:val="28"/>
          <w:szCs w:val="28"/>
        </w:rPr>
        <w:t xml:space="preserve"> Report</w:t>
      </w:r>
    </w:p>
    <w:p w14:paraId="3B2DE3CB" w14:textId="77777777" w:rsidR="00634088" w:rsidRPr="001803FA" w:rsidRDefault="00634088" w:rsidP="00634088">
      <w:pPr>
        <w:rPr>
          <w:rFonts w:cs="Arial"/>
        </w:rPr>
      </w:pPr>
    </w:p>
    <w:p w14:paraId="621CE8F5" w14:textId="77777777" w:rsidR="00715DD6" w:rsidRPr="001803FA" w:rsidRDefault="00715DD6" w:rsidP="00634088">
      <w:pPr>
        <w:rPr>
          <w:rFonts w:cs="Arial"/>
        </w:rPr>
      </w:pPr>
    </w:p>
    <w:p w14:paraId="0A21E330" w14:textId="77777777" w:rsidR="00715DD6" w:rsidRPr="001803FA" w:rsidRDefault="00715DD6" w:rsidP="00634088">
      <w:pPr>
        <w:rPr>
          <w:rFonts w:cs="Arial"/>
        </w:rPr>
      </w:pPr>
    </w:p>
    <w:p w14:paraId="17987C1F" w14:textId="77777777" w:rsidR="00634088" w:rsidRPr="001803FA" w:rsidRDefault="00634088" w:rsidP="00634088">
      <w:pPr>
        <w:rPr>
          <w:rFonts w:cs="Arial"/>
        </w:rPr>
      </w:pPr>
    </w:p>
    <w:p w14:paraId="58ECBE94" w14:textId="2C5E40FE" w:rsidR="00634088" w:rsidRPr="00117DF3" w:rsidRDefault="00634088" w:rsidP="00370F8A">
      <w:pPr>
        <w:spacing w:line="360" w:lineRule="auto"/>
        <w:ind w:left="-360"/>
        <w:rPr>
          <w:rFonts w:cs="Arial"/>
          <w:bCs/>
          <w:sz w:val="24"/>
          <w:szCs w:val="24"/>
        </w:rPr>
      </w:pPr>
      <w:r w:rsidRPr="00117DF3">
        <w:rPr>
          <w:rFonts w:cs="Arial"/>
          <w:bCs/>
          <w:sz w:val="24"/>
          <w:szCs w:val="24"/>
        </w:rPr>
        <w:t xml:space="preserve">Prepared by: </w:t>
      </w:r>
      <w:r w:rsidR="0094354C">
        <w:rPr>
          <w:rFonts w:cs="Arial"/>
          <w:bCs/>
          <w:sz w:val="24"/>
          <w:szCs w:val="24"/>
        </w:rPr>
        <w:t>Arindam Roy</w:t>
      </w:r>
    </w:p>
    <w:p w14:paraId="29EB5880" w14:textId="1BBD1EA8" w:rsidR="00FF373D" w:rsidRPr="00117DF3" w:rsidRDefault="00FF373D" w:rsidP="00370F8A">
      <w:pPr>
        <w:spacing w:line="360" w:lineRule="auto"/>
        <w:ind w:left="-360"/>
        <w:rPr>
          <w:rFonts w:cs="Arial"/>
          <w:bCs/>
          <w:sz w:val="24"/>
          <w:szCs w:val="24"/>
        </w:rPr>
      </w:pPr>
      <w:r w:rsidRPr="00117DF3">
        <w:rPr>
          <w:rFonts w:cs="Arial"/>
          <w:bCs/>
          <w:sz w:val="24"/>
          <w:szCs w:val="24"/>
        </w:rPr>
        <w:t>Date:</w:t>
      </w:r>
      <w:r w:rsidR="00662C14">
        <w:rPr>
          <w:rFonts w:cs="Arial"/>
          <w:bCs/>
          <w:sz w:val="24"/>
          <w:szCs w:val="24"/>
        </w:rPr>
        <w:t xml:space="preserve">   </w:t>
      </w:r>
      <w:r w:rsidR="00BE1E4D">
        <w:rPr>
          <w:rFonts w:cs="Arial"/>
          <w:bCs/>
          <w:sz w:val="24"/>
          <w:szCs w:val="24"/>
        </w:rPr>
        <w:t>July</w:t>
      </w:r>
      <w:r w:rsidR="00662C14">
        <w:rPr>
          <w:rFonts w:cs="Arial"/>
          <w:bCs/>
          <w:sz w:val="24"/>
          <w:szCs w:val="24"/>
        </w:rPr>
        <w:t xml:space="preserve"> </w:t>
      </w:r>
      <w:r w:rsidR="00BE1E4D">
        <w:rPr>
          <w:rFonts w:cs="Arial"/>
          <w:bCs/>
          <w:sz w:val="24"/>
          <w:szCs w:val="24"/>
        </w:rPr>
        <w:t>09</w:t>
      </w:r>
      <w:r w:rsidR="00301B41">
        <w:rPr>
          <w:rFonts w:cs="Arial"/>
          <w:bCs/>
          <w:sz w:val="24"/>
          <w:szCs w:val="24"/>
        </w:rPr>
        <w:t xml:space="preserve">, </w:t>
      </w:r>
      <w:r w:rsidR="00662C14">
        <w:rPr>
          <w:rFonts w:cs="Arial"/>
          <w:bCs/>
          <w:sz w:val="24"/>
          <w:szCs w:val="24"/>
        </w:rPr>
        <w:t>201</w:t>
      </w:r>
      <w:r w:rsidR="0094354C">
        <w:rPr>
          <w:rFonts w:cs="Arial"/>
          <w:bCs/>
          <w:sz w:val="24"/>
          <w:szCs w:val="24"/>
        </w:rPr>
        <w:t>8</w:t>
      </w:r>
    </w:p>
    <w:p w14:paraId="44AEF480" w14:textId="66A049D2" w:rsidR="00FF373D" w:rsidRDefault="00FF373D" w:rsidP="00370F8A">
      <w:pPr>
        <w:spacing w:line="360" w:lineRule="auto"/>
        <w:ind w:left="-360"/>
        <w:rPr>
          <w:rFonts w:cs="Arial"/>
          <w:bCs/>
          <w:sz w:val="24"/>
          <w:szCs w:val="24"/>
        </w:rPr>
      </w:pPr>
    </w:p>
    <w:p w14:paraId="134EF081" w14:textId="4E0FE821" w:rsidR="00B1117A" w:rsidRPr="00117DF3" w:rsidRDefault="00A9471F" w:rsidP="00370F8A">
      <w:pPr>
        <w:spacing w:line="360" w:lineRule="auto"/>
        <w:ind w:left="-360"/>
        <w:rPr>
          <w:rFonts w:cs="Arial"/>
          <w:bCs/>
          <w:sz w:val="24"/>
          <w:szCs w:val="24"/>
        </w:rPr>
      </w:pPr>
      <w:r>
        <w:rPr>
          <w:rFonts w:cs="Arial"/>
          <w:bCs/>
          <w:sz w:val="24"/>
          <w:szCs w:val="24"/>
        </w:rPr>
        <w:t>F</w:t>
      </w:r>
      <w:r w:rsidR="00745A5E">
        <w:rPr>
          <w:rFonts w:cs="Arial"/>
          <w:bCs/>
          <w:sz w:val="24"/>
          <w:szCs w:val="24"/>
        </w:rPr>
        <w:t>or: Asian Development Bank</w:t>
      </w:r>
    </w:p>
    <w:p w14:paraId="7DAD5AE9" w14:textId="77777777" w:rsidR="00634088" w:rsidRPr="00117DF3" w:rsidRDefault="00634088" w:rsidP="00370F8A">
      <w:pPr>
        <w:spacing w:line="360" w:lineRule="auto"/>
        <w:ind w:left="-360"/>
        <w:rPr>
          <w:rFonts w:cs="Arial"/>
          <w:bCs/>
          <w:sz w:val="24"/>
          <w:szCs w:val="24"/>
        </w:rPr>
      </w:pPr>
    </w:p>
    <w:p w14:paraId="0D580BE2" w14:textId="77777777" w:rsidR="00634088" w:rsidRPr="00117DF3" w:rsidRDefault="00634088" w:rsidP="00193AC9">
      <w:pPr>
        <w:ind w:left="-360"/>
        <w:rPr>
          <w:rFonts w:cs="Arial"/>
          <w:bCs/>
          <w:sz w:val="24"/>
          <w:szCs w:val="24"/>
        </w:rPr>
      </w:pPr>
    </w:p>
    <w:p w14:paraId="05CCA7F5" w14:textId="77777777" w:rsidR="00634088" w:rsidRPr="00117DF3" w:rsidRDefault="00634088" w:rsidP="00193AC9">
      <w:pPr>
        <w:ind w:left="-360"/>
        <w:rPr>
          <w:rFonts w:cs="Arial"/>
          <w:bCs/>
          <w:sz w:val="24"/>
          <w:szCs w:val="24"/>
        </w:rPr>
      </w:pPr>
    </w:p>
    <w:p w14:paraId="7B085EA6" w14:textId="77777777" w:rsidR="00634088" w:rsidRDefault="00634088" w:rsidP="00634088">
      <w:pPr>
        <w:rPr>
          <w:rFonts w:cs="Arial"/>
        </w:rPr>
      </w:pPr>
    </w:p>
    <w:p w14:paraId="013400D3" w14:textId="77777777" w:rsidR="00832536" w:rsidRDefault="00832536" w:rsidP="00634088">
      <w:pPr>
        <w:rPr>
          <w:rFonts w:cs="Arial"/>
        </w:rPr>
      </w:pPr>
    </w:p>
    <w:p w14:paraId="43104AA3" w14:textId="77777777" w:rsidR="00832536" w:rsidRPr="001803FA" w:rsidRDefault="00832536" w:rsidP="00634088">
      <w:pPr>
        <w:rPr>
          <w:rFonts w:cs="Arial"/>
        </w:rPr>
      </w:pPr>
    </w:p>
    <w:p w14:paraId="0B2408D5" w14:textId="77777777" w:rsidR="00634088" w:rsidRPr="001803FA" w:rsidRDefault="00634088" w:rsidP="00634088">
      <w:pPr>
        <w:rPr>
          <w:rFonts w:cs="Arial"/>
        </w:rPr>
      </w:pPr>
    </w:p>
    <w:p w14:paraId="4D057562" w14:textId="77777777" w:rsidR="00193AC9" w:rsidRPr="001803FA" w:rsidRDefault="00193AC9" w:rsidP="00634088">
      <w:pPr>
        <w:rPr>
          <w:rFonts w:cs="Arial"/>
        </w:rPr>
      </w:pPr>
    </w:p>
    <w:p w14:paraId="65751C59" w14:textId="77777777" w:rsidR="00193AC9" w:rsidRPr="001803FA" w:rsidRDefault="00193AC9" w:rsidP="00634088">
      <w:pPr>
        <w:rPr>
          <w:rFonts w:cs="Arial"/>
        </w:rPr>
      </w:pPr>
    </w:p>
    <w:p w14:paraId="58CD63D0" w14:textId="77777777" w:rsidR="00193AC9" w:rsidRPr="001803FA" w:rsidRDefault="00193AC9" w:rsidP="00634088">
      <w:pPr>
        <w:rPr>
          <w:rFonts w:cs="Arial"/>
        </w:rPr>
      </w:pPr>
    </w:p>
    <w:p w14:paraId="2FE5584C" w14:textId="77777777" w:rsidR="00193AC9" w:rsidRPr="001803FA" w:rsidRDefault="00193AC9" w:rsidP="00634088">
      <w:pPr>
        <w:rPr>
          <w:rFonts w:cs="Arial"/>
        </w:rPr>
      </w:pPr>
    </w:p>
    <w:p w14:paraId="2595EEA7" w14:textId="77777777" w:rsidR="00193AC9" w:rsidRPr="001803FA" w:rsidRDefault="00193AC9" w:rsidP="00634088">
      <w:pPr>
        <w:rPr>
          <w:rFonts w:cs="Arial"/>
        </w:rPr>
      </w:pPr>
    </w:p>
    <w:p w14:paraId="1DB64DF3" w14:textId="33B17589" w:rsidR="00143746" w:rsidRPr="008E1ACA" w:rsidRDefault="00193AC9" w:rsidP="00FF373D">
      <w:pPr>
        <w:ind w:left="-360"/>
        <w:jc w:val="both"/>
        <w:rPr>
          <w:rFonts w:cs="Arial"/>
          <w:bCs/>
          <w:color w:val="808080" w:themeColor="background1" w:themeShade="80"/>
        </w:rPr>
      </w:pPr>
      <w:r w:rsidRPr="008E1ACA">
        <w:rPr>
          <w:rFonts w:cs="Arial"/>
          <w:bCs/>
          <w:noProof/>
          <w:color w:val="808080" w:themeColor="background1" w:themeShade="80"/>
          <w:lang w:eastAsia="en-US"/>
        </w:rPr>
        <w:drawing>
          <wp:anchor distT="0" distB="0" distL="114300" distR="114300" simplePos="0" relativeHeight="251660288" behindDoc="0" locked="0" layoutInCell="1" allowOverlap="1" wp14:anchorId="2E3542E7" wp14:editId="177D614A">
            <wp:simplePos x="0" y="0"/>
            <wp:positionH relativeFrom="column">
              <wp:posOffset>-228600</wp:posOffset>
            </wp:positionH>
            <wp:positionV relativeFrom="paragraph">
              <wp:posOffset>1055370</wp:posOffset>
            </wp:positionV>
            <wp:extent cx="2391410" cy="251460"/>
            <wp:effectExtent l="0" t="0" r="0" b="254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1410" cy="251460"/>
                    </a:xfrm>
                    <a:prstGeom prst="rect">
                      <a:avLst/>
                    </a:prstGeom>
                    <a:noFill/>
                  </pic:spPr>
                </pic:pic>
              </a:graphicData>
            </a:graphic>
            <wp14:sizeRelH relativeFrom="page">
              <wp14:pctWidth>0</wp14:pctWidth>
            </wp14:sizeRelH>
            <wp14:sizeRelV relativeFrom="page">
              <wp14:pctHeight>0</wp14:pctHeight>
            </wp14:sizeRelV>
          </wp:anchor>
        </w:drawing>
      </w:r>
      <w:r w:rsidR="00634088" w:rsidRPr="008E1ACA">
        <w:rPr>
          <w:rFonts w:cs="Arial"/>
          <w:bCs/>
          <w:color w:val="808080" w:themeColor="background1" w:themeShade="80"/>
        </w:rPr>
        <w:t>This consultant’s report does not necessarily reflect the views of ADB or the Government concerned, and ADB and the Government cannot be held liable for its contents.  (For project preparatory technical assistance: All the views expressed herein may not be incorporated into the proposed project’s design</w:t>
      </w:r>
      <w:r w:rsidRPr="008E1ACA">
        <w:rPr>
          <w:rFonts w:cs="Arial"/>
          <w:bCs/>
          <w:color w:val="808080" w:themeColor="background1" w:themeShade="80"/>
        </w:rPr>
        <w:t>.</w:t>
      </w:r>
    </w:p>
    <w:p w14:paraId="36297A36" w14:textId="77777777" w:rsidR="00BB7E11" w:rsidRPr="008E1ACA" w:rsidRDefault="00BB7E11" w:rsidP="00634088">
      <w:pPr>
        <w:jc w:val="center"/>
        <w:rPr>
          <w:rFonts w:cs="Arial"/>
          <w:b/>
          <w:color w:val="808080" w:themeColor="background1" w:themeShade="80"/>
        </w:rPr>
      </w:pPr>
    </w:p>
    <w:p w14:paraId="2FA11511" w14:textId="77777777" w:rsidR="00280B9B" w:rsidRDefault="00280B9B" w:rsidP="00EF44B9">
      <w:pPr>
        <w:rPr>
          <w:rFonts w:cs="Arial"/>
          <w:b/>
        </w:rPr>
        <w:sectPr w:rsidR="00280B9B" w:rsidSect="00D84E07">
          <w:headerReference w:type="even" r:id="rId11"/>
          <w:headerReference w:type="default" r:id="rId12"/>
          <w:footerReference w:type="even" r:id="rId13"/>
          <w:footerReference w:type="default" r:id="rId14"/>
          <w:pgSz w:w="12240" w:h="15840"/>
          <w:pgMar w:top="1440" w:right="1440" w:bottom="1440" w:left="1440" w:header="720" w:footer="720" w:gutter="0"/>
          <w:pgNumType w:fmt="lowerRoman" w:start="1"/>
          <w:cols w:space="720"/>
          <w:titlePg/>
          <w:docGrid w:linePitch="360"/>
        </w:sectPr>
      </w:pPr>
    </w:p>
    <w:p w14:paraId="77F4886B" w14:textId="0BD6199B" w:rsidR="00147507" w:rsidRPr="00437A15" w:rsidRDefault="00715DD6" w:rsidP="008E1ACA">
      <w:pPr>
        <w:jc w:val="center"/>
        <w:rPr>
          <w:rFonts w:cs="Arial"/>
          <w:b/>
        </w:rPr>
      </w:pPr>
      <w:r w:rsidRPr="00437A15">
        <w:rPr>
          <w:rFonts w:cs="Arial"/>
          <w:b/>
        </w:rPr>
        <w:lastRenderedPageBreak/>
        <w:t>CURRENCY EQUIVALENTS</w:t>
      </w:r>
    </w:p>
    <w:p w14:paraId="3888E89B" w14:textId="204CC4AF" w:rsidR="00634088" w:rsidRPr="00F31727" w:rsidRDefault="00BB7E11" w:rsidP="00634088">
      <w:pPr>
        <w:jc w:val="center"/>
        <w:rPr>
          <w:rFonts w:cs="Arial"/>
        </w:rPr>
      </w:pPr>
      <w:r w:rsidRPr="00F31727">
        <w:rPr>
          <w:rFonts w:cs="Arial"/>
        </w:rPr>
        <w:t xml:space="preserve">(as of </w:t>
      </w:r>
      <w:r w:rsidR="0094354C">
        <w:rPr>
          <w:rFonts w:cs="Arial"/>
        </w:rPr>
        <w:t>December</w:t>
      </w:r>
      <w:r w:rsidR="00662C14">
        <w:rPr>
          <w:rFonts w:cs="Arial"/>
        </w:rPr>
        <w:t xml:space="preserve"> 2017</w:t>
      </w:r>
      <w:r w:rsidR="00634088" w:rsidRPr="00F31727">
        <w:rPr>
          <w:rFonts w:cs="Arial"/>
        </w:rPr>
        <w:t xml:space="preserve">)      </w:t>
      </w:r>
    </w:p>
    <w:p w14:paraId="4E145B65" w14:textId="77777777" w:rsidR="008E1ACA" w:rsidRPr="00A70755" w:rsidRDefault="008E1ACA" w:rsidP="00634088">
      <w:pPr>
        <w:jc w:val="center"/>
        <w:rPr>
          <w:rFonts w:cs="Arial"/>
        </w:rPr>
      </w:pPr>
    </w:p>
    <w:p w14:paraId="7750484A" w14:textId="4C7D969F" w:rsidR="00634088" w:rsidRPr="00A70755" w:rsidRDefault="00603912" w:rsidP="00603912">
      <w:pPr>
        <w:rPr>
          <w:rFonts w:cs="Arial"/>
        </w:rPr>
      </w:pPr>
      <w:r>
        <w:rPr>
          <w:rFonts w:cs="Arial"/>
        </w:rPr>
        <w:t xml:space="preserve">                                                        Currency Unit –   </w:t>
      </w:r>
      <w:r w:rsidR="009254B9">
        <w:rPr>
          <w:rFonts w:cs="Arial"/>
        </w:rPr>
        <w:t>Dram (AMD)</w:t>
      </w:r>
    </w:p>
    <w:p w14:paraId="5DF231BF" w14:textId="16215D89" w:rsidR="00634088" w:rsidRPr="00A70755" w:rsidRDefault="0062256A" w:rsidP="0062256A">
      <w:pPr>
        <w:rPr>
          <w:rFonts w:cs="Arial"/>
        </w:rPr>
      </w:pPr>
      <w:r>
        <w:rPr>
          <w:rFonts w:cs="Arial"/>
        </w:rPr>
        <w:t xml:space="preserve">                              </w:t>
      </w:r>
      <w:r w:rsidR="00BF755D">
        <w:rPr>
          <w:rFonts w:cs="Arial"/>
        </w:rPr>
        <w:t xml:space="preserve">  </w:t>
      </w:r>
      <w:r w:rsidR="00E74879">
        <w:rPr>
          <w:rFonts w:cs="Arial"/>
        </w:rPr>
        <w:t xml:space="preserve">                          </w:t>
      </w:r>
      <w:r w:rsidR="009254B9">
        <w:rPr>
          <w:rFonts w:cs="Arial"/>
        </w:rPr>
        <w:t>AMD</w:t>
      </w:r>
      <w:r>
        <w:rPr>
          <w:rFonts w:cs="Arial"/>
        </w:rPr>
        <w:t xml:space="preserve">1.00    </w:t>
      </w:r>
      <w:r w:rsidR="00634088" w:rsidRPr="00A70755">
        <w:rPr>
          <w:rFonts w:cs="Arial"/>
        </w:rPr>
        <w:t xml:space="preserve"> =</w:t>
      </w:r>
      <w:r>
        <w:rPr>
          <w:rFonts w:cs="Arial"/>
        </w:rPr>
        <w:t xml:space="preserve"> </w:t>
      </w:r>
      <w:r w:rsidR="00BF755D">
        <w:rPr>
          <w:rFonts w:cs="Arial"/>
        </w:rPr>
        <w:t xml:space="preserve">   0.00</w:t>
      </w:r>
      <w:r w:rsidR="0025699F">
        <w:rPr>
          <w:rFonts w:cs="Arial"/>
        </w:rPr>
        <w:t>2</w:t>
      </w:r>
      <w:r w:rsidR="00437A15" w:rsidRPr="00A70755">
        <w:rPr>
          <w:rFonts w:cs="Arial"/>
        </w:rPr>
        <w:t xml:space="preserve"> </w:t>
      </w:r>
      <w:r w:rsidR="00634088" w:rsidRPr="00A70755">
        <w:rPr>
          <w:rFonts w:cs="Arial"/>
        </w:rPr>
        <w:t>$</w:t>
      </w:r>
    </w:p>
    <w:p w14:paraId="2F6B57C3" w14:textId="528E9B1D" w:rsidR="00634088" w:rsidRPr="00A70755" w:rsidRDefault="0062256A" w:rsidP="00603912">
      <w:pPr>
        <w:rPr>
          <w:rFonts w:cs="Arial"/>
        </w:rPr>
      </w:pPr>
      <w:r>
        <w:rPr>
          <w:rFonts w:cs="Arial"/>
        </w:rPr>
        <w:t xml:space="preserve">                                                    </w:t>
      </w:r>
      <w:r w:rsidR="00525E54">
        <w:rPr>
          <w:rFonts w:cs="Arial"/>
        </w:rPr>
        <w:t xml:space="preserve">            $1.00    </w:t>
      </w:r>
      <w:r w:rsidR="00603912">
        <w:rPr>
          <w:rFonts w:cs="Arial"/>
        </w:rPr>
        <w:t xml:space="preserve"> =    </w:t>
      </w:r>
      <w:r w:rsidR="0025699F">
        <w:rPr>
          <w:rFonts w:cs="Arial"/>
        </w:rPr>
        <w:t>484</w:t>
      </w:r>
      <w:r w:rsidR="00BF755D">
        <w:rPr>
          <w:rFonts w:cs="Arial"/>
        </w:rPr>
        <w:t>.</w:t>
      </w:r>
      <w:r w:rsidR="0025699F">
        <w:rPr>
          <w:rFonts w:cs="Arial"/>
        </w:rPr>
        <w:t>1</w:t>
      </w:r>
      <w:r w:rsidR="00BF755D">
        <w:rPr>
          <w:rFonts w:cs="Arial"/>
        </w:rPr>
        <w:t xml:space="preserve">0 </w:t>
      </w:r>
      <w:r w:rsidR="009254B9">
        <w:rPr>
          <w:rFonts w:cs="Arial"/>
        </w:rPr>
        <w:t>AMD</w:t>
      </w:r>
      <w:r w:rsidR="00662C14">
        <w:rPr>
          <w:rFonts w:cs="Arial"/>
        </w:rPr>
        <w:t xml:space="preserve"> </w:t>
      </w:r>
    </w:p>
    <w:p w14:paraId="178F4DFD" w14:textId="77777777" w:rsidR="00634088" w:rsidRPr="00A70755" w:rsidRDefault="00634088" w:rsidP="00634088">
      <w:pPr>
        <w:jc w:val="center"/>
        <w:rPr>
          <w:rFonts w:cs="Arial"/>
        </w:rPr>
      </w:pPr>
    </w:p>
    <w:p w14:paraId="35BA3FBB" w14:textId="77777777" w:rsidR="00B72B39" w:rsidRPr="00A70755" w:rsidRDefault="00B72B39">
      <w:pPr>
        <w:rPr>
          <w:rFonts w:cs="Arial"/>
          <w:b/>
        </w:rPr>
      </w:pPr>
    </w:p>
    <w:p w14:paraId="62D68AEB" w14:textId="77777777" w:rsidR="0063643A" w:rsidRPr="00A70755" w:rsidRDefault="0063643A">
      <w:pPr>
        <w:rPr>
          <w:rFonts w:cs="Arial"/>
          <w:b/>
        </w:rPr>
      </w:pPr>
    </w:p>
    <w:p w14:paraId="1005785F" w14:textId="46E5149C" w:rsidR="00B72B39" w:rsidRPr="00A70755" w:rsidRDefault="00715DD6" w:rsidP="00634088">
      <w:pPr>
        <w:jc w:val="center"/>
        <w:rPr>
          <w:rFonts w:cs="Arial"/>
          <w:b/>
          <w:sz w:val="24"/>
          <w:szCs w:val="24"/>
        </w:rPr>
      </w:pPr>
      <w:r w:rsidRPr="00A70755">
        <w:rPr>
          <w:rFonts w:cs="Arial"/>
          <w:b/>
          <w:sz w:val="24"/>
          <w:szCs w:val="24"/>
        </w:rPr>
        <w:t>ABBREVIATIONS</w:t>
      </w:r>
    </w:p>
    <w:p w14:paraId="0A595D72" w14:textId="77777777" w:rsidR="00B72B39" w:rsidRPr="00A70755" w:rsidRDefault="00B72B39" w:rsidP="00B72B39">
      <w:pPr>
        <w:rPr>
          <w:rFonts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167"/>
        <w:gridCol w:w="5942"/>
      </w:tblGrid>
      <w:tr w:rsidR="00ED293E" w:rsidRPr="00A70755" w14:paraId="549C5B61" w14:textId="77777777" w:rsidTr="001C1E53">
        <w:trPr>
          <w:jc w:val="center"/>
        </w:trPr>
        <w:tc>
          <w:tcPr>
            <w:tcW w:w="1207" w:type="dxa"/>
          </w:tcPr>
          <w:p w14:paraId="054397BE" w14:textId="5E95A456" w:rsidR="00ED293E" w:rsidRPr="00A70755" w:rsidRDefault="00ED293E" w:rsidP="00ED293E">
            <w:pPr>
              <w:rPr>
                <w:rFonts w:cs="Arial"/>
                <w:b/>
              </w:rPr>
            </w:pPr>
            <w:r w:rsidRPr="00A70755">
              <w:rPr>
                <w:rFonts w:cs="Arial"/>
              </w:rPr>
              <w:t>ADB</w:t>
            </w:r>
          </w:p>
        </w:tc>
        <w:tc>
          <w:tcPr>
            <w:tcW w:w="1167" w:type="dxa"/>
          </w:tcPr>
          <w:p w14:paraId="0D2115E4" w14:textId="6E678BAC" w:rsidR="00ED293E" w:rsidRPr="00A70755" w:rsidRDefault="00ED293E" w:rsidP="00ED293E">
            <w:pPr>
              <w:jc w:val="center"/>
              <w:rPr>
                <w:rFonts w:cs="Arial"/>
                <w:b/>
              </w:rPr>
            </w:pPr>
            <w:r w:rsidRPr="00A70755">
              <w:t>–</w:t>
            </w:r>
          </w:p>
        </w:tc>
        <w:tc>
          <w:tcPr>
            <w:tcW w:w="5942" w:type="dxa"/>
          </w:tcPr>
          <w:p w14:paraId="49517257" w14:textId="60BE7B05" w:rsidR="00ED293E" w:rsidRPr="00A70755" w:rsidRDefault="00ED293E" w:rsidP="00ED293E">
            <w:pPr>
              <w:rPr>
                <w:rFonts w:cs="Arial"/>
                <w:b/>
              </w:rPr>
            </w:pPr>
            <w:r w:rsidRPr="00A70755">
              <w:rPr>
                <w:rFonts w:cs="Arial"/>
              </w:rPr>
              <w:t>Asian Development Bank</w:t>
            </w:r>
          </w:p>
        </w:tc>
      </w:tr>
      <w:tr w:rsidR="002973B7" w:rsidRPr="00A70755" w14:paraId="530CD181" w14:textId="77777777" w:rsidTr="001C1E53">
        <w:trPr>
          <w:jc w:val="center"/>
        </w:trPr>
        <w:tc>
          <w:tcPr>
            <w:tcW w:w="1207" w:type="dxa"/>
          </w:tcPr>
          <w:p w14:paraId="01D9E021" w14:textId="483A5961" w:rsidR="002973B7" w:rsidRPr="00A70755" w:rsidRDefault="002973B7" w:rsidP="00ED293E">
            <w:pPr>
              <w:rPr>
                <w:rFonts w:cs="Arial"/>
              </w:rPr>
            </w:pPr>
            <w:r>
              <w:rPr>
                <w:rFonts w:cs="Arial"/>
              </w:rPr>
              <w:t>AMD</w:t>
            </w:r>
          </w:p>
        </w:tc>
        <w:tc>
          <w:tcPr>
            <w:tcW w:w="1167" w:type="dxa"/>
          </w:tcPr>
          <w:p w14:paraId="1E77F642" w14:textId="4F9AE367" w:rsidR="002973B7" w:rsidRPr="00A70755" w:rsidRDefault="002973B7" w:rsidP="00ED293E">
            <w:pPr>
              <w:jc w:val="center"/>
            </w:pPr>
            <w:r>
              <w:t>-</w:t>
            </w:r>
          </w:p>
        </w:tc>
        <w:tc>
          <w:tcPr>
            <w:tcW w:w="5942" w:type="dxa"/>
          </w:tcPr>
          <w:p w14:paraId="7B2EF228" w14:textId="3EBD07F4" w:rsidR="002973B7" w:rsidRPr="00A70755" w:rsidRDefault="002973B7" w:rsidP="00ED293E">
            <w:pPr>
              <w:rPr>
                <w:rFonts w:cs="Arial"/>
              </w:rPr>
            </w:pPr>
            <w:r>
              <w:rPr>
                <w:rFonts w:cs="Arial"/>
              </w:rPr>
              <w:t>Armenia</w:t>
            </w:r>
            <w:r w:rsidR="00435205">
              <w:rPr>
                <w:rFonts w:cs="Arial"/>
              </w:rPr>
              <w:t>n Dram</w:t>
            </w:r>
          </w:p>
        </w:tc>
      </w:tr>
      <w:tr w:rsidR="001E1B0A" w:rsidRPr="00A70755" w14:paraId="793F3476" w14:textId="77777777" w:rsidTr="001C1E53">
        <w:trPr>
          <w:jc w:val="center"/>
        </w:trPr>
        <w:tc>
          <w:tcPr>
            <w:tcW w:w="1207" w:type="dxa"/>
          </w:tcPr>
          <w:p w14:paraId="77E5F218" w14:textId="12EA2D98" w:rsidR="001E1B0A" w:rsidRPr="00A70755" w:rsidRDefault="001E1B0A" w:rsidP="00ED293E">
            <w:pPr>
              <w:rPr>
                <w:rFonts w:cs="Arial"/>
              </w:rPr>
            </w:pPr>
            <w:r>
              <w:rPr>
                <w:rFonts w:cs="Arial"/>
              </w:rPr>
              <w:t>ARM</w:t>
            </w:r>
          </w:p>
        </w:tc>
        <w:tc>
          <w:tcPr>
            <w:tcW w:w="1167" w:type="dxa"/>
          </w:tcPr>
          <w:p w14:paraId="4B858C23" w14:textId="3CE3D3FF" w:rsidR="001E1B0A" w:rsidRPr="00A70755" w:rsidRDefault="001E1B0A" w:rsidP="00ED293E">
            <w:pPr>
              <w:jc w:val="center"/>
            </w:pPr>
            <w:r>
              <w:t>-</w:t>
            </w:r>
          </w:p>
        </w:tc>
        <w:tc>
          <w:tcPr>
            <w:tcW w:w="5942" w:type="dxa"/>
          </w:tcPr>
          <w:p w14:paraId="5D5DF9A6" w14:textId="5F4F85F1" w:rsidR="001E1B0A" w:rsidRPr="00A70755" w:rsidRDefault="001E1B0A" w:rsidP="00ED293E">
            <w:pPr>
              <w:rPr>
                <w:rFonts w:cs="Arial"/>
              </w:rPr>
            </w:pPr>
            <w:r>
              <w:rPr>
                <w:rFonts w:cs="Arial"/>
              </w:rPr>
              <w:t>Republic of Armenia</w:t>
            </w:r>
          </w:p>
        </w:tc>
      </w:tr>
      <w:tr w:rsidR="00ED293E" w:rsidRPr="00A70755" w14:paraId="7F34E166" w14:textId="77777777" w:rsidTr="001C1E53">
        <w:trPr>
          <w:jc w:val="center"/>
        </w:trPr>
        <w:tc>
          <w:tcPr>
            <w:tcW w:w="1207" w:type="dxa"/>
          </w:tcPr>
          <w:p w14:paraId="0D6A8809" w14:textId="76A6226C" w:rsidR="00ED293E" w:rsidRPr="00A70755" w:rsidRDefault="00ED293E" w:rsidP="00ED293E">
            <w:pPr>
              <w:rPr>
                <w:rFonts w:cs="Arial"/>
                <w:b/>
              </w:rPr>
            </w:pPr>
            <w:r w:rsidRPr="00A70755">
              <w:rPr>
                <w:rFonts w:cs="Arial"/>
              </w:rPr>
              <w:t>ATM</w:t>
            </w:r>
          </w:p>
        </w:tc>
        <w:tc>
          <w:tcPr>
            <w:tcW w:w="1167" w:type="dxa"/>
          </w:tcPr>
          <w:p w14:paraId="4AF1750B" w14:textId="6EBDB4DD" w:rsidR="00ED293E" w:rsidRPr="00A70755" w:rsidRDefault="00ED293E" w:rsidP="00ED293E">
            <w:pPr>
              <w:jc w:val="center"/>
              <w:rPr>
                <w:rFonts w:cs="Arial"/>
                <w:b/>
              </w:rPr>
            </w:pPr>
            <w:r w:rsidRPr="00A70755">
              <w:t>–</w:t>
            </w:r>
          </w:p>
        </w:tc>
        <w:tc>
          <w:tcPr>
            <w:tcW w:w="5942" w:type="dxa"/>
          </w:tcPr>
          <w:p w14:paraId="2C24148B" w14:textId="2A84F92A" w:rsidR="00ED293E" w:rsidRPr="00A70755" w:rsidRDefault="00ED293E" w:rsidP="00ED293E">
            <w:pPr>
              <w:rPr>
                <w:rFonts w:cs="Arial"/>
                <w:b/>
              </w:rPr>
            </w:pPr>
            <w:r w:rsidRPr="00A70755">
              <w:rPr>
                <w:rFonts w:cs="Arial"/>
              </w:rPr>
              <w:t>Average Time to Maturity</w:t>
            </w:r>
          </w:p>
        </w:tc>
      </w:tr>
      <w:tr w:rsidR="00BF755D" w:rsidRPr="00A70755" w14:paraId="7907286A" w14:textId="77777777" w:rsidTr="001C1E53">
        <w:trPr>
          <w:jc w:val="center"/>
        </w:trPr>
        <w:tc>
          <w:tcPr>
            <w:tcW w:w="1207" w:type="dxa"/>
          </w:tcPr>
          <w:p w14:paraId="0A52C68E" w14:textId="3F498ED1" w:rsidR="00BF755D" w:rsidRPr="00A70755" w:rsidRDefault="00BF755D" w:rsidP="00ED293E">
            <w:pPr>
              <w:rPr>
                <w:rFonts w:cs="Arial"/>
              </w:rPr>
            </w:pPr>
            <w:r>
              <w:rPr>
                <w:rFonts w:cs="Arial"/>
              </w:rPr>
              <w:t>CB</w:t>
            </w:r>
            <w:r w:rsidR="002973B7">
              <w:rPr>
                <w:rFonts w:cs="Arial"/>
              </w:rPr>
              <w:t>A</w:t>
            </w:r>
          </w:p>
        </w:tc>
        <w:tc>
          <w:tcPr>
            <w:tcW w:w="1167" w:type="dxa"/>
          </w:tcPr>
          <w:p w14:paraId="2497E398" w14:textId="48B45473" w:rsidR="00BF755D" w:rsidRPr="00A70755" w:rsidRDefault="00DB20DE" w:rsidP="00ED293E">
            <w:pPr>
              <w:jc w:val="center"/>
            </w:pPr>
            <w:r w:rsidRPr="00A70755">
              <w:t>–</w:t>
            </w:r>
          </w:p>
        </w:tc>
        <w:tc>
          <w:tcPr>
            <w:tcW w:w="5942" w:type="dxa"/>
          </w:tcPr>
          <w:p w14:paraId="720305EC" w14:textId="6FC2A034" w:rsidR="00BF755D" w:rsidRPr="00A70755" w:rsidRDefault="00BF755D" w:rsidP="00ED293E">
            <w:pPr>
              <w:rPr>
                <w:rFonts w:cs="Arial"/>
              </w:rPr>
            </w:pPr>
            <w:r>
              <w:rPr>
                <w:rFonts w:cs="Arial"/>
              </w:rPr>
              <w:t xml:space="preserve">Central Bank of </w:t>
            </w:r>
            <w:r w:rsidR="002973B7">
              <w:rPr>
                <w:rFonts w:cs="Arial"/>
              </w:rPr>
              <w:t>Armenia</w:t>
            </w:r>
          </w:p>
        </w:tc>
      </w:tr>
      <w:tr w:rsidR="001E1B0A" w:rsidRPr="00A70755" w14:paraId="2B358D3A" w14:textId="77777777" w:rsidTr="001C1E53">
        <w:trPr>
          <w:jc w:val="center"/>
        </w:trPr>
        <w:tc>
          <w:tcPr>
            <w:tcW w:w="1207" w:type="dxa"/>
          </w:tcPr>
          <w:p w14:paraId="5AEB2162" w14:textId="44E895E3" w:rsidR="001E1B0A" w:rsidRDefault="001E1B0A" w:rsidP="00ED293E">
            <w:pPr>
              <w:rPr>
                <w:rFonts w:cs="Arial"/>
              </w:rPr>
            </w:pPr>
            <w:r>
              <w:rPr>
                <w:rFonts w:cs="Arial"/>
              </w:rPr>
              <w:t>DMO</w:t>
            </w:r>
          </w:p>
        </w:tc>
        <w:tc>
          <w:tcPr>
            <w:tcW w:w="1167" w:type="dxa"/>
          </w:tcPr>
          <w:p w14:paraId="096C8E3D" w14:textId="29CB0959" w:rsidR="001E1B0A" w:rsidRDefault="001E1B0A" w:rsidP="00ED293E">
            <w:pPr>
              <w:jc w:val="center"/>
            </w:pPr>
            <w:r>
              <w:t>-</w:t>
            </w:r>
          </w:p>
        </w:tc>
        <w:tc>
          <w:tcPr>
            <w:tcW w:w="5942" w:type="dxa"/>
          </w:tcPr>
          <w:p w14:paraId="24996146" w14:textId="703167BA" w:rsidR="001E1B0A" w:rsidRDefault="001E1B0A" w:rsidP="00ED293E">
            <w:pPr>
              <w:rPr>
                <w:rFonts w:cs="Arial"/>
              </w:rPr>
            </w:pPr>
            <w:r>
              <w:rPr>
                <w:rFonts w:cs="Arial"/>
              </w:rPr>
              <w:t>Debt Management Office</w:t>
            </w:r>
          </w:p>
        </w:tc>
      </w:tr>
      <w:tr w:rsidR="002973B7" w:rsidRPr="00A70755" w14:paraId="15FD0B98" w14:textId="77777777" w:rsidTr="001C1E53">
        <w:trPr>
          <w:jc w:val="center"/>
        </w:trPr>
        <w:tc>
          <w:tcPr>
            <w:tcW w:w="1207" w:type="dxa"/>
          </w:tcPr>
          <w:p w14:paraId="546D82DC" w14:textId="52924DF5" w:rsidR="002973B7" w:rsidRPr="00A70755" w:rsidRDefault="002973B7" w:rsidP="00ED293E">
            <w:pPr>
              <w:rPr>
                <w:rFonts w:cs="Arial"/>
              </w:rPr>
            </w:pPr>
            <w:r>
              <w:rPr>
                <w:rFonts w:cs="Arial"/>
              </w:rPr>
              <w:t>G-Sec</w:t>
            </w:r>
          </w:p>
        </w:tc>
        <w:tc>
          <w:tcPr>
            <w:tcW w:w="1167" w:type="dxa"/>
          </w:tcPr>
          <w:p w14:paraId="084212E2" w14:textId="2CB6A552" w:rsidR="002973B7" w:rsidRPr="00A70755" w:rsidRDefault="002973B7" w:rsidP="00ED293E">
            <w:pPr>
              <w:jc w:val="center"/>
            </w:pPr>
            <w:r>
              <w:t>-</w:t>
            </w:r>
          </w:p>
        </w:tc>
        <w:tc>
          <w:tcPr>
            <w:tcW w:w="5942" w:type="dxa"/>
          </w:tcPr>
          <w:p w14:paraId="69DB1D39" w14:textId="5F2B3C55" w:rsidR="002973B7" w:rsidRPr="00A70755" w:rsidRDefault="002973B7" w:rsidP="00ED293E">
            <w:pPr>
              <w:rPr>
                <w:rFonts w:cs="Arial"/>
              </w:rPr>
            </w:pPr>
            <w:r>
              <w:rPr>
                <w:rFonts w:cs="Arial"/>
              </w:rPr>
              <w:t>Government Securities</w:t>
            </w:r>
          </w:p>
        </w:tc>
      </w:tr>
      <w:tr w:rsidR="0069373B" w:rsidRPr="00A70755" w14:paraId="05D413C2" w14:textId="77777777" w:rsidTr="00DB20DE">
        <w:trPr>
          <w:trHeight w:val="279"/>
          <w:jc w:val="center"/>
        </w:trPr>
        <w:tc>
          <w:tcPr>
            <w:tcW w:w="1207" w:type="dxa"/>
          </w:tcPr>
          <w:p w14:paraId="148B1C62" w14:textId="3406B80B" w:rsidR="0069373B" w:rsidRPr="00A70755" w:rsidRDefault="0069373B" w:rsidP="00ED293E">
            <w:pPr>
              <w:rPr>
                <w:rFonts w:cs="Arial"/>
              </w:rPr>
            </w:pPr>
            <w:r>
              <w:rPr>
                <w:rFonts w:cs="Arial"/>
              </w:rPr>
              <w:t>LMO</w:t>
            </w:r>
          </w:p>
        </w:tc>
        <w:tc>
          <w:tcPr>
            <w:tcW w:w="1167" w:type="dxa"/>
          </w:tcPr>
          <w:p w14:paraId="37CC9B4B" w14:textId="7EA01DAE" w:rsidR="0069373B" w:rsidRPr="00A70755" w:rsidRDefault="0069373B" w:rsidP="00ED293E">
            <w:pPr>
              <w:jc w:val="center"/>
            </w:pPr>
            <w:r w:rsidRPr="00A70755">
              <w:t>–</w:t>
            </w:r>
          </w:p>
        </w:tc>
        <w:tc>
          <w:tcPr>
            <w:tcW w:w="5942" w:type="dxa"/>
          </w:tcPr>
          <w:p w14:paraId="3F6E4EDC" w14:textId="00CF4B2D" w:rsidR="0069373B" w:rsidRPr="00A70755" w:rsidRDefault="0069373B" w:rsidP="00ED293E">
            <w:pPr>
              <w:rPr>
                <w:rFonts w:cs="Arial"/>
              </w:rPr>
            </w:pPr>
            <w:r>
              <w:rPr>
                <w:rFonts w:cs="Arial"/>
              </w:rPr>
              <w:t>Liability Management Operations</w:t>
            </w:r>
          </w:p>
        </w:tc>
      </w:tr>
      <w:tr w:rsidR="001E1B0A" w:rsidRPr="00A70755" w14:paraId="4A60E9DC" w14:textId="77777777" w:rsidTr="001C1E53">
        <w:trPr>
          <w:jc w:val="center"/>
        </w:trPr>
        <w:tc>
          <w:tcPr>
            <w:tcW w:w="1207" w:type="dxa"/>
          </w:tcPr>
          <w:p w14:paraId="5B9AAB9D" w14:textId="0F24FD35" w:rsidR="001E1B0A" w:rsidRDefault="001E1B0A" w:rsidP="00ED293E">
            <w:pPr>
              <w:rPr>
                <w:rFonts w:cs="Arial"/>
              </w:rPr>
            </w:pPr>
            <w:r>
              <w:rPr>
                <w:rFonts w:cs="Arial"/>
              </w:rPr>
              <w:t>PD</w:t>
            </w:r>
          </w:p>
        </w:tc>
        <w:tc>
          <w:tcPr>
            <w:tcW w:w="1167" w:type="dxa"/>
          </w:tcPr>
          <w:p w14:paraId="57B67FCC" w14:textId="1912947A" w:rsidR="001E1B0A" w:rsidRDefault="001E1B0A" w:rsidP="00ED293E">
            <w:pPr>
              <w:jc w:val="center"/>
            </w:pPr>
            <w:r>
              <w:t>-</w:t>
            </w:r>
          </w:p>
        </w:tc>
        <w:tc>
          <w:tcPr>
            <w:tcW w:w="5942" w:type="dxa"/>
          </w:tcPr>
          <w:p w14:paraId="0F51A62E" w14:textId="13A711D4" w:rsidR="001E1B0A" w:rsidRDefault="001E1B0A" w:rsidP="00ED293E">
            <w:pPr>
              <w:rPr>
                <w:rFonts w:cs="Arial"/>
              </w:rPr>
            </w:pPr>
            <w:r>
              <w:rPr>
                <w:rFonts w:cs="Arial"/>
              </w:rPr>
              <w:t>Primary Dealer</w:t>
            </w:r>
          </w:p>
        </w:tc>
      </w:tr>
      <w:tr w:rsidR="002973B7" w:rsidRPr="00A70755" w14:paraId="406AA4B1" w14:textId="77777777" w:rsidTr="001C1E53">
        <w:trPr>
          <w:jc w:val="center"/>
        </w:trPr>
        <w:tc>
          <w:tcPr>
            <w:tcW w:w="1207" w:type="dxa"/>
          </w:tcPr>
          <w:p w14:paraId="6F4345C6" w14:textId="4ADC22B3" w:rsidR="002973B7" w:rsidRDefault="002973B7" w:rsidP="00ED293E">
            <w:pPr>
              <w:rPr>
                <w:rFonts w:cs="Arial"/>
              </w:rPr>
            </w:pPr>
            <w:r>
              <w:rPr>
                <w:rFonts w:cs="Arial"/>
              </w:rPr>
              <w:t>PDMD</w:t>
            </w:r>
          </w:p>
        </w:tc>
        <w:tc>
          <w:tcPr>
            <w:tcW w:w="1167" w:type="dxa"/>
          </w:tcPr>
          <w:p w14:paraId="02D8BE56" w14:textId="2FCABF6E" w:rsidR="002973B7" w:rsidRPr="00A70755" w:rsidRDefault="002973B7" w:rsidP="00ED293E">
            <w:pPr>
              <w:jc w:val="center"/>
            </w:pPr>
            <w:r>
              <w:t>-</w:t>
            </w:r>
          </w:p>
        </w:tc>
        <w:tc>
          <w:tcPr>
            <w:tcW w:w="5942" w:type="dxa"/>
          </w:tcPr>
          <w:p w14:paraId="500A9107" w14:textId="1DF324AB" w:rsidR="002973B7" w:rsidRDefault="002973B7" w:rsidP="00ED293E">
            <w:pPr>
              <w:rPr>
                <w:rFonts w:cs="Arial"/>
              </w:rPr>
            </w:pPr>
            <w:r>
              <w:rPr>
                <w:rFonts w:cs="Arial"/>
              </w:rPr>
              <w:t>Public Debt Management Department</w:t>
            </w:r>
          </w:p>
        </w:tc>
      </w:tr>
      <w:tr w:rsidR="00ED293E" w:rsidRPr="00A70755" w14:paraId="4D38EC89" w14:textId="77777777" w:rsidTr="001C1E53">
        <w:trPr>
          <w:jc w:val="center"/>
        </w:trPr>
        <w:tc>
          <w:tcPr>
            <w:tcW w:w="1207" w:type="dxa"/>
          </w:tcPr>
          <w:p w14:paraId="5B15F4B4" w14:textId="03D4D2D7" w:rsidR="00ED293E" w:rsidRPr="00A70755" w:rsidRDefault="00BF755D" w:rsidP="00ED293E">
            <w:pPr>
              <w:rPr>
                <w:rFonts w:cs="Arial"/>
              </w:rPr>
            </w:pPr>
            <w:r>
              <w:rPr>
                <w:rFonts w:cs="Arial"/>
              </w:rPr>
              <w:t>M</w:t>
            </w:r>
            <w:r w:rsidR="002973B7">
              <w:rPr>
                <w:rFonts w:cs="Arial"/>
              </w:rPr>
              <w:t>o</w:t>
            </w:r>
            <w:r>
              <w:rPr>
                <w:rFonts w:cs="Arial"/>
              </w:rPr>
              <w:t>F</w:t>
            </w:r>
          </w:p>
        </w:tc>
        <w:tc>
          <w:tcPr>
            <w:tcW w:w="1167" w:type="dxa"/>
          </w:tcPr>
          <w:p w14:paraId="74597A86" w14:textId="2894AC7E" w:rsidR="00ED293E" w:rsidRPr="00A70755" w:rsidRDefault="00ED293E" w:rsidP="00ED293E">
            <w:pPr>
              <w:jc w:val="center"/>
              <w:rPr>
                <w:rFonts w:cs="Arial"/>
                <w:b/>
              </w:rPr>
            </w:pPr>
            <w:r w:rsidRPr="00A70755">
              <w:t>–</w:t>
            </w:r>
          </w:p>
        </w:tc>
        <w:tc>
          <w:tcPr>
            <w:tcW w:w="5942" w:type="dxa"/>
          </w:tcPr>
          <w:p w14:paraId="27BE5E6B" w14:textId="22E981D2" w:rsidR="00ED293E" w:rsidRPr="00A70755" w:rsidRDefault="00BF755D" w:rsidP="00ED293E">
            <w:pPr>
              <w:rPr>
                <w:rFonts w:cs="Arial"/>
              </w:rPr>
            </w:pPr>
            <w:r>
              <w:rPr>
                <w:rFonts w:cs="Arial"/>
              </w:rPr>
              <w:t>Ministry of Finance</w:t>
            </w:r>
          </w:p>
        </w:tc>
      </w:tr>
      <w:tr w:rsidR="0085757E" w:rsidRPr="00A70755" w14:paraId="2DDFB53B" w14:textId="77777777" w:rsidTr="001C1E53">
        <w:trPr>
          <w:jc w:val="center"/>
        </w:trPr>
        <w:tc>
          <w:tcPr>
            <w:tcW w:w="1207" w:type="dxa"/>
          </w:tcPr>
          <w:p w14:paraId="43297583" w14:textId="05228DBC" w:rsidR="0085757E" w:rsidRDefault="002973B7" w:rsidP="00ED293E">
            <w:pPr>
              <w:rPr>
                <w:rFonts w:cs="Arial"/>
              </w:rPr>
            </w:pPr>
            <w:r>
              <w:rPr>
                <w:rFonts w:cs="Arial"/>
              </w:rPr>
              <w:t>NASDAQ  OMX</w:t>
            </w:r>
          </w:p>
        </w:tc>
        <w:tc>
          <w:tcPr>
            <w:tcW w:w="1167" w:type="dxa"/>
          </w:tcPr>
          <w:p w14:paraId="288E008D" w14:textId="3D6B173A" w:rsidR="0085757E" w:rsidRPr="00A70755" w:rsidRDefault="0085757E" w:rsidP="00ED293E">
            <w:pPr>
              <w:jc w:val="center"/>
            </w:pPr>
            <w:r w:rsidRPr="00A70755">
              <w:t>–</w:t>
            </w:r>
          </w:p>
        </w:tc>
        <w:tc>
          <w:tcPr>
            <w:tcW w:w="5942" w:type="dxa"/>
          </w:tcPr>
          <w:p w14:paraId="6AB7F284" w14:textId="57BCF8BC" w:rsidR="0085757E" w:rsidRDefault="002973B7" w:rsidP="00ED293E">
            <w:pPr>
              <w:rPr>
                <w:rFonts w:cs="Arial"/>
              </w:rPr>
            </w:pPr>
            <w:r>
              <w:rPr>
                <w:rFonts w:cs="Arial"/>
              </w:rPr>
              <w:t>NASDAQ Stock Exchange Armenia</w:t>
            </w:r>
          </w:p>
        </w:tc>
      </w:tr>
      <w:tr w:rsidR="00ED293E" w:rsidRPr="00A70755" w14:paraId="67174AE6" w14:textId="77777777" w:rsidTr="001C1E53">
        <w:trPr>
          <w:jc w:val="center"/>
        </w:trPr>
        <w:tc>
          <w:tcPr>
            <w:tcW w:w="1207" w:type="dxa"/>
          </w:tcPr>
          <w:p w14:paraId="091068AE" w14:textId="007B3BF3" w:rsidR="00ED293E" w:rsidRPr="00A70755" w:rsidRDefault="00ED293E" w:rsidP="00ED293E">
            <w:pPr>
              <w:rPr>
                <w:rFonts w:cs="Arial"/>
              </w:rPr>
            </w:pPr>
            <w:r w:rsidRPr="00A70755">
              <w:rPr>
                <w:rFonts w:cs="Arial"/>
              </w:rPr>
              <w:t>MTDS</w:t>
            </w:r>
          </w:p>
        </w:tc>
        <w:tc>
          <w:tcPr>
            <w:tcW w:w="1167" w:type="dxa"/>
          </w:tcPr>
          <w:p w14:paraId="558C87F1" w14:textId="1E7ABB57" w:rsidR="00ED293E" w:rsidRPr="00A70755" w:rsidRDefault="00ED293E" w:rsidP="00ED293E">
            <w:pPr>
              <w:jc w:val="center"/>
              <w:rPr>
                <w:rFonts w:cs="Arial"/>
                <w:b/>
              </w:rPr>
            </w:pPr>
            <w:r w:rsidRPr="00A70755">
              <w:t>–</w:t>
            </w:r>
          </w:p>
        </w:tc>
        <w:tc>
          <w:tcPr>
            <w:tcW w:w="5942" w:type="dxa"/>
          </w:tcPr>
          <w:p w14:paraId="0B481341" w14:textId="2B4BAD7E" w:rsidR="00ED293E" w:rsidRPr="00A70755" w:rsidRDefault="0069373B" w:rsidP="00ED293E">
            <w:pPr>
              <w:rPr>
                <w:rFonts w:cs="Arial"/>
              </w:rPr>
            </w:pPr>
            <w:r>
              <w:rPr>
                <w:rFonts w:cs="Arial"/>
              </w:rPr>
              <w:t>Medium-</w:t>
            </w:r>
            <w:r w:rsidR="00ED293E" w:rsidRPr="00A70755">
              <w:rPr>
                <w:rFonts w:cs="Arial"/>
              </w:rPr>
              <w:t xml:space="preserve">Term Debt </w:t>
            </w:r>
            <w:r>
              <w:rPr>
                <w:rFonts w:cs="Arial"/>
              </w:rPr>
              <w:t xml:space="preserve">Management </w:t>
            </w:r>
            <w:r w:rsidR="00ED293E" w:rsidRPr="00A70755">
              <w:rPr>
                <w:rFonts w:cs="Arial"/>
              </w:rPr>
              <w:t>Strategy</w:t>
            </w:r>
          </w:p>
        </w:tc>
      </w:tr>
      <w:tr w:rsidR="00ED293E" w:rsidRPr="00A70755" w14:paraId="07760A70" w14:textId="77777777" w:rsidTr="001C1E53">
        <w:trPr>
          <w:jc w:val="center"/>
        </w:trPr>
        <w:tc>
          <w:tcPr>
            <w:tcW w:w="1207" w:type="dxa"/>
          </w:tcPr>
          <w:p w14:paraId="3370E5B2" w14:textId="67A98CAE" w:rsidR="00ED293E" w:rsidRPr="00A70755" w:rsidRDefault="00ED293E" w:rsidP="00ED293E">
            <w:pPr>
              <w:rPr>
                <w:rFonts w:cs="Arial"/>
              </w:rPr>
            </w:pPr>
            <w:r w:rsidRPr="00A70755">
              <w:rPr>
                <w:rFonts w:cs="Arial"/>
              </w:rPr>
              <w:t>TA</w:t>
            </w:r>
          </w:p>
        </w:tc>
        <w:tc>
          <w:tcPr>
            <w:tcW w:w="1167" w:type="dxa"/>
          </w:tcPr>
          <w:p w14:paraId="0D28A6DF" w14:textId="17ED51E0" w:rsidR="00ED293E" w:rsidRPr="00A70755" w:rsidRDefault="00ED293E" w:rsidP="00ED293E">
            <w:pPr>
              <w:jc w:val="center"/>
              <w:rPr>
                <w:rFonts w:cs="Arial"/>
                <w:b/>
              </w:rPr>
            </w:pPr>
            <w:r w:rsidRPr="00A70755">
              <w:t>–</w:t>
            </w:r>
          </w:p>
        </w:tc>
        <w:tc>
          <w:tcPr>
            <w:tcW w:w="5942" w:type="dxa"/>
          </w:tcPr>
          <w:p w14:paraId="6B967E3E" w14:textId="0C3D2C19" w:rsidR="00ED293E" w:rsidRPr="00A70755" w:rsidRDefault="00ED293E" w:rsidP="00ED293E">
            <w:pPr>
              <w:rPr>
                <w:rFonts w:cs="Arial"/>
              </w:rPr>
            </w:pPr>
            <w:r w:rsidRPr="00A70755">
              <w:rPr>
                <w:rFonts w:cs="Arial"/>
              </w:rPr>
              <w:t>Technical Assistance</w:t>
            </w:r>
          </w:p>
        </w:tc>
      </w:tr>
      <w:tr w:rsidR="00ED293E" w:rsidRPr="00A70755" w14:paraId="20C8C867" w14:textId="77777777" w:rsidTr="001C1E53">
        <w:trPr>
          <w:jc w:val="center"/>
        </w:trPr>
        <w:tc>
          <w:tcPr>
            <w:tcW w:w="1207" w:type="dxa"/>
          </w:tcPr>
          <w:p w14:paraId="158899F5" w14:textId="285D0FE4" w:rsidR="00ED293E" w:rsidRPr="00A70755" w:rsidRDefault="00ED293E" w:rsidP="00ED293E">
            <w:pPr>
              <w:rPr>
                <w:rFonts w:cs="Arial"/>
              </w:rPr>
            </w:pPr>
          </w:p>
        </w:tc>
        <w:tc>
          <w:tcPr>
            <w:tcW w:w="1167" w:type="dxa"/>
          </w:tcPr>
          <w:p w14:paraId="3486FD75" w14:textId="13225D2C" w:rsidR="00ED293E" w:rsidRPr="00A70755" w:rsidRDefault="00ED293E" w:rsidP="00ED293E">
            <w:pPr>
              <w:jc w:val="center"/>
              <w:rPr>
                <w:rFonts w:cs="Arial"/>
                <w:b/>
              </w:rPr>
            </w:pPr>
          </w:p>
        </w:tc>
        <w:tc>
          <w:tcPr>
            <w:tcW w:w="5942" w:type="dxa"/>
          </w:tcPr>
          <w:p w14:paraId="39B646D9" w14:textId="3FA76033" w:rsidR="00ED293E" w:rsidRPr="00A70755" w:rsidRDefault="00ED293E" w:rsidP="00ED293E">
            <w:pPr>
              <w:rPr>
                <w:rFonts w:cs="Arial"/>
              </w:rPr>
            </w:pPr>
          </w:p>
        </w:tc>
      </w:tr>
    </w:tbl>
    <w:p w14:paraId="7705E954" w14:textId="77777777" w:rsidR="00634088" w:rsidRPr="00A70755" w:rsidRDefault="00634088" w:rsidP="0032254A">
      <w:pPr>
        <w:rPr>
          <w:rFonts w:cs="Arial"/>
        </w:rPr>
      </w:pPr>
    </w:p>
    <w:p w14:paraId="25B98157" w14:textId="77777777" w:rsidR="004F36E0" w:rsidRPr="00A70755" w:rsidRDefault="004F36E0" w:rsidP="0032254A">
      <w:pPr>
        <w:rPr>
          <w:rFonts w:cs="Arial"/>
        </w:rPr>
      </w:pPr>
    </w:p>
    <w:p w14:paraId="2A541015" w14:textId="77777777" w:rsidR="004F36E0" w:rsidRPr="00A70755" w:rsidRDefault="004F36E0" w:rsidP="001C1E53">
      <w:pPr>
        <w:jc w:val="center"/>
        <w:rPr>
          <w:rFonts w:cs="Arial"/>
          <w:b/>
          <w:sz w:val="24"/>
          <w:szCs w:val="24"/>
        </w:rPr>
      </w:pPr>
      <w:r w:rsidRPr="00A70755">
        <w:rPr>
          <w:rFonts w:cs="Arial"/>
          <w:b/>
          <w:sz w:val="24"/>
          <w:szCs w:val="24"/>
        </w:rPr>
        <w:t>NOTE</w:t>
      </w:r>
    </w:p>
    <w:p w14:paraId="75F9BA56" w14:textId="77777777" w:rsidR="004F36E0" w:rsidRPr="00A70755" w:rsidRDefault="004F36E0" w:rsidP="001C1E53">
      <w:pPr>
        <w:jc w:val="center"/>
        <w:rPr>
          <w:rFonts w:cs="Arial"/>
          <w:b/>
        </w:rPr>
      </w:pPr>
    </w:p>
    <w:p w14:paraId="086E64BD" w14:textId="600571DC" w:rsidR="004F36E0" w:rsidRPr="00A70755" w:rsidRDefault="00A9471F" w:rsidP="00A9471F">
      <w:pPr>
        <w:pStyle w:val="ListParagraph"/>
        <w:ind w:left="1350"/>
        <w:rPr>
          <w:rFonts w:cs="Arial"/>
        </w:rPr>
      </w:pPr>
      <w:r w:rsidRPr="00A70755">
        <w:rPr>
          <w:rFonts w:cs="Arial"/>
        </w:rPr>
        <w:t xml:space="preserve">                            </w:t>
      </w:r>
      <w:r w:rsidR="004F36E0" w:rsidRPr="00A70755">
        <w:rPr>
          <w:rFonts w:cs="Arial"/>
        </w:rPr>
        <w:t>In this report, $ refers to US Dollars</w:t>
      </w:r>
    </w:p>
    <w:p w14:paraId="58A3B9ED" w14:textId="77777777" w:rsidR="004F36E0" w:rsidRPr="00A70755" w:rsidRDefault="004F36E0" w:rsidP="0032254A">
      <w:pPr>
        <w:rPr>
          <w:rFonts w:cs="Arial"/>
        </w:rPr>
      </w:pPr>
    </w:p>
    <w:p w14:paraId="035DE65C" w14:textId="77777777" w:rsidR="00193AC9" w:rsidRPr="001803FA" w:rsidRDefault="00193AC9" w:rsidP="0032254A">
      <w:pPr>
        <w:rPr>
          <w:rFonts w:cs="Arial"/>
        </w:rPr>
      </w:pPr>
    </w:p>
    <w:p w14:paraId="4AFE27B6" w14:textId="154D1D62" w:rsidR="005A1594" w:rsidRDefault="005A1594" w:rsidP="0032254A">
      <w:pPr>
        <w:rPr>
          <w:rFonts w:cs="Arial"/>
        </w:rPr>
        <w:sectPr w:rsidR="005A1594" w:rsidSect="00D84E07">
          <w:headerReference w:type="first" r:id="rId15"/>
          <w:pgSz w:w="12240" w:h="15840"/>
          <w:pgMar w:top="1440" w:right="1440" w:bottom="1440" w:left="1440" w:header="720" w:footer="720" w:gutter="0"/>
          <w:pgNumType w:fmt="lowerRoman" w:start="1"/>
          <w:cols w:space="720"/>
          <w:titlePg/>
          <w:docGrid w:linePitch="360"/>
        </w:sectPr>
      </w:pPr>
    </w:p>
    <w:p w14:paraId="14C62F3E" w14:textId="39C78EDF" w:rsidR="00634088" w:rsidRDefault="00715DD6" w:rsidP="005A1594">
      <w:pPr>
        <w:jc w:val="center"/>
        <w:rPr>
          <w:rFonts w:cs="Arial"/>
          <w:b/>
          <w:sz w:val="24"/>
          <w:szCs w:val="24"/>
        </w:rPr>
      </w:pPr>
      <w:r w:rsidRPr="0059479C">
        <w:rPr>
          <w:rFonts w:cs="Arial"/>
          <w:b/>
          <w:sz w:val="24"/>
          <w:szCs w:val="24"/>
        </w:rPr>
        <w:lastRenderedPageBreak/>
        <w:t>CONTENTS</w:t>
      </w:r>
    </w:p>
    <w:p w14:paraId="6581B776" w14:textId="52EA52D7" w:rsidR="004D3946" w:rsidRPr="009B2706" w:rsidRDefault="004D3946" w:rsidP="004D3946">
      <w:pPr>
        <w:pStyle w:val="TOC1"/>
        <w:tabs>
          <w:tab w:val="clear" w:pos="8647"/>
          <w:tab w:val="right" w:leader="dot" w:pos="9360"/>
        </w:tabs>
        <w:rPr>
          <w:rFonts w:eastAsiaTheme="minorEastAsia"/>
          <w:noProof/>
          <w:sz w:val="24"/>
        </w:rPr>
      </w:pPr>
      <w:r>
        <w:rPr>
          <w:rFonts w:cs="Arial"/>
          <w:b/>
          <w:sz w:val="24"/>
        </w:rPr>
        <w:fldChar w:fldCharType="begin"/>
      </w:r>
      <w:r>
        <w:rPr>
          <w:rFonts w:cs="Arial"/>
          <w:b/>
          <w:sz w:val="24"/>
        </w:rPr>
        <w:instrText xml:space="preserve"> TOC \h \z \t "Topic_1,1,Topic_2,2,Topic_3,3" </w:instrText>
      </w:r>
      <w:r>
        <w:rPr>
          <w:rFonts w:cs="Arial"/>
          <w:b/>
          <w:sz w:val="24"/>
        </w:rPr>
        <w:fldChar w:fldCharType="separate"/>
      </w:r>
      <w:hyperlink w:anchor="_Toc506537576" w:history="1">
        <w:r w:rsidRPr="009B2706">
          <w:rPr>
            <w:rStyle w:val="Hyperlink"/>
            <w:noProof/>
            <w:sz w:val="24"/>
          </w:rPr>
          <w:t>I.</w:t>
        </w:r>
        <w:r w:rsidRPr="009B2706">
          <w:rPr>
            <w:rFonts w:eastAsiaTheme="minorEastAsia"/>
            <w:noProof/>
            <w:sz w:val="24"/>
          </w:rPr>
          <w:tab/>
        </w:r>
        <w:r w:rsidR="009B2706" w:rsidRPr="009B2706">
          <w:rPr>
            <w:rStyle w:val="Hyperlink"/>
            <w:noProof/>
            <w:sz w:val="24"/>
          </w:rPr>
          <w:t>Introduction</w:t>
        </w:r>
        <w:r w:rsidRPr="009B2706">
          <w:rPr>
            <w:noProof/>
            <w:webHidden/>
            <w:sz w:val="24"/>
          </w:rPr>
          <w:tab/>
        </w:r>
      </w:hyperlink>
      <w:r w:rsidR="003E12FB">
        <w:rPr>
          <w:noProof/>
          <w:sz w:val="24"/>
        </w:rPr>
        <w:t>3</w:t>
      </w:r>
    </w:p>
    <w:p w14:paraId="3C680BAB" w14:textId="72C87701" w:rsidR="004D3946" w:rsidRPr="009B2706" w:rsidRDefault="00974F72">
      <w:pPr>
        <w:pStyle w:val="TOC2"/>
        <w:tabs>
          <w:tab w:val="left" w:pos="660"/>
          <w:tab w:val="right" w:leader="dot" w:pos="9350"/>
        </w:tabs>
        <w:rPr>
          <w:rFonts w:ascii="Times New Roman" w:hAnsi="Times New Roman" w:cs="Times New Roman"/>
          <w:noProof/>
          <w:sz w:val="24"/>
          <w:szCs w:val="24"/>
          <w:lang w:eastAsia="en-US"/>
        </w:rPr>
      </w:pPr>
      <w:hyperlink w:anchor="_Toc506537577" w:history="1">
        <w:r w:rsidR="002958D2" w:rsidRPr="009B2706">
          <w:rPr>
            <w:rStyle w:val="Hyperlink"/>
            <w:rFonts w:ascii="Times New Roman" w:hAnsi="Times New Roman"/>
            <w:noProof/>
            <w:sz w:val="24"/>
            <w:szCs w:val="24"/>
          </w:rPr>
          <w:t>1</w:t>
        </w:r>
        <w:r w:rsidR="004D3946" w:rsidRPr="009B2706">
          <w:rPr>
            <w:rStyle w:val="Hyperlink"/>
            <w:rFonts w:ascii="Times New Roman" w:hAnsi="Times New Roman"/>
            <w:noProof/>
            <w:sz w:val="24"/>
            <w:szCs w:val="24"/>
          </w:rPr>
          <w:t>.</w:t>
        </w:r>
        <w:r w:rsidR="004D3946" w:rsidRPr="009B2706">
          <w:rPr>
            <w:rFonts w:ascii="Times New Roman" w:hAnsi="Times New Roman" w:cs="Times New Roman"/>
            <w:noProof/>
            <w:sz w:val="24"/>
            <w:szCs w:val="24"/>
            <w:lang w:eastAsia="en-US"/>
          </w:rPr>
          <w:tab/>
        </w:r>
        <w:r w:rsidR="002958D2" w:rsidRPr="009B2706">
          <w:rPr>
            <w:rStyle w:val="Hyperlink"/>
            <w:rFonts w:ascii="Times New Roman" w:hAnsi="Times New Roman"/>
            <w:noProof/>
            <w:sz w:val="24"/>
            <w:szCs w:val="24"/>
          </w:rPr>
          <w:t>Definition</w:t>
        </w:r>
        <w:r w:rsidR="004D3946" w:rsidRPr="009B2706">
          <w:rPr>
            <w:rFonts w:ascii="Times New Roman" w:hAnsi="Times New Roman" w:cs="Times New Roman"/>
            <w:noProof/>
            <w:webHidden/>
            <w:sz w:val="24"/>
            <w:szCs w:val="24"/>
          </w:rPr>
          <w:tab/>
        </w:r>
        <w:r w:rsidR="003E12FB">
          <w:rPr>
            <w:rFonts w:ascii="Times New Roman" w:hAnsi="Times New Roman" w:cs="Times New Roman"/>
            <w:noProof/>
            <w:webHidden/>
            <w:sz w:val="24"/>
            <w:szCs w:val="24"/>
          </w:rPr>
          <w:t>3</w:t>
        </w:r>
      </w:hyperlink>
    </w:p>
    <w:p w14:paraId="7E9472AA" w14:textId="492193B2" w:rsidR="004D3946" w:rsidRPr="009B2706" w:rsidRDefault="00974F72">
      <w:pPr>
        <w:pStyle w:val="TOC2"/>
        <w:tabs>
          <w:tab w:val="left" w:pos="660"/>
          <w:tab w:val="right" w:leader="dot" w:pos="9350"/>
        </w:tabs>
        <w:rPr>
          <w:rFonts w:ascii="Times New Roman" w:hAnsi="Times New Roman" w:cs="Times New Roman"/>
          <w:noProof/>
          <w:sz w:val="24"/>
          <w:szCs w:val="24"/>
        </w:rPr>
      </w:pPr>
      <w:hyperlink w:anchor="_Toc506537578" w:history="1">
        <w:r w:rsidR="002958D2" w:rsidRPr="009B2706">
          <w:rPr>
            <w:rStyle w:val="Hyperlink"/>
            <w:rFonts w:ascii="Times New Roman" w:hAnsi="Times New Roman"/>
            <w:noProof/>
            <w:sz w:val="24"/>
            <w:szCs w:val="24"/>
          </w:rPr>
          <w:t>2</w:t>
        </w:r>
        <w:r w:rsidR="004D3946" w:rsidRPr="009B2706">
          <w:rPr>
            <w:rStyle w:val="Hyperlink"/>
            <w:rFonts w:ascii="Times New Roman" w:hAnsi="Times New Roman"/>
            <w:noProof/>
            <w:sz w:val="24"/>
            <w:szCs w:val="24"/>
          </w:rPr>
          <w:t>.</w:t>
        </w:r>
        <w:r w:rsidR="004D3946" w:rsidRPr="009B2706">
          <w:rPr>
            <w:rFonts w:ascii="Times New Roman" w:hAnsi="Times New Roman" w:cs="Times New Roman"/>
            <w:noProof/>
            <w:sz w:val="24"/>
            <w:szCs w:val="24"/>
            <w:lang w:eastAsia="en-US"/>
          </w:rPr>
          <w:tab/>
        </w:r>
        <w:r w:rsidR="002958D2" w:rsidRPr="009B2706">
          <w:rPr>
            <w:rStyle w:val="Hyperlink"/>
            <w:rFonts w:ascii="Times New Roman" w:hAnsi="Times New Roman"/>
            <w:noProof/>
            <w:sz w:val="24"/>
            <w:szCs w:val="24"/>
          </w:rPr>
          <w:t>Policy Objectives</w:t>
        </w:r>
        <w:r w:rsidR="004D3946" w:rsidRPr="009B2706">
          <w:rPr>
            <w:rFonts w:ascii="Times New Roman" w:hAnsi="Times New Roman" w:cs="Times New Roman"/>
            <w:noProof/>
            <w:webHidden/>
            <w:sz w:val="24"/>
            <w:szCs w:val="24"/>
          </w:rPr>
          <w:tab/>
        </w:r>
        <w:r w:rsidR="003E12FB">
          <w:rPr>
            <w:rFonts w:ascii="Times New Roman" w:hAnsi="Times New Roman" w:cs="Times New Roman"/>
            <w:noProof/>
            <w:webHidden/>
            <w:sz w:val="24"/>
            <w:szCs w:val="24"/>
          </w:rPr>
          <w:t>3</w:t>
        </w:r>
      </w:hyperlink>
    </w:p>
    <w:p w14:paraId="179461EC" w14:textId="37EA238C" w:rsidR="002958D2" w:rsidRPr="009B2706" w:rsidRDefault="00974F72" w:rsidP="002958D2">
      <w:pPr>
        <w:pStyle w:val="TOC2"/>
        <w:tabs>
          <w:tab w:val="left" w:pos="660"/>
          <w:tab w:val="right" w:leader="dot" w:pos="9350"/>
        </w:tabs>
        <w:rPr>
          <w:rFonts w:ascii="Times New Roman" w:hAnsi="Times New Roman" w:cs="Times New Roman"/>
          <w:noProof/>
          <w:sz w:val="24"/>
          <w:szCs w:val="24"/>
        </w:rPr>
      </w:pPr>
      <w:hyperlink w:anchor="_Toc506537578" w:history="1">
        <w:r w:rsidR="002958D2" w:rsidRPr="009B2706">
          <w:rPr>
            <w:rStyle w:val="Hyperlink"/>
            <w:rFonts w:ascii="Times New Roman" w:hAnsi="Times New Roman"/>
            <w:noProof/>
            <w:sz w:val="24"/>
            <w:szCs w:val="24"/>
          </w:rPr>
          <w:t>3.</w:t>
        </w:r>
        <w:r w:rsidR="002958D2" w:rsidRPr="009B2706">
          <w:rPr>
            <w:rFonts w:ascii="Times New Roman" w:hAnsi="Times New Roman" w:cs="Times New Roman"/>
            <w:noProof/>
            <w:sz w:val="24"/>
            <w:szCs w:val="24"/>
            <w:lang w:eastAsia="en-US"/>
          </w:rPr>
          <w:tab/>
        </w:r>
        <w:r w:rsidR="002958D2" w:rsidRPr="009B2706">
          <w:rPr>
            <w:rStyle w:val="Hyperlink"/>
            <w:rFonts w:ascii="Times New Roman" w:hAnsi="Times New Roman"/>
            <w:noProof/>
            <w:sz w:val="24"/>
            <w:szCs w:val="24"/>
          </w:rPr>
          <w:t>Organization of Bond Switches</w:t>
        </w:r>
        <w:r w:rsidR="002958D2" w:rsidRPr="009B2706">
          <w:rPr>
            <w:rFonts w:ascii="Times New Roman" w:hAnsi="Times New Roman" w:cs="Times New Roman"/>
            <w:noProof/>
            <w:webHidden/>
            <w:sz w:val="24"/>
            <w:szCs w:val="24"/>
          </w:rPr>
          <w:tab/>
        </w:r>
        <w:r w:rsidR="003E12FB">
          <w:rPr>
            <w:rFonts w:ascii="Times New Roman" w:hAnsi="Times New Roman" w:cs="Times New Roman"/>
            <w:noProof/>
            <w:webHidden/>
            <w:sz w:val="24"/>
            <w:szCs w:val="24"/>
          </w:rPr>
          <w:t>4</w:t>
        </w:r>
      </w:hyperlink>
    </w:p>
    <w:p w14:paraId="327D52B5" w14:textId="57AAF0D5" w:rsidR="002958D2" w:rsidRPr="009B2706" w:rsidRDefault="00974F72" w:rsidP="002958D2">
      <w:pPr>
        <w:pStyle w:val="TOC2"/>
        <w:tabs>
          <w:tab w:val="left" w:pos="660"/>
          <w:tab w:val="right" w:leader="dot" w:pos="9350"/>
        </w:tabs>
        <w:rPr>
          <w:rFonts w:ascii="Times New Roman" w:hAnsi="Times New Roman" w:cs="Times New Roman"/>
          <w:noProof/>
          <w:sz w:val="24"/>
          <w:szCs w:val="24"/>
        </w:rPr>
      </w:pPr>
      <w:hyperlink w:anchor="_Toc506537578" w:history="1">
        <w:r w:rsidR="002958D2" w:rsidRPr="009B2706">
          <w:rPr>
            <w:rStyle w:val="Hyperlink"/>
            <w:rFonts w:ascii="Times New Roman" w:hAnsi="Times New Roman"/>
            <w:noProof/>
            <w:sz w:val="24"/>
            <w:szCs w:val="24"/>
          </w:rPr>
          <w:t>4.</w:t>
        </w:r>
        <w:r w:rsidR="002958D2" w:rsidRPr="009B2706">
          <w:rPr>
            <w:rFonts w:ascii="Times New Roman" w:hAnsi="Times New Roman" w:cs="Times New Roman"/>
            <w:noProof/>
            <w:sz w:val="24"/>
            <w:szCs w:val="24"/>
            <w:lang w:eastAsia="en-US"/>
          </w:rPr>
          <w:tab/>
        </w:r>
        <w:r w:rsidR="002958D2" w:rsidRPr="009B2706">
          <w:rPr>
            <w:rStyle w:val="Hyperlink"/>
            <w:rFonts w:ascii="Times New Roman" w:hAnsi="Times New Roman"/>
            <w:noProof/>
            <w:sz w:val="24"/>
            <w:szCs w:val="24"/>
          </w:rPr>
          <w:t>Impact of Bond Switches on Counterparties</w:t>
        </w:r>
        <w:r w:rsidR="002958D2" w:rsidRPr="009B2706">
          <w:rPr>
            <w:rFonts w:ascii="Times New Roman" w:hAnsi="Times New Roman" w:cs="Times New Roman"/>
            <w:noProof/>
            <w:webHidden/>
            <w:sz w:val="24"/>
            <w:szCs w:val="24"/>
          </w:rPr>
          <w:tab/>
        </w:r>
        <w:r w:rsidR="003E12FB">
          <w:rPr>
            <w:rFonts w:ascii="Times New Roman" w:hAnsi="Times New Roman" w:cs="Times New Roman"/>
            <w:noProof/>
            <w:webHidden/>
            <w:sz w:val="24"/>
            <w:szCs w:val="24"/>
          </w:rPr>
          <w:t>5</w:t>
        </w:r>
      </w:hyperlink>
    </w:p>
    <w:p w14:paraId="0CDAB788" w14:textId="3ABD7755" w:rsidR="002958D2" w:rsidRPr="009B2706" w:rsidRDefault="00974F72" w:rsidP="002958D2">
      <w:pPr>
        <w:pStyle w:val="TOC2"/>
        <w:tabs>
          <w:tab w:val="left" w:pos="660"/>
          <w:tab w:val="right" w:leader="dot" w:pos="9350"/>
        </w:tabs>
        <w:rPr>
          <w:rFonts w:ascii="Times New Roman" w:hAnsi="Times New Roman" w:cs="Times New Roman"/>
          <w:noProof/>
          <w:sz w:val="24"/>
          <w:szCs w:val="24"/>
        </w:rPr>
      </w:pPr>
      <w:hyperlink w:anchor="_Toc506537578" w:history="1">
        <w:r w:rsidR="002958D2" w:rsidRPr="009B2706">
          <w:rPr>
            <w:rStyle w:val="Hyperlink"/>
            <w:rFonts w:ascii="Times New Roman" w:hAnsi="Times New Roman"/>
            <w:noProof/>
            <w:sz w:val="24"/>
            <w:szCs w:val="24"/>
          </w:rPr>
          <w:t>5.</w:t>
        </w:r>
        <w:r w:rsidR="002958D2" w:rsidRPr="009B2706">
          <w:rPr>
            <w:rFonts w:ascii="Times New Roman" w:hAnsi="Times New Roman" w:cs="Times New Roman"/>
            <w:noProof/>
            <w:sz w:val="24"/>
            <w:szCs w:val="24"/>
            <w:lang w:eastAsia="en-US"/>
          </w:rPr>
          <w:tab/>
        </w:r>
        <w:r w:rsidR="002958D2" w:rsidRPr="009B2706">
          <w:rPr>
            <w:rStyle w:val="Hyperlink"/>
            <w:rFonts w:ascii="Times New Roman" w:hAnsi="Times New Roman"/>
            <w:noProof/>
            <w:sz w:val="24"/>
            <w:szCs w:val="24"/>
          </w:rPr>
          <w:t>Selection of Bonds for Swit</w:t>
        </w:r>
        <w:r w:rsidR="009B2706" w:rsidRPr="009B2706">
          <w:rPr>
            <w:rStyle w:val="Hyperlink"/>
            <w:rFonts w:ascii="Times New Roman" w:hAnsi="Times New Roman"/>
            <w:noProof/>
            <w:sz w:val="24"/>
            <w:szCs w:val="24"/>
          </w:rPr>
          <w:t>c</w:t>
        </w:r>
        <w:r w:rsidR="002958D2" w:rsidRPr="009B2706">
          <w:rPr>
            <w:rStyle w:val="Hyperlink"/>
            <w:rFonts w:ascii="Times New Roman" w:hAnsi="Times New Roman"/>
            <w:noProof/>
            <w:sz w:val="24"/>
            <w:szCs w:val="24"/>
          </w:rPr>
          <w:t>h Auctions</w:t>
        </w:r>
        <w:r w:rsidR="002958D2" w:rsidRPr="009B2706">
          <w:rPr>
            <w:rFonts w:ascii="Times New Roman" w:hAnsi="Times New Roman" w:cs="Times New Roman"/>
            <w:noProof/>
            <w:webHidden/>
            <w:sz w:val="24"/>
            <w:szCs w:val="24"/>
          </w:rPr>
          <w:tab/>
        </w:r>
        <w:r w:rsidR="003E12FB">
          <w:rPr>
            <w:rFonts w:ascii="Times New Roman" w:hAnsi="Times New Roman" w:cs="Times New Roman"/>
            <w:noProof/>
            <w:webHidden/>
            <w:sz w:val="24"/>
            <w:szCs w:val="24"/>
          </w:rPr>
          <w:t>6</w:t>
        </w:r>
      </w:hyperlink>
    </w:p>
    <w:p w14:paraId="4F1ABAE7" w14:textId="066F8760" w:rsidR="002958D2" w:rsidRPr="009B2706" w:rsidRDefault="00974F72" w:rsidP="002958D2">
      <w:pPr>
        <w:pStyle w:val="TOC2"/>
        <w:tabs>
          <w:tab w:val="left" w:pos="660"/>
          <w:tab w:val="right" w:leader="dot" w:pos="9350"/>
        </w:tabs>
        <w:rPr>
          <w:rFonts w:ascii="Times New Roman" w:hAnsi="Times New Roman" w:cs="Times New Roman"/>
          <w:noProof/>
          <w:sz w:val="24"/>
          <w:szCs w:val="24"/>
        </w:rPr>
      </w:pPr>
      <w:hyperlink w:anchor="_Toc506537578" w:history="1">
        <w:r w:rsidR="002958D2" w:rsidRPr="009B2706">
          <w:rPr>
            <w:rStyle w:val="Hyperlink"/>
            <w:rFonts w:ascii="Times New Roman" w:hAnsi="Times New Roman"/>
            <w:noProof/>
            <w:sz w:val="24"/>
            <w:szCs w:val="24"/>
          </w:rPr>
          <w:t>6.</w:t>
        </w:r>
        <w:r w:rsidR="002958D2" w:rsidRPr="009B2706">
          <w:rPr>
            <w:rFonts w:ascii="Times New Roman" w:hAnsi="Times New Roman" w:cs="Times New Roman"/>
            <w:noProof/>
            <w:sz w:val="24"/>
            <w:szCs w:val="24"/>
            <w:lang w:eastAsia="en-US"/>
          </w:rPr>
          <w:tab/>
        </w:r>
        <w:r w:rsidR="002958D2" w:rsidRPr="009B2706">
          <w:rPr>
            <w:rStyle w:val="Hyperlink"/>
            <w:rFonts w:ascii="Times New Roman" w:hAnsi="Times New Roman"/>
            <w:noProof/>
            <w:sz w:val="24"/>
            <w:szCs w:val="24"/>
          </w:rPr>
          <w:t>Choice beween Swicth Auctions and Buybacks</w:t>
        </w:r>
        <w:r w:rsidR="002958D2" w:rsidRPr="009B2706">
          <w:rPr>
            <w:rFonts w:ascii="Times New Roman" w:hAnsi="Times New Roman" w:cs="Times New Roman"/>
            <w:noProof/>
            <w:webHidden/>
            <w:sz w:val="24"/>
            <w:szCs w:val="24"/>
          </w:rPr>
          <w:tab/>
        </w:r>
        <w:r w:rsidR="003E12FB">
          <w:rPr>
            <w:rFonts w:ascii="Times New Roman" w:hAnsi="Times New Roman" w:cs="Times New Roman"/>
            <w:noProof/>
            <w:webHidden/>
            <w:sz w:val="24"/>
            <w:szCs w:val="24"/>
          </w:rPr>
          <w:t>6</w:t>
        </w:r>
      </w:hyperlink>
    </w:p>
    <w:p w14:paraId="4F80FE38" w14:textId="174321EE" w:rsidR="002958D2" w:rsidRPr="009B2706" w:rsidRDefault="00974F72" w:rsidP="002958D2">
      <w:pPr>
        <w:pStyle w:val="TOC2"/>
        <w:tabs>
          <w:tab w:val="left" w:pos="660"/>
          <w:tab w:val="right" w:leader="dot" w:pos="9350"/>
        </w:tabs>
        <w:rPr>
          <w:rFonts w:ascii="Times New Roman" w:hAnsi="Times New Roman" w:cs="Times New Roman"/>
          <w:noProof/>
          <w:sz w:val="24"/>
          <w:szCs w:val="24"/>
        </w:rPr>
      </w:pPr>
      <w:hyperlink w:anchor="_Toc506537578" w:history="1">
        <w:r w:rsidR="002958D2" w:rsidRPr="009B2706">
          <w:rPr>
            <w:rStyle w:val="Hyperlink"/>
            <w:rFonts w:ascii="Times New Roman" w:hAnsi="Times New Roman"/>
            <w:noProof/>
            <w:sz w:val="24"/>
            <w:szCs w:val="24"/>
          </w:rPr>
          <w:t>7.</w:t>
        </w:r>
        <w:r w:rsidR="002958D2"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Market Infrastructure</w:t>
        </w:r>
        <w:r w:rsidR="002958D2" w:rsidRPr="009B2706">
          <w:rPr>
            <w:rFonts w:ascii="Times New Roman" w:hAnsi="Times New Roman" w:cs="Times New Roman"/>
            <w:noProof/>
            <w:webHidden/>
            <w:sz w:val="24"/>
            <w:szCs w:val="24"/>
          </w:rPr>
          <w:tab/>
        </w:r>
        <w:r w:rsidR="003E12FB">
          <w:rPr>
            <w:rFonts w:ascii="Times New Roman" w:hAnsi="Times New Roman" w:cs="Times New Roman"/>
            <w:noProof/>
            <w:webHidden/>
            <w:sz w:val="24"/>
            <w:szCs w:val="24"/>
          </w:rPr>
          <w:t>7</w:t>
        </w:r>
      </w:hyperlink>
    </w:p>
    <w:p w14:paraId="3424655C" w14:textId="324C1CDD" w:rsidR="004D3946" w:rsidRPr="009B2706" w:rsidRDefault="00974F72" w:rsidP="004D3946">
      <w:pPr>
        <w:pStyle w:val="TOC1"/>
        <w:tabs>
          <w:tab w:val="clear" w:pos="8647"/>
          <w:tab w:val="right" w:leader="dot" w:pos="9360"/>
        </w:tabs>
        <w:rPr>
          <w:rFonts w:eastAsiaTheme="minorEastAsia"/>
          <w:noProof/>
          <w:sz w:val="24"/>
        </w:rPr>
      </w:pPr>
      <w:hyperlink w:anchor="_Toc506537580" w:history="1">
        <w:r w:rsidR="004D3946" w:rsidRPr="009B2706">
          <w:rPr>
            <w:rStyle w:val="Hyperlink"/>
            <w:noProof/>
            <w:sz w:val="24"/>
          </w:rPr>
          <w:t>II.</w:t>
        </w:r>
        <w:r w:rsidR="004D3946" w:rsidRPr="009B2706">
          <w:rPr>
            <w:rFonts w:eastAsiaTheme="minorEastAsia"/>
            <w:noProof/>
            <w:sz w:val="24"/>
          </w:rPr>
          <w:tab/>
        </w:r>
        <w:r w:rsidR="0017604C" w:rsidRPr="009B2706">
          <w:rPr>
            <w:rStyle w:val="Hyperlink"/>
            <w:noProof/>
            <w:sz w:val="24"/>
          </w:rPr>
          <w:t>Design of Switch Auctions for Public Debt Management in Advanced and Emerging Market Economies</w:t>
        </w:r>
        <w:r w:rsidR="004D3946" w:rsidRPr="009B2706">
          <w:rPr>
            <w:noProof/>
            <w:webHidden/>
            <w:sz w:val="24"/>
          </w:rPr>
          <w:tab/>
        </w:r>
        <w:r w:rsidR="003B1E64">
          <w:rPr>
            <w:noProof/>
            <w:webHidden/>
            <w:sz w:val="24"/>
          </w:rPr>
          <w:t>8</w:t>
        </w:r>
      </w:hyperlink>
    </w:p>
    <w:p w14:paraId="7351371C" w14:textId="5C9BB87B" w:rsidR="004D3946" w:rsidRPr="009B2706" w:rsidRDefault="00974F72" w:rsidP="004D3946">
      <w:pPr>
        <w:pStyle w:val="TOC2"/>
        <w:tabs>
          <w:tab w:val="left" w:pos="660"/>
          <w:tab w:val="right" w:leader="dot" w:pos="9360"/>
        </w:tabs>
        <w:rPr>
          <w:rFonts w:ascii="Times New Roman" w:hAnsi="Times New Roman" w:cs="Times New Roman"/>
          <w:noProof/>
          <w:sz w:val="24"/>
          <w:szCs w:val="24"/>
          <w:lang w:eastAsia="en-US"/>
        </w:rPr>
      </w:pPr>
      <w:hyperlink w:anchor="_Toc506537581" w:history="1">
        <w:r w:rsidR="0017604C" w:rsidRPr="009B2706">
          <w:rPr>
            <w:rStyle w:val="Hyperlink"/>
            <w:rFonts w:ascii="Times New Roman" w:hAnsi="Times New Roman"/>
            <w:noProof/>
            <w:sz w:val="24"/>
            <w:szCs w:val="24"/>
          </w:rPr>
          <w:t>8</w:t>
        </w:r>
        <w:r w:rsidR="004D3946" w:rsidRPr="009B2706">
          <w:rPr>
            <w:rStyle w:val="Hyperlink"/>
            <w:rFonts w:ascii="Times New Roman" w:hAnsi="Times New Roman"/>
            <w:noProof/>
            <w:sz w:val="24"/>
            <w:szCs w:val="24"/>
          </w:rPr>
          <w:t>.</w:t>
        </w:r>
        <w:r w:rsidR="004D3946"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Format of Swicth Auctions</w:t>
        </w:r>
        <w:r w:rsidR="004D3946" w:rsidRPr="009B2706">
          <w:rPr>
            <w:rFonts w:ascii="Times New Roman" w:hAnsi="Times New Roman" w:cs="Times New Roman"/>
            <w:noProof/>
            <w:webHidden/>
            <w:sz w:val="24"/>
            <w:szCs w:val="24"/>
          </w:rPr>
          <w:tab/>
        </w:r>
        <w:r w:rsidR="003B1E64">
          <w:rPr>
            <w:rFonts w:ascii="Times New Roman" w:hAnsi="Times New Roman" w:cs="Times New Roman"/>
            <w:noProof/>
            <w:webHidden/>
            <w:sz w:val="24"/>
            <w:szCs w:val="24"/>
          </w:rPr>
          <w:t>8</w:t>
        </w:r>
      </w:hyperlink>
    </w:p>
    <w:p w14:paraId="4C6035BF" w14:textId="126002CA" w:rsidR="004D3946" w:rsidRPr="009B2706" w:rsidRDefault="00974F72" w:rsidP="004D3946">
      <w:pPr>
        <w:pStyle w:val="TOC2"/>
        <w:tabs>
          <w:tab w:val="left" w:pos="660"/>
          <w:tab w:val="right" w:leader="dot" w:pos="9360"/>
        </w:tabs>
        <w:rPr>
          <w:rFonts w:ascii="Times New Roman" w:hAnsi="Times New Roman" w:cs="Times New Roman"/>
          <w:noProof/>
          <w:sz w:val="24"/>
          <w:szCs w:val="24"/>
        </w:rPr>
      </w:pPr>
      <w:hyperlink w:anchor="_Toc506537585" w:history="1">
        <w:r w:rsidR="0017604C" w:rsidRPr="009B2706">
          <w:rPr>
            <w:rStyle w:val="Hyperlink"/>
            <w:rFonts w:ascii="Times New Roman" w:hAnsi="Times New Roman"/>
            <w:noProof/>
            <w:sz w:val="24"/>
            <w:szCs w:val="24"/>
          </w:rPr>
          <w:t>9</w:t>
        </w:r>
        <w:r w:rsidR="004D3946" w:rsidRPr="009B2706">
          <w:rPr>
            <w:rStyle w:val="Hyperlink"/>
            <w:rFonts w:ascii="Times New Roman" w:hAnsi="Times New Roman"/>
            <w:noProof/>
            <w:sz w:val="24"/>
            <w:szCs w:val="24"/>
          </w:rPr>
          <w:t>.</w:t>
        </w:r>
        <w:r w:rsidR="004D3946"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Setting of Price</w:t>
        </w:r>
        <w:r w:rsidR="004D3946" w:rsidRPr="009B2706">
          <w:rPr>
            <w:rFonts w:ascii="Times New Roman" w:hAnsi="Times New Roman" w:cs="Times New Roman"/>
            <w:noProof/>
            <w:webHidden/>
            <w:sz w:val="24"/>
            <w:szCs w:val="24"/>
          </w:rPr>
          <w:tab/>
        </w:r>
        <w:r w:rsidR="003B1E64">
          <w:rPr>
            <w:rFonts w:ascii="Times New Roman" w:hAnsi="Times New Roman" w:cs="Times New Roman"/>
            <w:noProof/>
            <w:webHidden/>
            <w:sz w:val="24"/>
            <w:szCs w:val="24"/>
          </w:rPr>
          <w:t>9</w:t>
        </w:r>
      </w:hyperlink>
    </w:p>
    <w:p w14:paraId="7EF9DA32" w14:textId="2A07B5FB" w:rsidR="0017604C" w:rsidRPr="009B2706" w:rsidRDefault="00974F72" w:rsidP="0017604C">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17604C" w:rsidRPr="009B2706">
          <w:rPr>
            <w:rStyle w:val="Hyperlink"/>
            <w:rFonts w:ascii="Times New Roman" w:hAnsi="Times New Roman"/>
            <w:noProof/>
            <w:sz w:val="24"/>
            <w:szCs w:val="24"/>
          </w:rPr>
          <w:t>10.</w:t>
        </w:r>
        <w:r w:rsidR="0017604C"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Bid Amount</w:t>
        </w:r>
        <w:r w:rsidR="0017604C" w:rsidRPr="009B2706">
          <w:rPr>
            <w:rFonts w:ascii="Times New Roman" w:hAnsi="Times New Roman" w:cs="Times New Roman"/>
            <w:noProof/>
            <w:webHidden/>
            <w:sz w:val="24"/>
            <w:szCs w:val="24"/>
          </w:rPr>
          <w:tab/>
        </w:r>
        <w:r w:rsidR="003B1E64">
          <w:rPr>
            <w:rFonts w:ascii="Times New Roman" w:hAnsi="Times New Roman" w:cs="Times New Roman"/>
            <w:noProof/>
            <w:webHidden/>
            <w:sz w:val="24"/>
            <w:szCs w:val="24"/>
          </w:rPr>
          <w:t>9</w:t>
        </w:r>
      </w:hyperlink>
    </w:p>
    <w:p w14:paraId="5234B1DD" w14:textId="32375855" w:rsidR="0017604C" w:rsidRPr="009B2706" w:rsidRDefault="00974F72" w:rsidP="0017604C">
      <w:pPr>
        <w:pStyle w:val="TOC2"/>
        <w:tabs>
          <w:tab w:val="left" w:pos="660"/>
          <w:tab w:val="right" w:leader="dot" w:pos="9360"/>
        </w:tabs>
        <w:rPr>
          <w:rFonts w:ascii="Times New Roman" w:hAnsi="Times New Roman" w:cs="Times New Roman"/>
          <w:noProof/>
          <w:sz w:val="24"/>
          <w:szCs w:val="24"/>
        </w:rPr>
      </w:pPr>
      <w:hyperlink w:anchor="_Toc506537585" w:history="1">
        <w:r w:rsidR="0017604C" w:rsidRPr="009B2706">
          <w:rPr>
            <w:rStyle w:val="Hyperlink"/>
            <w:rFonts w:ascii="Times New Roman" w:hAnsi="Times New Roman"/>
            <w:noProof/>
            <w:sz w:val="24"/>
            <w:szCs w:val="24"/>
          </w:rPr>
          <w:t>11.</w:t>
        </w:r>
        <w:r w:rsidR="0017604C"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Basis of Neutrality and Conversion Ratio</w:t>
        </w:r>
        <w:r w:rsidR="0017604C" w:rsidRPr="009B2706">
          <w:rPr>
            <w:rFonts w:ascii="Times New Roman" w:hAnsi="Times New Roman" w:cs="Times New Roman"/>
            <w:noProof/>
            <w:webHidden/>
            <w:sz w:val="24"/>
            <w:szCs w:val="24"/>
          </w:rPr>
          <w:tab/>
        </w:r>
        <w:r w:rsidR="0017604C" w:rsidRPr="009B2706">
          <w:rPr>
            <w:rFonts w:ascii="Times New Roman" w:hAnsi="Times New Roman" w:cs="Times New Roman"/>
            <w:noProof/>
            <w:webHidden/>
            <w:sz w:val="24"/>
            <w:szCs w:val="24"/>
          </w:rPr>
          <w:fldChar w:fldCharType="begin"/>
        </w:r>
        <w:r w:rsidR="0017604C" w:rsidRPr="009B2706">
          <w:rPr>
            <w:rFonts w:ascii="Times New Roman" w:hAnsi="Times New Roman" w:cs="Times New Roman"/>
            <w:noProof/>
            <w:webHidden/>
            <w:sz w:val="24"/>
            <w:szCs w:val="24"/>
          </w:rPr>
          <w:instrText xml:space="preserve"> PAGEREF _Toc506537585 \h </w:instrText>
        </w:r>
        <w:r w:rsidR="0017604C" w:rsidRPr="009B2706">
          <w:rPr>
            <w:rFonts w:ascii="Times New Roman" w:hAnsi="Times New Roman" w:cs="Times New Roman"/>
            <w:noProof/>
            <w:webHidden/>
            <w:sz w:val="24"/>
            <w:szCs w:val="24"/>
          </w:rPr>
        </w:r>
        <w:r w:rsidR="0017604C" w:rsidRPr="009B2706">
          <w:rPr>
            <w:rFonts w:ascii="Times New Roman" w:hAnsi="Times New Roman" w:cs="Times New Roman"/>
            <w:noProof/>
            <w:webHidden/>
            <w:sz w:val="24"/>
            <w:szCs w:val="24"/>
          </w:rPr>
          <w:fldChar w:fldCharType="separate"/>
        </w:r>
        <w:r w:rsidR="0017604C" w:rsidRPr="009B2706">
          <w:rPr>
            <w:rFonts w:ascii="Times New Roman" w:hAnsi="Times New Roman" w:cs="Times New Roman"/>
            <w:noProof/>
            <w:webHidden/>
            <w:sz w:val="24"/>
            <w:szCs w:val="24"/>
          </w:rPr>
          <w:t>1</w:t>
        </w:r>
        <w:r w:rsidR="003B1E64">
          <w:rPr>
            <w:rFonts w:ascii="Times New Roman" w:hAnsi="Times New Roman" w:cs="Times New Roman"/>
            <w:noProof/>
            <w:webHidden/>
            <w:sz w:val="24"/>
            <w:szCs w:val="24"/>
          </w:rPr>
          <w:t>0</w:t>
        </w:r>
        <w:r w:rsidR="0017604C" w:rsidRPr="009B2706">
          <w:rPr>
            <w:rFonts w:ascii="Times New Roman" w:hAnsi="Times New Roman" w:cs="Times New Roman"/>
            <w:noProof/>
            <w:webHidden/>
            <w:sz w:val="24"/>
            <w:szCs w:val="24"/>
          </w:rPr>
          <w:fldChar w:fldCharType="end"/>
        </w:r>
      </w:hyperlink>
    </w:p>
    <w:p w14:paraId="58BB565E" w14:textId="2EE7F441" w:rsidR="0017604C" w:rsidRPr="009B2706" w:rsidRDefault="00974F72" w:rsidP="0017604C">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17604C" w:rsidRPr="009B2706">
          <w:rPr>
            <w:rStyle w:val="Hyperlink"/>
            <w:rFonts w:ascii="Times New Roman" w:hAnsi="Times New Roman"/>
            <w:noProof/>
            <w:sz w:val="24"/>
            <w:szCs w:val="24"/>
          </w:rPr>
          <w:t>12.</w:t>
        </w:r>
        <w:r w:rsidR="0017604C"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Auction Format</w:t>
        </w:r>
        <w:r w:rsidR="0017604C" w:rsidRPr="009B2706">
          <w:rPr>
            <w:rFonts w:ascii="Times New Roman" w:hAnsi="Times New Roman" w:cs="Times New Roman"/>
            <w:noProof/>
            <w:webHidden/>
            <w:sz w:val="24"/>
            <w:szCs w:val="24"/>
          </w:rPr>
          <w:tab/>
        </w:r>
        <w:r w:rsidR="0017604C" w:rsidRPr="009B2706">
          <w:rPr>
            <w:rFonts w:ascii="Times New Roman" w:hAnsi="Times New Roman" w:cs="Times New Roman"/>
            <w:noProof/>
            <w:webHidden/>
            <w:sz w:val="24"/>
            <w:szCs w:val="24"/>
          </w:rPr>
          <w:fldChar w:fldCharType="begin"/>
        </w:r>
        <w:r w:rsidR="0017604C" w:rsidRPr="009B2706">
          <w:rPr>
            <w:rFonts w:ascii="Times New Roman" w:hAnsi="Times New Roman" w:cs="Times New Roman"/>
            <w:noProof/>
            <w:webHidden/>
            <w:sz w:val="24"/>
            <w:szCs w:val="24"/>
          </w:rPr>
          <w:instrText xml:space="preserve"> PAGEREF _Toc506537585 \h </w:instrText>
        </w:r>
        <w:r w:rsidR="0017604C" w:rsidRPr="009B2706">
          <w:rPr>
            <w:rFonts w:ascii="Times New Roman" w:hAnsi="Times New Roman" w:cs="Times New Roman"/>
            <w:noProof/>
            <w:webHidden/>
            <w:sz w:val="24"/>
            <w:szCs w:val="24"/>
          </w:rPr>
        </w:r>
        <w:r w:rsidR="0017604C" w:rsidRPr="009B2706">
          <w:rPr>
            <w:rFonts w:ascii="Times New Roman" w:hAnsi="Times New Roman" w:cs="Times New Roman"/>
            <w:noProof/>
            <w:webHidden/>
            <w:sz w:val="24"/>
            <w:szCs w:val="24"/>
          </w:rPr>
          <w:fldChar w:fldCharType="separate"/>
        </w:r>
        <w:r w:rsidR="0017604C" w:rsidRPr="009B2706">
          <w:rPr>
            <w:rFonts w:ascii="Times New Roman" w:hAnsi="Times New Roman" w:cs="Times New Roman"/>
            <w:noProof/>
            <w:webHidden/>
            <w:sz w:val="24"/>
            <w:szCs w:val="24"/>
          </w:rPr>
          <w:t>1</w:t>
        </w:r>
        <w:r w:rsidR="003B1E64">
          <w:rPr>
            <w:rFonts w:ascii="Times New Roman" w:hAnsi="Times New Roman" w:cs="Times New Roman"/>
            <w:noProof/>
            <w:webHidden/>
            <w:sz w:val="24"/>
            <w:szCs w:val="24"/>
          </w:rPr>
          <w:t>1</w:t>
        </w:r>
        <w:r w:rsidR="0017604C" w:rsidRPr="009B2706">
          <w:rPr>
            <w:rFonts w:ascii="Times New Roman" w:hAnsi="Times New Roman" w:cs="Times New Roman"/>
            <w:noProof/>
            <w:webHidden/>
            <w:sz w:val="24"/>
            <w:szCs w:val="24"/>
          </w:rPr>
          <w:fldChar w:fldCharType="end"/>
        </w:r>
      </w:hyperlink>
    </w:p>
    <w:p w14:paraId="25ED321C" w14:textId="68596CD7" w:rsidR="0017604C" w:rsidRPr="009B2706" w:rsidRDefault="00974F72" w:rsidP="0017604C">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17604C" w:rsidRPr="009B2706">
          <w:rPr>
            <w:rStyle w:val="Hyperlink"/>
            <w:rFonts w:ascii="Times New Roman" w:hAnsi="Times New Roman"/>
            <w:noProof/>
            <w:sz w:val="24"/>
            <w:szCs w:val="24"/>
          </w:rPr>
          <w:t>13.</w:t>
        </w:r>
        <w:r w:rsidR="0017604C"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Eligible Participants</w:t>
        </w:r>
        <w:r w:rsidR="0017604C" w:rsidRPr="009B2706">
          <w:rPr>
            <w:rFonts w:ascii="Times New Roman" w:hAnsi="Times New Roman" w:cs="Times New Roman"/>
            <w:noProof/>
            <w:webHidden/>
            <w:sz w:val="24"/>
            <w:szCs w:val="24"/>
          </w:rPr>
          <w:tab/>
        </w:r>
        <w:r w:rsidR="0017604C" w:rsidRPr="009B2706">
          <w:rPr>
            <w:rFonts w:ascii="Times New Roman" w:hAnsi="Times New Roman" w:cs="Times New Roman"/>
            <w:noProof/>
            <w:webHidden/>
            <w:sz w:val="24"/>
            <w:szCs w:val="24"/>
          </w:rPr>
          <w:fldChar w:fldCharType="begin"/>
        </w:r>
        <w:r w:rsidR="0017604C" w:rsidRPr="009B2706">
          <w:rPr>
            <w:rFonts w:ascii="Times New Roman" w:hAnsi="Times New Roman" w:cs="Times New Roman"/>
            <w:noProof/>
            <w:webHidden/>
            <w:sz w:val="24"/>
            <w:szCs w:val="24"/>
          </w:rPr>
          <w:instrText xml:space="preserve"> PAGEREF _Toc506537585 \h </w:instrText>
        </w:r>
        <w:r w:rsidR="0017604C" w:rsidRPr="009B2706">
          <w:rPr>
            <w:rFonts w:ascii="Times New Roman" w:hAnsi="Times New Roman" w:cs="Times New Roman"/>
            <w:noProof/>
            <w:webHidden/>
            <w:sz w:val="24"/>
            <w:szCs w:val="24"/>
          </w:rPr>
        </w:r>
        <w:r w:rsidR="0017604C" w:rsidRPr="009B2706">
          <w:rPr>
            <w:rFonts w:ascii="Times New Roman" w:hAnsi="Times New Roman" w:cs="Times New Roman"/>
            <w:noProof/>
            <w:webHidden/>
            <w:sz w:val="24"/>
            <w:szCs w:val="24"/>
          </w:rPr>
          <w:fldChar w:fldCharType="separate"/>
        </w:r>
        <w:r w:rsidR="0017604C" w:rsidRPr="009B2706">
          <w:rPr>
            <w:rFonts w:ascii="Times New Roman" w:hAnsi="Times New Roman" w:cs="Times New Roman"/>
            <w:noProof/>
            <w:webHidden/>
            <w:sz w:val="24"/>
            <w:szCs w:val="24"/>
          </w:rPr>
          <w:t>1</w:t>
        </w:r>
        <w:r w:rsidR="003B1E64">
          <w:rPr>
            <w:rFonts w:ascii="Times New Roman" w:hAnsi="Times New Roman" w:cs="Times New Roman"/>
            <w:noProof/>
            <w:webHidden/>
            <w:sz w:val="24"/>
            <w:szCs w:val="24"/>
          </w:rPr>
          <w:t>1</w:t>
        </w:r>
        <w:r w:rsidR="0017604C" w:rsidRPr="009B2706">
          <w:rPr>
            <w:rFonts w:ascii="Times New Roman" w:hAnsi="Times New Roman" w:cs="Times New Roman"/>
            <w:noProof/>
            <w:webHidden/>
            <w:sz w:val="24"/>
            <w:szCs w:val="24"/>
          </w:rPr>
          <w:fldChar w:fldCharType="end"/>
        </w:r>
      </w:hyperlink>
    </w:p>
    <w:p w14:paraId="17A82D79" w14:textId="373532F8" w:rsidR="0017604C" w:rsidRPr="009B2706" w:rsidRDefault="00974F72" w:rsidP="0017604C">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17604C" w:rsidRPr="009B2706">
          <w:rPr>
            <w:rStyle w:val="Hyperlink"/>
            <w:rFonts w:ascii="Times New Roman" w:hAnsi="Times New Roman"/>
            <w:noProof/>
            <w:sz w:val="24"/>
            <w:szCs w:val="24"/>
          </w:rPr>
          <w:t>14.</w:t>
        </w:r>
        <w:r w:rsidR="0017604C" w:rsidRPr="009B2706">
          <w:rPr>
            <w:rFonts w:ascii="Times New Roman" w:hAnsi="Times New Roman" w:cs="Times New Roman"/>
            <w:noProof/>
            <w:sz w:val="24"/>
            <w:szCs w:val="24"/>
            <w:lang w:eastAsia="en-US"/>
          </w:rPr>
          <w:tab/>
        </w:r>
        <w:r w:rsidR="0017604C" w:rsidRPr="009B2706">
          <w:rPr>
            <w:rStyle w:val="Hyperlink"/>
            <w:rFonts w:ascii="Times New Roman" w:hAnsi="Times New Roman"/>
            <w:noProof/>
            <w:sz w:val="24"/>
            <w:szCs w:val="24"/>
          </w:rPr>
          <w:t>Timing of Annoucement</w:t>
        </w:r>
        <w:r w:rsidR="0017604C" w:rsidRPr="009B2706">
          <w:rPr>
            <w:rFonts w:ascii="Times New Roman" w:hAnsi="Times New Roman" w:cs="Times New Roman"/>
            <w:noProof/>
            <w:webHidden/>
            <w:sz w:val="24"/>
            <w:szCs w:val="24"/>
          </w:rPr>
          <w:tab/>
        </w:r>
        <w:r w:rsidR="0017604C" w:rsidRPr="009B2706">
          <w:rPr>
            <w:rFonts w:ascii="Times New Roman" w:hAnsi="Times New Roman" w:cs="Times New Roman"/>
            <w:noProof/>
            <w:webHidden/>
            <w:sz w:val="24"/>
            <w:szCs w:val="24"/>
          </w:rPr>
          <w:fldChar w:fldCharType="begin"/>
        </w:r>
        <w:r w:rsidR="0017604C" w:rsidRPr="009B2706">
          <w:rPr>
            <w:rFonts w:ascii="Times New Roman" w:hAnsi="Times New Roman" w:cs="Times New Roman"/>
            <w:noProof/>
            <w:webHidden/>
            <w:sz w:val="24"/>
            <w:szCs w:val="24"/>
          </w:rPr>
          <w:instrText xml:space="preserve"> PAGEREF _Toc506537585 \h </w:instrText>
        </w:r>
        <w:r w:rsidR="0017604C" w:rsidRPr="009B2706">
          <w:rPr>
            <w:rFonts w:ascii="Times New Roman" w:hAnsi="Times New Roman" w:cs="Times New Roman"/>
            <w:noProof/>
            <w:webHidden/>
            <w:sz w:val="24"/>
            <w:szCs w:val="24"/>
          </w:rPr>
        </w:r>
        <w:r w:rsidR="0017604C" w:rsidRPr="009B2706">
          <w:rPr>
            <w:rFonts w:ascii="Times New Roman" w:hAnsi="Times New Roman" w:cs="Times New Roman"/>
            <w:noProof/>
            <w:webHidden/>
            <w:sz w:val="24"/>
            <w:szCs w:val="24"/>
          </w:rPr>
          <w:fldChar w:fldCharType="separate"/>
        </w:r>
        <w:r w:rsidR="0017604C" w:rsidRPr="009B2706">
          <w:rPr>
            <w:rFonts w:ascii="Times New Roman" w:hAnsi="Times New Roman" w:cs="Times New Roman"/>
            <w:noProof/>
            <w:webHidden/>
            <w:sz w:val="24"/>
            <w:szCs w:val="24"/>
          </w:rPr>
          <w:t>1</w:t>
        </w:r>
        <w:r w:rsidR="003B1E64">
          <w:rPr>
            <w:rFonts w:ascii="Times New Roman" w:hAnsi="Times New Roman" w:cs="Times New Roman"/>
            <w:noProof/>
            <w:webHidden/>
            <w:sz w:val="24"/>
            <w:szCs w:val="24"/>
          </w:rPr>
          <w:t>1</w:t>
        </w:r>
        <w:r w:rsidR="0017604C" w:rsidRPr="009B2706">
          <w:rPr>
            <w:rFonts w:ascii="Times New Roman" w:hAnsi="Times New Roman" w:cs="Times New Roman"/>
            <w:noProof/>
            <w:webHidden/>
            <w:sz w:val="24"/>
            <w:szCs w:val="24"/>
          </w:rPr>
          <w:fldChar w:fldCharType="end"/>
        </w:r>
      </w:hyperlink>
    </w:p>
    <w:p w14:paraId="6803114B" w14:textId="77777777" w:rsidR="0017604C" w:rsidRPr="009B2706" w:rsidRDefault="0017604C" w:rsidP="0017604C">
      <w:pPr>
        <w:rPr>
          <w:rFonts w:ascii="Times New Roman" w:hAnsi="Times New Roman" w:cs="Times New Roman"/>
          <w:sz w:val="24"/>
          <w:szCs w:val="24"/>
        </w:rPr>
      </w:pPr>
    </w:p>
    <w:p w14:paraId="3376C3AD" w14:textId="526B3ECD" w:rsidR="00467A44" w:rsidRPr="009B2706" w:rsidRDefault="00467A44" w:rsidP="00BE1E4D">
      <w:pPr>
        <w:rPr>
          <w:rFonts w:ascii="Times New Roman" w:hAnsi="Times New Roman" w:cs="Times New Roman"/>
          <w:sz w:val="24"/>
          <w:szCs w:val="24"/>
        </w:rPr>
      </w:pPr>
      <w:r w:rsidRPr="009B2706">
        <w:rPr>
          <w:rFonts w:ascii="Times New Roman" w:hAnsi="Times New Roman" w:cs="Times New Roman"/>
          <w:sz w:val="24"/>
          <w:szCs w:val="24"/>
        </w:rPr>
        <w:t>I</w:t>
      </w:r>
      <w:r w:rsidR="0017604C" w:rsidRPr="009B2706">
        <w:rPr>
          <w:rFonts w:ascii="Times New Roman" w:hAnsi="Times New Roman" w:cs="Times New Roman"/>
          <w:sz w:val="24"/>
          <w:szCs w:val="24"/>
        </w:rPr>
        <w:t>II</w:t>
      </w:r>
      <w:r w:rsidRPr="009B2706">
        <w:rPr>
          <w:rFonts w:ascii="Times New Roman" w:hAnsi="Times New Roman" w:cs="Times New Roman"/>
          <w:sz w:val="24"/>
          <w:szCs w:val="24"/>
        </w:rPr>
        <w:t>.</w:t>
      </w:r>
      <w:r w:rsidRPr="009B2706">
        <w:rPr>
          <w:rFonts w:ascii="Times New Roman" w:hAnsi="Times New Roman" w:cs="Times New Roman"/>
          <w:sz w:val="24"/>
          <w:szCs w:val="24"/>
        </w:rPr>
        <w:tab/>
      </w:r>
      <w:r w:rsidR="0017604C" w:rsidRPr="009B2706">
        <w:rPr>
          <w:rFonts w:ascii="Times New Roman" w:hAnsi="Times New Roman" w:cs="Times New Roman"/>
          <w:sz w:val="24"/>
          <w:szCs w:val="24"/>
        </w:rPr>
        <w:t>Proposed Framework of Switch Operations in</w:t>
      </w:r>
      <w:r w:rsidR="009B2706">
        <w:rPr>
          <w:rFonts w:ascii="Times New Roman" w:hAnsi="Times New Roman" w:cs="Times New Roman"/>
          <w:sz w:val="24"/>
          <w:szCs w:val="24"/>
        </w:rPr>
        <w:t xml:space="preserve"> </w:t>
      </w:r>
      <w:r w:rsidR="0017604C" w:rsidRPr="009B2706">
        <w:rPr>
          <w:rFonts w:ascii="Times New Roman" w:hAnsi="Times New Roman" w:cs="Times New Roman"/>
          <w:sz w:val="24"/>
          <w:szCs w:val="24"/>
        </w:rPr>
        <w:t>Armenia</w:t>
      </w:r>
      <w:r w:rsidR="009B2706" w:rsidRPr="009B2706">
        <w:rPr>
          <w:rFonts w:ascii="Times New Roman" w:hAnsi="Times New Roman" w:cs="Times New Roman"/>
          <w:sz w:val="24"/>
          <w:szCs w:val="24"/>
        </w:rPr>
        <w:t>...</w:t>
      </w:r>
      <w:r w:rsidR="009B2706">
        <w:rPr>
          <w:rFonts w:ascii="Times New Roman" w:hAnsi="Times New Roman" w:cs="Times New Roman"/>
          <w:sz w:val="24"/>
          <w:szCs w:val="24"/>
        </w:rPr>
        <w:t>...</w:t>
      </w:r>
      <w:r w:rsidRPr="009B2706">
        <w:rPr>
          <w:rFonts w:ascii="Times New Roman" w:hAnsi="Times New Roman" w:cs="Times New Roman"/>
          <w:sz w:val="24"/>
          <w:szCs w:val="24"/>
        </w:rPr>
        <w:t>…………………………….</w:t>
      </w:r>
      <w:r w:rsidR="003B1E64">
        <w:rPr>
          <w:rFonts w:ascii="Times New Roman" w:hAnsi="Times New Roman" w:cs="Times New Roman"/>
          <w:sz w:val="24"/>
          <w:szCs w:val="24"/>
        </w:rPr>
        <w:t>1</w:t>
      </w:r>
      <w:r w:rsidR="00191D6D" w:rsidRPr="009B2706">
        <w:rPr>
          <w:rFonts w:ascii="Times New Roman" w:hAnsi="Times New Roman" w:cs="Times New Roman"/>
          <w:sz w:val="24"/>
          <w:szCs w:val="24"/>
        </w:rPr>
        <w:t>2</w:t>
      </w:r>
    </w:p>
    <w:p w14:paraId="6A2DBBBA" w14:textId="7755245F" w:rsidR="009B2706" w:rsidRPr="009B2706" w:rsidRDefault="00974F72" w:rsidP="009B2706">
      <w:pPr>
        <w:pStyle w:val="TOC2"/>
        <w:tabs>
          <w:tab w:val="left" w:pos="660"/>
          <w:tab w:val="right" w:leader="dot" w:pos="9350"/>
        </w:tabs>
        <w:rPr>
          <w:rFonts w:ascii="Times New Roman" w:hAnsi="Times New Roman" w:cs="Times New Roman"/>
          <w:noProof/>
          <w:sz w:val="24"/>
          <w:szCs w:val="24"/>
        </w:rPr>
      </w:pPr>
      <w:hyperlink w:anchor="_Toc506537578" w:history="1">
        <w:r w:rsidR="009B2706" w:rsidRPr="009B2706">
          <w:rPr>
            <w:rStyle w:val="Hyperlink"/>
            <w:rFonts w:ascii="Times New Roman" w:hAnsi="Times New Roman"/>
            <w:noProof/>
            <w:sz w:val="24"/>
            <w:szCs w:val="24"/>
          </w:rPr>
          <w:t>15.</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Policy Objectives</w:t>
        </w:r>
        <w:r w:rsidR="009B2706" w:rsidRPr="009B2706">
          <w:rPr>
            <w:rFonts w:ascii="Times New Roman" w:hAnsi="Times New Roman" w:cs="Times New Roman"/>
            <w:noProof/>
            <w:webHidden/>
            <w:sz w:val="24"/>
            <w:szCs w:val="24"/>
          </w:rPr>
          <w:tab/>
        </w:r>
        <w:r w:rsidR="003B1E64">
          <w:rPr>
            <w:rFonts w:ascii="Times New Roman" w:hAnsi="Times New Roman" w:cs="Times New Roman"/>
            <w:noProof/>
            <w:webHidden/>
            <w:sz w:val="24"/>
            <w:szCs w:val="24"/>
          </w:rPr>
          <w:t>1</w:t>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_Toc506537578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2</w:t>
        </w:r>
        <w:r w:rsidR="009B2706" w:rsidRPr="009B2706">
          <w:rPr>
            <w:rFonts w:ascii="Times New Roman" w:hAnsi="Times New Roman" w:cs="Times New Roman"/>
            <w:noProof/>
            <w:webHidden/>
            <w:sz w:val="24"/>
            <w:szCs w:val="24"/>
          </w:rPr>
          <w:fldChar w:fldCharType="end"/>
        </w:r>
      </w:hyperlink>
    </w:p>
    <w:p w14:paraId="1AB47456" w14:textId="02C685AF" w:rsidR="009B2706" w:rsidRPr="009B2706" w:rsidRDefault="00974F72" w:rsidP="009B2706">
      <w:pPr>
        <w:pStyle w:val="TOC2"/>
        <w:tabs>
          <w:tab w:val="left" w:pos="660"/>
          <w:tab w:val="right" w:leader="dot" w:pos="9360"/>
        </w:tabs>
        <w:rPr>
          <w:rFonts w:ascii="Times New Roman" w:hAnsi="Times New Roman" w:cs="Times New Roman"/>
          <w:noProof/>
          <w:sz w:val="24"/>
          <w:szCs w:val="24"/>
          <w:lang w:eastAsia="en-US"/>
        </w:rPr>
      </w:pPr>
      <w:hyperlink w:anchor="_Toc506537581" w:history="1">
        <w:r w:rsidR="009B2706" w:rsidRPr="009B2706">
          <w:rPr>
            <w:rStyle w:val="Hyperlink"/>
            <w:rFonts w:ascii="Times New Roman" w:hAnsi="Times New Roman"/>
            <w:noProof/>
            <w:sz w:val="24"/>
            <w:szCs w:val="24"/>
          </w:rPr>
          <w:t>16.</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Bond Selection</w:t>
        </w:r>
        <w:r w:rsidR="009B2706" w:rsidRPr="009B2706">
          <w:rPr>
            <w:rFonts w:ascii="Times New Roman" w:hAnsi="Times New Roman" w:cs="Times New Roman"/>
            <w:noProof/>
            <w:webHidden/>
            <w:sz w:val="24"/>
            <w:szCs w:val="24"/>
          </w:rPr>
          <w:tab/>
        </w:r>
        <w:r w:rsidR="003B1E64">
          <w:rPr>
            <w:rFonts w:ascii="Times New Roman" w:hAnsi="Times New Roman" w:cs="Times New Roman"/>
            <w:noProof/>
            <w:webHidden/>
            <w:sz w:val="24"/>
            <w:szCs w:val="24"/>
          </w:rPr>
          <w:t>12</w:t>
        </w:r>
      </w:hyperlink>
    </w:p>
    <w:p w14:paraId="17DFD399" w14:textId="02FC2287" w:rsidR="009B2706" w:rsidRPr="009B2706" w:rsidRDefault="00974F72" w:rsidP="009B2706">
      <w:pPr>
        <w:pStyle w:val="TOC2"/>
        <w:tabs>
          <w:tab w:val="left" w:pos="660"/>
          <w:tab w:val="right" w:leader="dot" w:pos="9360"/>
        </w:tabs>
        <w:rPr>
          <w:rFonts w:ascii="Times New Roman" w:hAnsi="Times New Roman" w:cs="Times New Roman"/>
          <w:noProof/>
          <w:sz w:val="24"/>
          <w:szCs w:val="24"/>
          <w:lang w:eastAsia="en-US"/>
        </w:rPr>
      </w:pPr>
      <w:hyperlink w:anchor="_Toc506537581" w:history="1">
        <w:r w:rsidR="009B2706" w:rsidRPr="009B2706">
          <w:rPr>
            <w:rStyle w:val="Hyperlink"/>
            <w:rFonts w:ascii="Times New Roman" w:hAnsi="Times New Roman"/>
            <w:noProof/>
            <w:sz w:val="24"/>
            <w:szCs w:val="24"/>
          </w:rPr>
          <w:t>17.</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Format of Swicth Auctions</w:t>
        </w:r>
        <w:r w:rsidR="009B2706" w:rsidRPr="009B2706">
          <w:rPr>
            <w:rFonts w:ascii="Times New Roman" w:hAnsi="Times New Roman" w:cs="Times New Roman"/>
            <w:noProof/>
            <w:webHidden/>
            <w:sz w:val="24"/>
            <w:szCs w:val="24"/>
          </w:rPr>
          <w:tab/>
        </w:r>
        <w:r w:rsidR="003C3069">
          <w:rPr>
            <w:rFonts w:ascii="Times New Roman" w:hAnsi="Times New Roman" w:cs="Times New Roman"/>
            <w:noProof/>
            <w:webHidden/>
            <w:sz w:val="24"/>
            <w:szCs w:val="24"/>
          </w:rPr>
          <w:t>13</w:t>
        </w:r>
      </w:hyperlink>
    </w:p>
    <w:p w14:paraId="5877D7CA" w14:textId="35E8F791" w:rsidR="009B2706" w:rsidRPr="009B2706" w:rsidRDefault="00974F72" w:rsidP="009B2706">
      <w:pPr>
        <w:pStyle w:val="TOC2"/>
        <w:tabs>
          <w:tab w:val="left" w:pos="660"/>
          <w:tab w:val="right" w:leader="dot" w:pos="9360"/>
        </w:tabs>
        <w:rPr>
          <w:rFonts w:ascii="Times New Roman" w:hAnsi="Times New Roman" w:cs="Times New Roman"/>
          <w:noProof/>
          <w:sz w:val="24"/>
          <w:szCs w:val="24"/>
        </w:rPr>
      </w:pPr>
      <w:hyperlink w:anchor="_Toc506537585" w:history="1">
        <w:r w:rsidR="009B2706" w:rsidRPr="009B2706">
          <w:rPr>
            <w:rStyle w:val="Hyperlink"/>
            <w:rFonts w:ascii="Times New Roman" w:hAnsi="Times New Roman"/>
            <w:noProof/>
            <w:sz w:val="24"/>
            <w:szCs w:val="24"/>
          </w:rPr>
          <w:t>18.</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Setting of Price</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3</w:t>
        </w:r>
        <w:r w:rsidR="009B2706" w:rsidRPr="009B2706">
          <w:rPr>
            <w:rFonts w:ascii="Times New Roman" w:hAnsi="Times New Roman" w:cs="Times New Roman"/>
            <w:noProof/>
            <w:webHidden/>
            <w:sz w:val="24"/>
            <w:szCs w:val="24"/>
          </w:rPr>
          <w:fldChar w:fldCharType="end"/>
        </w:r>
      </w:hyperlink>
    </w:p>
    <w:p w14:paraId="089E57BF" w14:textId="339CD03F" w:rsidR="009B2706" w:rsidRPr="009B2706" w:rsidRDefault="00974F72" w:rsidP="009B2706">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9B2706" w:rsidRPr="009B2706">
          <w:rPr>
            <w:rStyle w:val="Hyperlink"/>
            <w:rFonts w:ascii="Times New Roman" w:hAnsi="Times New Roman"/>
            <w:noProof/>
            <w:sz w:val="24"/>
            <w:szCs w:val="24"/>
          </w:rPr>
          <w:t>19.</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Bid Amount</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4</w:t>
        </w:r>
        <w:r w:rsidR="009B2706" w:rsidRPr="009B2706">
          <w:rPr>
            <w:rFonts w:ascii="Times New Roman" w:hAnsi="Times New Roman" w:cs="Times New Roman"/>
            <w:noProof/>
            <w:webHidden/>
            <w:sz w:val="24"/>
            <w:szCs w:val="24"/>
          </w:rPr>
          <w:fldChar w:fldCharType="end"/>
        </w:r>
      </w:hyperlink>
    </w:p>
    <w:p w14:paraId="3D98FB6D" w14:textId="3CE72380" w:rsidR="009B2706" w:rsidRPr="009B2706" w:rsidRDefault="00974F72" w:rsidP="009B2706">
      <w:pPr>
        <w:pStyle w:val="TOC2"/>
        <w:tabs>
          <w:tab w:val="left" w:pos="660"/>
          <w:tab w:val="right" w:leader="dot" w:pos="9360"/>
        </w:tabs>
        <w:rPr>
          <w:rFonts w:ascii="Times New Roman" w:hAnsi="Times New Roman" w:cs="Times New Roman"/>
          <w:noProof/>
          <w:sz w:val="24"/>
          <w:szCs w:val="24"/>
        </w:rPr>
      </w:pPr>
      <w:hyperlink w:anchor="_Toc506537585" w:history="1">
        <w:r w:rsidR="009B2706" w:rsidRPr="009B2706">
          <w:rPr>
            <w:rStyle w:val="Hyperlink"/>
            <w:rFonts w:ascii="Times New Roman" w:hAnsi="Times New Roman"/>
            <w:noProof/>
            <w:sz w:val="24"/>
            <w:szCs w:val="24"/>
          </w:rPr>
          <w:t>20.</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Basis of Neutrality and Conversion Ratio</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4</w:t>
        </w:r>
        <w:r w:rsidR="009B2706" w:rsidRPr="009B2706">
          <w:rPr>
            <w:rFonts w:ascii="Times New Roman" w:hAnsi="Times New Roman" w:cs="Times New Roman"/>
            <w:noProof/>
            <w:webHidden/>
            <w:sz w:val="24"/>
            <w:szCs w:val="24"/>
          </w:rPr>
          <w:fldChar w:fldCharType="end"/>
        </w:r>
      </w:hyperlink>
    </w:p>
    <w:p w14:paraId="30F2518D" w14:textId="4B6930D4" w:rsidR="009B2706" w:rsidRPr="009B2706" w:rsidRDefault="00974F72" w:rsidP="009B2706">
      <w:pPr>
        <w:pStyle w:val="TOC2"/>
        <w:tabs>
          <w:tab w:val="left" w:pos="660"/>
          <w:tab w:val="right" w:leader="dot" w:pos="9360"/>
        </w:tabs>
        <w:rPr>
          <w:rFonts w:ascii="Times New Roman" w:hAnsi="Times New Roman" w:cs="Times New Roman"/>
          <w:noProof/>
          <w:sz w:val="24"/>
          <w:szCs w:val="24"/>
        </w:rPr>
      </w:pPr>
      <w:hyperlink w:anchor="_Toc506537585" w:history="1">
        <w:r w:rsidR="009B2706" w:rsidRPr="009B2706">
          <w:rPr>
            <w:rStyle w:val="Hyperlink"/>
            <w:rFonts w:ascii="Times New Roman" w:hAnsi="Times New Roman"/>
            <w:noProof/>
            <w:sz w:val="24"/>
            <w:szCs w:val="24"/>
          </w:rPr>
          <w:t>21.</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Auction Format</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4</w:t>
        </w:r>
        <w:r w:rsidR="009B2706" w:rsidRPr="009B2706">
          <w:rPr>
            <w:rFonts w:ascii="Times New Roman" w:hAnsi="Times New Roman" w:cs="Times New Roman"/>
            <w:noProof/>
            <w:webHidden/>
            <w:sz w:val="24"/>
            <w:szCs w:val="24"/>
          </w:rPr>
          <w:fldChar w:fldCharType="end"/>
        </w:r>
      </w:hyperlink>
    </w:p>
    <w:p w14:paraId="13F88DC8" w14:textId="46CF8563" w:rsidR="009B2706" w:rsidRPr="009B2706" w:rsidRDefault="00974F72" w:rsidP="009B2706">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9B2706" w:rsidRPr="009B2706">
          <w:rPr>
            <w:rStyle w:val="Hyperlink"/>
            <w:rFonts w:ascii="Times New Roman" w:hAnsi="Times New Roman"/>
            <w:noProof/>
            <w:sz w:val="24"/>
            <w:szCs w:val="24"/>
          </w:rPr>
          <w:t>22.</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Submission of Bids</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4</w:t>
        </w:r>
        <w:r w:rsidR="009B2706" w:rsidRPr="009B2706">
          <w:rPr>
            <w:rFonts w:ascii="Times New Roman" w:hAnsi="Times New Roman" w:cs="Times New Roman"/>
            <w:noProof/>
            <w:webHidden/>
            <w:sz w:val="24"/>
            <w:szCs w:val="24"/>
          </w:rPr>
          <w:fldChar w:fldCharType="end"/>
        </w:r>
      </w:hyperlink>
    </w:p>
    <w:p w14:paraId="5B2F569A" w14:textId="19D32AD2" w:rsidR="009B2706" w:rsidRPr="009B2706" w:rsidRDefault="00974F72" w:rsidP="009B2706">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9B2706" w:rsidRPr="009B2706">
          <w:rPr>
            <w:rStyle w:val="Hyperlink"/>
            <w:rFonts w:ascii="Times New Roman" w:hAnsi="Times New Roman"/>
            <w:noProof/>
            <w:sz w:val="24"/>
            <w:szCs w:val="24"/>
          </w:rPr>
          <w:t>23.</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Eligible Participants</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4</w:t>
        </w:r>
        <w:r w:rsidR="009B2706" w:rsidRPr="009B2706">
          <w:rPr>
            <w:rFonts w:ascii="Times New Roman" w:hAnsi="Times New Roman" w:cs="Times New Roman"/>
            <w:noProof/>
            <w:webHidden/>
            <w:sz w:val="24"/>
            <w:szCs w:val="24"/>
          </w:rPr>
          <w:fldChar w:fldCharType="end"/>
        </w:r>
      </w:hyperlink>
    </w:p>
    <w:p w14:paraId="421A3D9E" w14:textId="0CE6F88C" w:rsidR="009B2706" w:rsidRPr="009B2706" w:rsidRDefault="00974F72" w:rsidP="009B2706">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9B2706" w:rsidRPr="009B2706">
          <w:rPr>
            <w:rStyle w:val="Hyperlink"/>
            <w:rFonts w:ascii="Times New Roman" w:hAnsi="Times New Roman"/>
            <w:noProof/>
            <w:sz w:val="24"/>
            <w:szCs w:val="24"/>
          </w:rPr>
          <w:t>24.</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Timing of Annoucement</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4</w:t>
        </w:r>
        <w:r w:rsidR="009B2706" w:rsidRPr="009B2706">
          <w:rPr>
            <w:rFonts w:ascii="Times New Roman" w:hAnsi="Times New Roman" w:cs="Times New Roman"/>
            <w:noProof/>
            <w:webHidden/>
            <w:sz w:val="24"/>
            <w:szCs w:val="24"/>
          </w:rPr>
          <w:fldChar w:fldCharType="end"/>
        </w:r>
      </w:hyperlink>
    </w:p>
    <w:p w14:paraId="4C7A3652" w14:textId="28047B9A" w:rsidR="009B2706" w:rsidRPr="009B2706" w:rsidRDefault="00974F72" w:rsidP="009B2706">
      <w:pPr>
        <w:pStyle w:val="TOC2"/>
        <w:tabs>
          <w:tab w:val="left" w:pos="660"/>
          <w:tab w:val="right" w:leader="dot" w:pos="9360"/>
        </w:tabs>
        <w:rPr>
          <w:rFonts w:ascii="Times New Roman" w:hAnsi="Times New Roman" w:cs="Times New Roman"/>
          <w:noProof/>
          <w:sz w:val="24"/>
          <w:szCs w:val="24"/>
          <w:lang w:eastAsia="en-US"/>
        </w:rPr>
      </w:pPr>
      <w:hyperlink w:anchor="_Toc506537585" w:history="1">
        <w:r w:rsidR="009B2706" w:rsidRPr="009B2706">
          <w:rPr>
            <w:rStyle w:val="Hyperlink"/>
            <w:rFonts w:ascii="Times New Roman" w:hAnsi="Times New Roman"/>
            <w:noProof/>
            <w:sz w:val="24"/>
            <w:szCs w:val="24"/>
          </w:rPr>
          <w:t>25.</w:t>
        </w:r>
        <w:r w:rsidR="009B2706" w:rsidRPr="009B2706">
          <w:rPr>
            <w:rFonts w:ascii="Times New Roman" w:hAnsi="Times New Roman" w:cs="Times New Roman"/>
            <w:noProof/>
            <w:sz w:val="24"/>
            <w:szCs w:val="24"/>
            <w:lang w:eastAsia="en-US"/>
          </w:rPr>
          <w:tab/>
        </w:r>
        <w:r w:rsidR="009B2706" w:rsidRPr="009B2706">
          <w:rPr>
            <w:rStyle w:val="Hyperlink"/>
            <w:rFonts w:ascii="Times New Roman" w:hAnsi="Times New Roman"/>
            <w:noProof/>
            <w:sz w:val="24"/>
            <w:szCs w:val="24"/>
          </w:rPr>
          <w:t>Annoucement of Results</w:t>
        </w:r>
        <w:r w:rsidR="009B2706" w:rsidRPr="009B2706">
          <w:rPr>
            <w:rFonts w:ascii="Times New Roman" w:hAnsi="Times New Roman" w:cs="Times New Roman"/>
            <w:noProof/>
            <w:webHidden/>
            <w:sz w:val="24"/>
            <w:szCs w:val="24"/>
          </w:rPr>
          <w:tab/>
        </w:r>
        <w:r w:rsidR="009B2706" w:rsidRPr="009B2706">
          <w:rPr>
            <w:rFonts w:ascii="Times New Roman" w:hAnsi="Times New Roman" w:cs="Times New Roman"/>
            <w:noProof/>
            <w:webHidden/>
            <w:sz w:val="24"/>
            <w:szCs w:val="24"/>
          </w:rPr>
          <w:fldChar w:fldCharType="begin"/>
        </w:r>
        <w:r w:rsidR="009B2706" w:rsidRPr="009B2706">
          <w:rPr>
            <w:rFonts w:ascii="Times New Roman" w:hAnsi="Times New Roman" w:cs="Times New Roman"/>
            <w:noProof/>
            <w:webHidden/>
            <w:sz w:val="24"/>
            <w:szCs w:val="24"/>
          </w:rPr>
          <w:instrText xml:space="preserve"> PAGEREF _Toc506537585 \h </w:instrText>
        </w:r>
        <w:r w:rsidR="009B2706" w:rsidRPr="009B2706">
          <w:rPr>
            <w:rFonts w:ascii="Times New Roman" w:hAnsi="Times New Roman" w:cs="Times New Roman"/>
            <w:noProof/>
            <w:webHidden/>
            <w:sz w:val="24"/>
            <w:szCs w:val="24"/>
          </w:rPr>
        </w:r>
        <w:r w:rsidR="009B2706" w:rsidRPr="009B2706">
          <w:rPr>
            <w:rFonts w:ascii="Times New Roman" w:hAnsi="Times New Roman" w:cs="Times New Roman"/>
            <w:noProof/>
            <w:webHidden/>
            <w:sz w:val="24"/>
            <w:szCs w:val="24"/>
          </w:rPr>
          <w:fldChar w:fldCharType="separate"/>
        </w:r>
        <w:r w:rsidR="009B2706" w:rsidRPr="009B2706">
          <w:rPr>
            <w:rFonts w:ascii="Times New Roman" w:hAnsi="Times New Roman" w:cs="Times New Roman"/>
            <w:noProof/>
            <w:webHidden/>
            <w:sz w:val="24"/>
            <w:szCs w:val="24"/>
          </w:rPr>
          <w:t>1</w:t>
        </w:r>
        <w:r w:rsidR="003C3069">
          <w:rPr>
            <w:rFonts w:ascii="Times New Roman" w:hAnsi="Times New Roman" w:cs="Times New Roman"/>
            <w:noProof/>
            <w:webHidden/>
            <w:sz w:val="24"/>
            <w:szCs w:val="24"/>
          </w:rPr>
          <w:t>5</w:t>
        </w:r>
        <w:r w:rsidR="009B2706" w:rsidRPr="009B2706">
          <w:rPr>
            <w:rFonts w:ascii="Times New Roman" w:hAnsi="Times New Roman" w:cs="Times New Roman"/>
            <w:noProof/>
            <w:webHidden/>
            <w:sz w:val="24"/>
            <w:szCs w:val="24"/>
          </w:rPr>
          <w:fldChar w:fldCharType="end"/>
        </w:r>
      </w:hyperlink>
    </w:p>
    <w:p w14:paraId="0BE80832" w14:textId="77777777" w:rsidR="003C3069" w:rsidRDefault="003C3069" w:rsidP="003C3069">
      <w:pPr>
        <w:rPr>
          <w:rFonts w:ascii="Times New Roman" w:hAnsi="Times New Roman" w:cs="Times New Roman"/>
          <w:sz w:val="24"/>
          <w:szCs w:val="24"/>
        </w:rPr>
      </w:pPr>
    </w:p>
    <w:p w14:paraId="5400858B" w14:textId="623A4174" w:rsidR="003C3069" w:rsidRPr="009B2706" w:rsidRDefault="003C3069" w:rsidP="003C3069">
      <w:pPr>
        <w:rPr>
          <w:rFonts w:ascii="Times New Roman" w:hAnsi="Times New Roman" w:cs="Times New Roman"/>
          <w:sz w:val="24"/>
          <w:szCs w:val="24"/>
        </w:rPr>
      </w:pPr>
      <w:r w:rsidRPr="009B2706">
        <w:rPr>
          <w:rFonts w:ascii="Times New Roman" w:hAnsi="Times New Roman" w:cs="Times New Roman"/>
          <w:sz w:val="24"/>
          <w:szCs w:val="24"/>
        </w:rPr>
        <w:t>I</w:t>
      </w:r>
      <w:r>
        <w:rPr>
          <w:rFonts w:ascii="Times New Roman" w:hAnsi="Times New Roman" w:cs="Times New Roman"/>
          <w:sz w:val="24"/>
          <w:szCs w:val="24"/>
        </w:rPr>
        <w:t>V</w:t>
      </w:r>
      <w:r w:rsidRPr="009B2706">
        <w:rPr>
          <w:rFonts w:ascii="Times New Roman" w:hAnsi="Times New Roman" w:cs="Times New Roman"/>
          <w:sz w:val="24"/>
          <w:szCs w:val="24"/>
        </w:rPr>
        <w:t>.</w:t>
      </w:r>
      <w:r w:rsidRPr="009B2706">
        <w:rPr>
          <w:rFonts w:ascii="Times New Roman" w:hAnsi="Times New Roman" w:cs="Times New Roman"/>
          <w:sz w:val="24"/>
          <w:szCs w:val="24"/>
        </w:rPr>
        <w:tab/>
      </w:r>
      <w:r>
        <w:rPr>
          <w:rFonts w:ascii="Times New Roman" w:hAnsi="Times New Roman" w:cs="Times New Roman"/>
          <w:sz w:val="24"/>
          <w:szCs w:val="24"/>
        </w:rPr>
        <w:t>Analytical</w:t>
      </w:r>
      <w:r w:rsidRPr="009B2706">
        <w:rPr>
          <w:rFonts w:ascii="Times New Roman" w:hAnsi="Times New Roman" w:cs="Times New Roman"/>
          <w:sz w:val="24"/>
          <w:szCs w:val="24"/>
        </w:rPr>
        <w:t xml:space="preserve"> Framework of Switch Operations in</w:t>
      </w:r>
      <w:r>
        <w:rPr>
          <w:rFonts w:ascii="Times New Roman" w:hAnsi="Times New Roman" w:cs="Times New Roman"/>
          <w:sz w:val="24"/>
          <w:szCs w:val="24"/>
        </w:rPr>
        <w:t xml:space="preserve"> </w:t>
      </w:r>
      <w:r w:rsidRPr="009B2706">
        <w:rPr>
          <w:rFonts w:ascii="Times New Roman" w:hAnsi="Times New Roman" w:cs="Times New Roman"/>
          <w:sz w:val="24"/>
          <w:szCs w:val="24"/>
        </w:rPr>
        <w:t>Armenia.</w:t>
      </w:r>
      <w:r>
        <w:rPr>
          <w:rFonts w:ascii="Times New Roman" w:hAnsi="Times New Roman" w:cs="Times New Roman"/>
          <w:sz w:val="24"/>
          <w:szCs w:val="24"/>
        </w:rPr>
        <w:t>...</w:t>
      </w:r>
      <w:r w:rsidRPr="009B2706">
        <w:rPr>
          <w:rFonts w:ascii="Times New Roman" w:hAnsi="Times New Roman" w:cs="Times New Roman"/>
          <w:sz w:val="24"/>
          <w:szCs w:val="24"/>
        </w:rPr>
        <w:t>…………………………….</w:t>
      </w:r>
      <w:r>
        <w:rPr>
          <w:rFonts w:ascii="Times New Roman" w:hAnsi="Times New Roman" w:cs="Times New Roman"/>
          <w:sz w:val="24"/>
          <w:szCs w:val="24"/>
        </w:rPr>
        <w:t>16</w:t>
      </w:r>
    </w:p>
    <w:p w14:paraId="15F16EA0" w14:textId="77777777" w:rsidR="009B2706" w:rsidRPr="00BE1E4D" w:rsidRDefault="009B2706" w:rsidP="00BE1E4D"/>
    <w:p w14:paraId="3B8F015E" w14:textId="7686049F" w:rsidR="001E1B0A" w:rsidRDefault="004D3946" w:rsidP="00D25EC9">
      <w:pPr>
        <w:spacing w:line="360" w:lineRule="auto"/>
        <w:jc w:val="center"/>
        <w:rPr>
          <w:rFonts w:cs="Arial"/>
          <w:b/>
          <w:sz w:val="24"/>
          <w:szCs w:val="24"/>
        </w:rPr>
      </w:pPr>
      <w:r>
        <w:rPr>
          <w:rFonts w:cs="Arial"/>
          <w:b/>
          <w:sz w:val="24"/>
          <w:szCs w:val="24"/>
        </w:rPr>
        <w:fldChar w:fldCharType="end"/>
      </w:r>
    </w:p>
    <w:p w14:paraId="0E6C30BD" w14:textId="77777777" w:rsidR="001E1B0A" w:rsidRDefault="001E1B0A">
      <w:pPr>
        <w:rPr>
          <w:rFonts w:cs="Arial"/>
          <w:b/>
          <w:sz w:val="24"/>
          <w:szCs w:val="24"/>
        </w:rPr>
      </w:pPr>
      <w:r>
        <w:rPr>
          <w:rFonts w:cs="Arial"/>
          <w:b/>
          <w:sz w:val="24"/>
          <w:szCs w:val="24"/>
        </w:rPr>
        <w:br w:type="page"/>
      </w:r>
    </w:p>
    <w:p w14:paraId="4EA04BBA" w14:textId="77777777" w:rsidR="00D25EC9" w:rsidRDefault="00D25EC9" w:rsidP="00D25EC9">
      <w:pPr>
        <w:spacing w:line="360" w:lineRule="auto"/>
        <w:jc w:val="center"/>
        <w:rPr>
          <w:rFonts w:cs="Arial"/>
          <w:b/>
          <w:sz w:val="24"/>
          <w:szCs w:val="24"/>
        </w:rPr>
      </w:pPr>
    </w:p>
    <w:p w14:paraId="7562279D" w14:textId="78343981" w:rsidR="00B96B78" w:rsidRPr="00D25EC9" w:rsidRDefault="00D25EC9" w:rsidP="00D25EC9">
      <w:pPr>
        <w:spacing w:line="360" w:lineRule="auto"/>
        <w:jc w:val="center"/>
        <w:rPr>
          <w:rFonts w:cs="Arial"/>
          <w:b/>
          <w:sz w:val="24"/>
          <w:szCs w:val="24"/>
        </w:rPr>
      </w:pPr>
      <w:r w:rsidRPr="00722174">
        <w:rPr>
          <w:rFonts w:cs="Arial"/>
          <w:b/>
          <w:sz w:val="24"/>
          <w:szCs w:val="24"/>
        </w:rPr>
        <w:t>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7311"/>
        <w:gridCol w:w="628"/>
      </w:tblGrid>
      <w:tr w:rsidR="00210753" w14:paraId="2DC70C8F" w14:textId="77777777" w:rsidTr="001E1B0A">
        <w:trPr>
          <w:trHeight w:hRule="exact" w:val="418"/>
        </w:trPr>
        <w:tc>
          <w:tcPr>
            <w:tcW w:w="1421" w:type="dxa"/>
          </w:tcPr>
          <w:p w14:paraId="5CB54FD3" w14:textId="38E88F7F" w:rsidR="00D25EC9" w:rsidRDefault="00D25EC9" w:rsidP="00193B92">
            <w:pPr>
              <w:spacing w:line="360" w:lineRule="auto"/>
              <w:rPr>
                <w:rFonts w:cs="Arial"/>
              </w:rPr>
            </w:pPr>
            <w:r>
              <w:rPr>
                <w:rFonts w:cs="Arial"/>
              </w:rPr>
              <w:t>Figure 1:</w:t>
            </w:r>
          </w:p>
        </w:tc>
        <w:tc>
          <w:tcPr>
            <w:tcW w:w="7311" w:type="dxa"/>
          </w:tcPr>
          <w:p w14:paraId="32C433E2" w14:textId="24272F24" w:rsidR="00E54A70" w:rsidRPr="00E54A70" w:rsidRDefault="00871837" w:rsidP="00193B92">
            <w:pPr>
              <w:spacing w:line="360" w:lineRule="auto"/>
              <w:rPr>
                <w:rFonts w:cs="Arial"/>
                <w:bCs/>
              </w:rPr>
            </w:pPr>
            <w:r>
              <w:rPr>
                <w:rFonts w:cstheme="minorHAnsi"/>
              </w:rPr>
              <w:t>Illustration of Switch Auctions in South Africa during 2016/17</w:t>
            </w:r>
          </w:p>
        </w:tc>
        <w:tc>
          <w:tcPr>
            <w:tcW w:w="628" w:type="dxa"/>
          </w:tcPr>
          <w:p w14:paraId="2C0743F6" w14:textId="373926D9" w:rsidR="00D25EC9" w:rsidRDefault="006137FF" w:rsidP="00D25EC9">
            <w:pPr>
              <w:spacing w:line="360" w:lineRule="auto"/>
              <w:jc w:val="right"/>
              <w:rPr>
                <w:rFonts w:cs="Arial"/>
              </w:rPr>
            </w:pPr>
            <w:r>
              <w:rPr>
                <w:rFonts w:cs="Arial"/>
              </w:rPr>
              <w:t>4</w:t>
            </w:r>
          </w:p>
        </w:tc>
      </w:tr>
      <w:tr w:rsidR="00210753" w14:paraId="5DDBB8D9" w14:textId="77777777" w:rsidTr="001E1B0A">
        <w:trPr>
          <w:trHeight w:hRule="exact" w:val="418"/>
        </w:trPr>
        <w:tc>
          <w:tcPr>
            <w:tcW w:w="1421" w:type="dxa"/>
          </w:tcPr>
          <w:p w14:paraId="48399BC5" w14:textId="2F329E4E" w:rsidR="00D25EC9" w:rsidRPr="00D25EC9" w:rsidRDefault="00D25EC9" w:rsidP="00D25EC9">
            <w:pPr>
              <w:pStyle w:val="Caption"/>
              <w:spacing w:line="360" w:lineRule="auto"/>
              <w:rPr>
                <w:rFonts w:ascii="Arial" w:eastAsiaTheme="minorEastAsia" w:hAnsi="Arial" w:cs="Arial"/>
                <w:b w:val="0"/>
                <w:bCs w:val="0"/>
                <w:u w:val="none"/>
                <w:lang w:eastAsia="ja-JP"/>
              </w:rPr>
            </w:pPr>
            <w:r w:rsidRPr="00280710">
              <w:rPr>
                <w:rFonts w:ascii="Arial" w:eastAsiaTheme="minorEastAsia" w:hAnsi="Arial" w:cs="Arial"/>
                <w:b w:val="0"/>
                <w:bCs w:val="0"/>
                <w:u w:val="none"/>
                <w:lang w:eastAsia="ja-JP"/>
              </w:rPr>
              <w:t>Figure 2:</w:t>
            </w:r>
          </w:p>
        </w:tc>
        <w:tc>
          <w:tcPr>
            <w:tcW w:w="7311" w:type="dxa"/>
          </w:tcPr>
          <w:p w14:paraId="6519BBE4" w14:textId="1248D19D" w:rsidR="00D25EC9" w:rsidRDefault="00871837" w:rsidP="00193B92">
            <w:pPr>
              <w:spacing w:line="360" w:lineRule="auto"/>
              <w:rPr>
                <w:rFonts w:cs="Arial"/>
              </w:rPr>
            </w:pPr>
            <w:r>
              <w:rPr>
                <w:rFonts w:cstheme="minorHAnsi"/>
              </w:rPr>
              <w:t xml:space="preserve">Illustration of a Switch Auction in 2011 in Denmark </w:t>
            </w:r>
          </w:p>
        </w:tc>
        <w:tc>
          <w:tcPr>
            <w:tcW w:w="628" w:type="dxa"/>
          </w:tcPr>
          <w:p w14:paraId="274A062D" w14:textId="1EFB2EAE" w:rsidR="00D25EC9" w:rsidRDefault="006137FF" w:rsidP="00D25EC9">
            <w:pPr>
              <w:spacing w:line="360" w:lineRule="auto"/>
              <w:jc w:val="right"/>
              <w:rPr>
                <w:rFonts w:cs="Arial"/>
              </w:rPr>
            </w:pPr>
            <w:r>
              <w:rPr>
                <w:rFonts w:cs="Arial"/>
              </w:rPr>
              <w:t>4</w:t>
            </w:r>
          </w:p>
        </w:tc>
      </w:tr>
    </w:tbl>
    <w:p w14:paraId="0A2C726D" w14:textId="77777777" w:rsidR="00604421" w:rsidRPr="00604421" w:rsidRDefault="00604421" w:rsidP="00D25EC9">
      <w:pPr>
        <w:spacing w:line="360" w:lineRule="auto"/>
        <w:rPr>
          <w:rFonts w:cs="Arial"/>
          <w:b/>
        </w:rPr>
      </w:pPr>
    </w:p>
    <w:p w14:paraId="5D142A8B" w14:textId="4BEDDD69" w:rsidR="00722174" w:rsidRDefault="00715DD6" w:rsidP="00A9471F">
      <w:pPr>
        <w:spacing w:line="360" w:lineRule="auto"/>
        <w:jc w:val="center"/>
        <w:rPr>
          <w:rFonts w:cs="Arial"/>
          <w:b/>
          <w:sz w:val="24"/>
          <w:szCs w:val="24"/>
        </w:rPr>
      </w:pPr>
      <w:r w:rsidRPr="00722174">
        <w:rPr>
          <w:rFonts w:cs="Arial"/>
          <w:b/>
          <w:sz w:val="24"/>
          <w:szCs w:val="24"/>
        </w:rPr>
        <w:t>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137"/>
        <w:gridCol w:w="805"/>
      </w:tblGrid>
      <w:tr w:rsidR="00D45FA7" w14:paraId="412B4FFD" w14:textId="77777777" w:rsidTr="00E1062C">
        <w:trPr>
          <w:trHeight w:hRule="exact" w:val="418"/>
        </w:trPr>
        <w:tc>
          <w:tcPr>
            <w:tcW w:w="1418" w:type="dxa"/>
          </w:tcPr>
          <w:p w14:paraId="7E9C23DF" w14:textId="35A882E3" w:rsidR="00D45FA7" w:rsidRPr="009C4101" w:rsidRDefault="00D45FA7" w:rsidP="00193B92">
            <w:pPr>
              <w:spacing w:line="360" w:lineRule="auto"/>
              <w:rPr>
                <w:rFonts w:cs="Arial"/>
              </w:rPr>
            </w:pPr>
            <w:r w:rsidRPr="009C4101">
              <w:rPr>
                <w:rFonts w:cs="Arial"/>
              </w:rPr>
              <w:t>Table 1:</w:t>
            </w:r>
          </w:p>
        </w:tc>
        <w:tc>
          <w:tcPr>
            <w:tcW w:w="7137" w:type="dxa"/>
          </w:tcPr>
          <w:p w14:paraId="02747B0E" w14:textId="4E78AF36" w:rsidR="00D45FA7" w:rsidRPr="009C4101" w:rsidRDefault="001E1B0A" w:rsidP="00525E54">
            <w:pPr>
              <w:spacing w:line="360" w:lineRule="auto"/>
              <w:rPr>
                <w:rFonts w:cs="Arial"/>
              </w:rPr>
            </w:pPr>
            <w:r w:rsidRPr="009C4101">
              <w:rPr>
                <w:rFonts w:cs="Arial"/>
              </w:rPr>
              <w:t xml:space="preserve">Country Practice in Switch Auctions </w:t>
            </w:r>
          </w:p>
          <w:p w14:paraId="4719201E" w14:textId="7A0C6674" w:rsidR="00D45FA7" w:rsidRPr="009C4101" w:rsidRDefault="00605D5B" w:rsidP="00525E54">
            <w:pPr>
              <w:spacing w:line="360" w:lineRule="auto"/>
              <w:rPr>
                <w:rFonts w:cs="Arial"/>
              </w:rPr>
            </w:pPr>
            <w:r w:rsidRPr="009C4101">
              <w:rPr>
                <w:rFonts w:cs="Arial"/>
              </w:rPr>
              <w:t>Thresholds</w:t>
            </w:r>
            <w:r w:rsidR="00D45FA7" w:rsidRPr="009C4101">
              <w:rPr>
                <w:rFonts w:cs="Arial"/>
              </w:rPr>
              <w:t>______________________________</w:t>
            </w:r>
          </w:p>
        </w:tc>
        <w:tc>
          <w:tcPr>
            <w:tcW w:w="805" w:type="dxa"/>
          </w:tcPr>
          <w:p w14:paraId="29F1ED5A" w14:textId="4F8AC9E7" w:rsidR="00D45FA7" w:rsidRPr="009C4101" w:rsidRDefault="00A03A60" w:rsidP="002E25B6">
            <w:pPr>
              <w:spacing w:line="360" w:lineRule="auto"/>
              <w:jc w:val="right"/>
              <w:rPr>
                <w:rFonts w:cs="Arial"/>
              </w:rPr>
            </w:pPr>
            <w:r>
              <w:rPr>
                <w:rFonts w:cs="Arial"/>
              </w:rPr>
              <w:t>8</w:t>
            </w:r>
          </w:p>
        </w:tc>
      </w:tr>
      <w:tr w:rsidR="00722174" w14:paraId="6DE51DC0" w14:textId="77777777" w:rsidTr="00E1062C">
        <w:trPr>
          <w:trHeight w:hRule="exact" w:val="708"/>
        </w:trPr>
        <w:tc>
          <w:tcPr>
            <w:tcW w:w="1418" w:type="dxa"/>
          </w:tcPr>
          <w:p w14:paraId="40908D33" w14:textId="1E87D117" w:rsidR="00722174" w:rsidRPr="009C4101" w:rsidRDefault="00096F56" w:rsidP="00193B92">
            <w:pPr>
              <w:spacing w:line="360" w:lineRule="auto"/>
              <w:rPr>
                <w:rFonts w:cs="Arial"/>
                <w:b/>
              </w:rPr>
            </w:pPr>
            <w:r w:rsidRPr="009C4101">
              <w:rPr>
                <w:rFonts w:cs="Arial"/>
              </w:rPr>
              <w:t>Table 2</w:t>
            </w:r>
            <w:r w:rsidR="00722174" w:rsidRPr="009C4101">
              <w:rPr>
                <w:rFonts w:cs="Arial"/>
              </w:rPr>
              <w:t>:</w:t>
            </w:r>
          </w:p>
        </w:tc>
        <w:tc>
          <w:tcPr>
            <w:tcW w:w="7137" w:type="dxa"/>
          </w:tcPr>
          <w:p w14:paraId="0485AC5B" w14:textId="7EE6B76E" w:rsidR="00722174" w:rsidRPr="009C4101" w:rsidRDefault="00CC5A83" w:rsidP="00525E54">
            <w:pPr>
              <w:spacing w:line="360" w:lineRule="auto"/>
              <w:rPr>
                <w:rFonts w:cs="Arial"/>
                <w:bCs/>
              </w:rPr>
            </w:pPr>
            <w:r w:rsidRPr="009C4101">
              <w:rPr>
                <w:rFonts w:cs="Arial"/>
              </w:rPr>
              <w:t>Terms of Switching for Settlement Date on 11 June 2018</w:t>
            </w:r>
          </w:p>
        </w:tc>
        <w:tc>
          <w:tcPr>
            <w:tcW w:w="805" w:type="dxa"/>
          </w:tcPr>
          <w:p w14:paraId="1731D5D6" w14:textId="4F5C859C" w:rsidR="00722174" w:rsidRPr="009C4101" w:rsidRDefault="00A03A60" w:rsidP="002E25B6">
            <w:pPr>
              <w:spacing w:line="360" w:lineRule="auto"/>
              <w:jc w:val="right"/>
              <w:rPr>
                <w:rFonts w:cs="Arial"/>
              </w:rPr>
            </w:pPr>
            <w:r>
              <w:rPr>
                <w:rFonts w:cs="Arial"/>
              </w:rPr>
              <w:t>16</w:t>
            </w:r>
            <w:r w:rsidR="002A0E63" w:rsidRPr="009C4101">
              <w:rPr>
                <w:rFonts w:cs="Arial"/>
              </w:rPr>
              <w:t xml:space="preserve"> </w:t>
            </w:r>
          </w:p>
        </w:tc>
      </w:tr>
      <w:tr w:rsidR="00BB2BC1" w14:paraId="715267CE" w14:textId="77777777" w:rsidTr="00E1062C">
        <w:trPr>
          <w:trHeight w:hRule="exact" w:val="709"/>
        </w:trPr>
        <w:tc>
          <w:tcPr>
            <w:tcW w:w="1418" w:type="dxa"/>
          </w:tcPr>
          <w:p w14:paraId="0B98A256" w14:textId="50152B5A" w:rsidR="00BB2BC1" w:rsidRPr="009C4101" w:rsidRDefault="00BB2BC1" w:rsidP="00193B92">
            <w:pPr>
              <w:spacing w:line="360" w:lineRule="auto"/>
              <w:rPr>
                <w:rFonts w:cs="Arial"/>
              </w:rPr>
            </w:pPr>
            <w:r w:rsidRPr="009C4101">
              <w:rPr>
                <w:rFonts w:cs="Arial"/>
              </w:rPr>
              <w:t>Table 3</w:t>
            </w:r>
            <w:r w:rsidR="00E1062C" w:rsidRPr="009C4101">
              <w:rPr>
                <w:rFonts w:cs="Arial"/>
              </w:rPr>
              <w:t>(a)</w:t>
            </w:r>
            <w:r w:rsidRPr="009C4101">
              <w:rPr>
                <w:rFonts w:cs="Arial"/>
              </w:rPr>
              <w:t>:</w:t>
            </w:r>
          </w:p>
        </w:tc>
        <w:tc>
          <w:tcPr>
            <w:tcW w:w="7137" w:type="dxa"/>
          </w:tcPr>
          <w:p w14:paraId="7998749C" w14:textId="2C579015" w:rsidR="00BB2BC1" w:rsidRPr="009C4101" w:rsidRDefault="00E1062C" w:rsidP="00525E54">
            <w:pPr>
              <w:spacing w:line="360" w:lineRule="auto"/>
              <w:rPr>
                <w:rFonts w:cs="Arial"/>
              </w:rPr>
            </w:pPr>
            <w:r w:rsidRPr="009C4101">
              <w:rPr>
                <w:rFonts w:eastAsia="Times New Roman" w:cs="Arial"/>
                <w:bCs/>
                <w:color w:val="000000"/>
                <w:lang w:eastAsia="en-US"/>
              </w:rPr>
              <w:t>Bid for Source Bond AMGN60294193</w:t>
            </w:r>
          </w:p>
        </w:tc>
        <w:tc>
          <w:tcPr>
            <w:tcW w:w="805" w:type="dxa"/>
          </w:tcPr>
          <w:p w14:paraId="68BE8DCA" w14:textId="1CB97E9B" w:rsidR="00BB2BC1" w:rsidRPr="009C4101" w:rsidRDefault="00A03A60" w:rsidP="002E25B6">
            <w:pPr>
              <w:spacing w:line="360" w:lineRule="auto"/>
              <w:jc w:val="right"/>
              <w:rPr>
                <w:rFonts w:cs="Arial"/>
              </w:rPr>
            </w:pPr>
            <w:r>
              <w:rPr>
                <w:rFonts w:cs="Arial"/>
              </w:rPr>
              <w:t>17</w:t>
            </w:r>
          </w:p>
        </w:tc>
      </w:tr>
      <w:tr w:rsidR="00BB2BC1" w14:paraId="00E92045" w14:textId="77777777" w:rsidTr="00E1062C">
        <w:trPr>
          <w:trHeight w:hRule="exact" w:val="719"/>
        </w:trPr>
        <w:tc>
          <w:tcPr>
            <w:tcW w:w="1418" w:type="dxa"/>
          </w:tcPr>
          <w:p w14:paraId="0165397C" w14:textId="0BC3A565" w:rsidR="00BB2BC1" w:rsidRPr="009C4101" w:rsidRDefault="00BB2BC1" w:rsidP="00193B92">
            <w:pPr>
              <w:spacing w:line="360" w:lineRule="auto"/>
              <w:rPr>
                <w:rFonts w:cs="Arial"/>
              </w:rPr>
            </w:pPr>
            <w:r w:rsidRPr="009C4101">
              <w:rPr>
                <w:rFonts w:cs="Arial"/>
              </w:rPr>
              <w:t xml:space="preserve">Table </w:t>
            </w:r>
            <w:r w:rsidR="00E1062C" w:rsidRPr="009C4101">
              <w:rPr>
                <w:rFonts w:cs="Arial"/>
              </w:rPr>
              <w:t>3(b)</w:t>
            </w:r>
            <w:r w:rsidRPr="009C4101">
              <w:rPr>
                <w:rFonts w:cs="Arial"/>
              </w:rPr>
              <w:t>:</w:t>
            </w:r>
          </w:p>
        </w:tc>
        <w:tc>
          <w:tcPr>
            <w:tcW w:w="7137" w:type="dxa"/>
          </w:tcPr>
          <w:p w14:paraId="235AF00A" w14:textId="0F3E1E1D" w:rsidR="00BB2BC1" w:rsidRPr="009C4101" w:rsidRDefault="00E1062C" w:rsidP="00525E54">
            <w:pPr>
              <w:spacing w:line="360" w:lineRule="auto"/>
              <w:rPr>
                <w:rFonts w:cs="Arial"/>
              </w:rPr>
            </w:pPr>
            <w:r w:rsidRPr="009C4101">
              <w:rPr>
                <w:rFonts w:eastAsia="Times New Roman" w:cs="Arial"/>
                <w:bCs/>
                <w:color w:val="000000"/>
                <w:lang w:eastAsia="en-US"/>
              </w:rPr>
              <w:t>Bid for Source Bond AMGN36294194</w:t>
            </w:r>
          </w:p>
        </w:tc>
        <w:tc>
          <w:tcPr>
            <w:tcW w:w="805" w:type="dxa"/>
          </w:tcPr>
          <w:p w14:paraId="72B766A1" w14:textId="62CF3A07" w:rsidR="00BB2BC1" w:rsidRPr="009C4101" w:rsidRDefault="00A03A60" w:rsidP="002E25B6">
            <w:pPr>
              <w:spacing w:line="360" w:lineRule="auto"/>
              <w:jc w:val="right"/>
              <w:rPr>
                <w:rFonts w:cs="Arial"/>
              </w:rPr>
            </w:pPr>
            <w:r>
              <w:rPr>
                <w:rFonts w:cs="Arial"/>
              </w:rPr>
              <w:t>17</w:t>
            </w:r>
          </w:p>
        </w:tc>
      </w:tr>
      <w:tr w:rsidR="00BB2BC1" w14:paraId="41D6661F" w14:textId="77777777" w:rsidTr="00E1062C">
        <w:trPr>
          <w:trHeight w:hRule="exact" w:val="701"/>
        </w:trPr>
        <w:tc>
          <w:tcPr>
            <w:tcW w:w="1418" w:type="dxa"/>
          </w:tcPr>
          <w:p w14:paraId="0A87B6FC" w14:textId="4D90E45B" w:rsidR="00BB2BC1" w:rsidRPr="009C4101" w:rsidRDefault="00BB2BC1" w:rsidP="00193B92">
            <w:pPr>
              <w:spacing w:line="360" w:lineRule="auto"/>
              <w:rPr>
                <w:rFonts w:cs="Arial"/>
              </w:rPr>
            </w:pPr>
            <w:r w:rsidRPr="009C4101">
              <w:rPr>
                <w:rFonts w:cs="Arial"/>
              </w:rPr>
              <w:t xml:space="preserve">Table </w:t>
            </w:r>
            <w:r w:rsidR="00E1062C" w:rsidRPr="009C4101">
              <w:rPr>
                <w:rFonts w:cs="Arial"/>
              </w:rPr>
              <w:t>4(a)</w:t>
            </w:r>
            <w:r w:rsidRPr="009C4101">
              <w:rPr>
                <w:rFonts w:cs="Arial"/>
              </w:rPr>
              <w:t>:</w:t>
            </w:r>
          </w:p>
        </w:tc>
        <w:tc>
          <w:tcPr>
            <w:tcW w:w="7137" w:type="dxa"/>
          </w:tcPr>
          <w:p w14:paraId="138392B4" w14:textId="5E0830D2" w:rsidR="00BB2BC1" w:rsidRPr="009C4101" w:rsidRDefault="00E1062C" w:rsidP="00525E54">
            <w:pPr>
              <w:spacing w:line="360" w:lineRule="auto"/>
              <w:rPr>
                <w:rFonts w:cs="Arial"/>
              </w:rPr>
            </w:pPr>
            <w:r w:rsidRPr="009C4101">
              <w:rPr>
                <w:rFonts w:eastAsia="Times New Roman" w:cs="Arial"/>
                <w:color w:val="000000"/>
                <w:lang w:eastAsia="en-US"/>
              </w:rPr>
              <w:t xml:space="preserve">Allocation for Source Bond </w:t>
            </w:r>
            <w:r w:rsidRPr="009C4101">
              <w:rPr>
                <w:rFonts w:eastAsia="Times New Roman" w:cs="Arial"/>
                <w:bCs/>
                <w:color w:val="000000"/>
                <w:lang w:eastAsia="en-US"/>
              </w:rPr>
              <w:t>AMGN60294193</w:t>
            </w:r>
          </w:p>
        </w:tc>
        <w:tc>
          <w:tcPr>
            <w:tcW w:w="805" w:type="dxa"/>
          </w:tcPr>
          <w:p w14:paraId="399FC85D" w14:textId="42F216CE" w:rsidR="00BB2BC1" w:rsidRPr="009C4101" w:rsidRDefault="00A03A60" w:rsidP="002E25B6">
            <w:pPr>
              <w:spacing w:line="360" w:lineRule="auto"/>
              <w:jc w:val="right"/>
              <w:rPr>
                <w:rFonts w:cs="Arial"/>
              </w:rPr>
            </w:pPr>
            <w:r>
              <w:rPr>
                <w:rFonts w:cs="Arial"/>
              </w:rPr>
              <w:t>1</w:t>
            </w:r>
            <w:r w:rsidR="00A50926" w:rsidRPr="009C4101">
              <w:rPr>
                <w:rFonts w:cs="Arial"/>
              </w:rPr>
              <w:t>8</w:t>
            </w:r>
          </w:p>
        </w:tc>
      </w:tr>
      <w:tr w:rsidR="00E1062C" w14:paraId="0261E54E" w14:textId="77777777" w:rsidTr="00E1062C">
        <w:trPr>
          <w:trHeight w:hRule="exact" w:val="701"/>
        </w:trPr>
        <w:tc>
          <w:tcPr>
            <w:tcW w:w="1418" w:type="dxa"/>
          </w:tcPr>
          <w:p w14:paraId="554E9EB9" w14:textId="25BD855A" w:rsidR="00E1062C" w:rsidRPr="009C4101" w:rsidRDefault="00E1062C" w:rsidP="00193B92">
            <w:pPr>
              <w:spacing w:line="360" w:lineRule="auto"/>
              <w:rPr>
                <w:rFonts w:cs="Arial"/>
              </w:rPr>
            </w:pPr>
            <w:r w:rsidRPr="009C4101">
              <w:rPr>
                <w:rFonts w:cs="Arial"/>
              </w:rPr>
              <w:t>Table 4(b):</w:t>
            </w:r>
          </w:p>
        </w:tc>
        <w:tc>
          <w:tcPr>
            <w:tcW w:w="7137" w:type="dxa"/>
          </w:tcPr>
          <w:p w14:paraId="442C02A3" w14:textId="5767127D" w:rsidR="00E1062C" w:rsidRPr="009C4101" w:rsidRDefault="00D220DF" w:rsidP="00525E54">
            <w:pPr>
              <w:spacing w:line="360" w:lineRule="auto"/>
              <w:rPr>
                <w:rFonts w:eastAsia="Times New Roman" w:cs="Arial"/>
                <w:color w:val="000000"/>
                <w:lang w:eastAsia="en-US"/>
              </w:rPr>
            </w:pPr>
            <w:r w:rsidRPr="009C4101">
              <w:rPr>
                <w:rFonts w:eastAsia="Times New Roman" w:cs="Arial"/>
                <w:color w:val="000000"/>
                <w:lang w:eastAsia="en-US"/>
              </w:rPr>
              <w:t>Allocation of Destination Bonds for Bidding on First Source Bond (</w:t>
            </w:r>
            <w:r w:rsidRPr="009C4101">
              <w:rPr>
                <w:rFonts w:eastAsia="Times New Roman" w:cs="Arial"/>
                <w:bCs/>
                <w:color w:val="000000"/>
                <w:lang w:eastAsia="en-US"/>
              </w:rPr>
              <w:t>AMGN60294193)</w:t>
            </w:r>
          </w:p>
        </w:tc>
        <w:tc>
          <w:tcPr>
            <w:tcW w:w="805" w:type="dxa"/>
          </w:tcPr>
          <w:p w14:paraId="676E027A" w14:textId="28FADB6E" w:rsidR="00E1062C" w:rsidRPr="009C4101" w:rsidRDefault="00A03A60" w:rsidP="002E25B6">
            <w:pPr>
              <w:spacing w:line="360" w:lineRule="auto"/>
              <w:jc w:val="right"/>
              <w:rPr>
                <w:rFonts w:cs="Arial"/>
              </w:rPr>
            </w:pPr>
            <w:r>
              <w:rPr>
                <w:rFonts w:cs="Arial"/>
              </w:rPr>
              <w:t>18</w:t>
            </w:r>
          </w:p>
        </w:tc>
      </w:tr>
      <w:tr w:rsidR="00E1062C" w14:paraId="35DCCD92" w14:textId="77777777" w:rsidTr="00E1062C">
        <w:trPr>
          <w:trHeight w:hRule="exact" w:val="701"/>
        </w:trPr>
        <w:tc>
          <w:tcPr>
            <w:tcW w:w="1418" w:type="dxa"/>
          </w:tcPr>
          <w:p w14:paraId="0F866D00" w14:textId="585A14F5" w:rsidR="00E1062C" w:rsidRPr="009C4101" w:rsidRDefault="00E1062C" w:rsidP="00193B92">
            <w:pPr>
              <w:spacing w:line="360" w:lineRule="auto"/>
              <w:rPr>
                <w:rFonts w:cs="Arial"/>
              </w:rPr>
            </w:pPr>
            <w:r w:rsidRPr="009C4101">
              <w:rPr>
                <w:rFonts w:cs="Arial"/>
              </w:rPr>
              <w:t>Table 5(a):</w:t>
            </w:r>
          </w:p>
        </w:tc>
        <w:tc>
          <w:tcPr>
            <w:tcW w:w="7137" w:type="dxa"/>
          </w:tcPr>
          <w:p w14:paraId="33104D3A" w14:textId="4D61BD9E" w:rsidR="00E1062C" w:rsidRPr="009C4101" w:rsidRDefault="00D220DF" w:rsidP="00525E54">
            <w:pPr>
              <w:spacing w:line="360" w:lineRule="auto"/>
              <w:rPr>
                <w:rFonts w:eastAsia="Times New Roman" w:cs="Arial"/>
                <w:color w:val="000000"/>
                <w:lang w:eastAsia="en-US"/>
              </w:rPr>
            </w:pPr>
            <w:r w:rsidRPr="009C4101">
              <w:rPr>
                <w:rFonts w:eastAsia="Times New Roman" w:cs="Arial"/>
                <w:color w:val="000000"/>
                <w:lang w:eastAsia="en-US"/>
              </w:rPr>
              <w:t xml:space="preserve">Allocation for Source Bond </w:t>
            </w:r>
            <w:r w:rsidRPr="009C4101">
              <w:rPr>
                <w:rFonts w:eastAsia="Times New Roman" w:cs="Arial"/>
                <w:bCs/>
                <w:color w:val="000000"/>
                <w:lang w:eastAsia="en-US"/>
              </w:rPr>
              <w:t>AMGN36294194</w:t>
            </w:r>
          </w:p>
        </w:tc>
        <w:tc>
          <w:tcPr>
            <w:tcW w:w="805" w:type="dxa"/>
          </w:tcPr>
          <w:p w14:paraId="136F74B4" w14:textId="13251485" w:rsidR="00E1062C" w:rsidRPr="009C4101" w:rsidRDefault="00A03A60" w:rsidP="002E25B6">
            <w:pPr>
              <w:spacing w:line="360" w:lineRule="auto"/>
              <w:jc w:val="right"/>
              <w:rPr>
                <w:rFonts w:cs="Arial"/>
              </w:rPr>
            </w:pPr>
            <w:r>
              <w:rPr>
                <w:rFonts w:cs="Arial"/>
              </w:rPr>
              <w:t>19</w:t>
            </w:r>
          </w:p>
        </w:tc>
      </w:tr>
      <w:tr w:rsidR="00E1062C" w14:paraId="0670F060" w14:textId="77777777" w:rsidTr="00E1062C">
        <w:trPr>
          <w:trHeight w:hRule="exact" w:val="701"/>
        </w:trPr>
        <w:tc>
          <w:tcPr>
            <w:tcW w:w="1418" w:type="dxa"/>
          </w:tcPr>
          <w:p w14:paraId="28C20194" w14:textId="5C429654" w:rsidR="00E1062C" w:rsidRPr="009C4101" w:rsidRDefault="00E1062C" w:rsidP="00193B92">
            <w:pPr>
              <w:spacing w:line="360" w:lineRule="auto"/>
              <w:rPr>
                <w:rFonts w:cs="Arial"/>
              </w:rPr>
            </w:pPr>
            <w:r w:rsidRPr="009C4101">
              <w:rPr>
                <w:rFonts w:cs="Arial"/>
              </w:rPr>
              <w:t>Table 5(b):</w:t>
            </w:r>
          </w:p>
        </w:tc>
        <w:tc>
          <w:tcPr>
            <w:tcW w:w="7137" w:type="dxa"/>
          </w:tcPr>
          <w:p w14:paraId="35C34489" w14:textId="65D7CE26" w:rsidR="00E1062C" w:rsidRPr="009C4101" w:rsidRDefault="00D220DF" w:rsidP="00525E54">
            <w:pPr>
              <w:spacing w:line="360" w:lineRule="auto"/>
              <w:rPr>
                <w:rFonts w:eastAsia="Times New Roman" w:cs="Arial"/>
                <w:color w:val="000000"/>
                <w:lang w:eastAsia="en-US"/>
              </w:rPr>
            </w:pPr>
            <w:r w:rsidRPr="009C4101">
              <w:rPr>
                <w:rFonts w:eastAsia="Times New Roman" w:cs="Arial"/>
                <w:color w:val="000000"/>
                <w:lang w:eastAsia="en-US"/>
              </w:rPr>
              <w:t xml:space="preserve">Allocation of Destination Bonds for Bidding on Second Source Bond </w:t>
            </w:r>
            <w:r w:rsidRPr="009C4101">
              <w:rPr>
                <w:rFonts w:eastAsia="Times New Roman" w:cs="Arial"/>
                <w:bCs/>
                <w:color w:val="000000"/>
                <w:lang w:eastAsia="en-US"/>
              </w:rPr>
              <w:t>AMGN36294194</w:t>
            </w:r>
          </w:p>
        </w:tc>
        <w:tc>
          <w:tcPr>
            <w:tcW w:w="805" w:type="dxa"/>
          </w:tcPr>
          <w:p w14:paraId="1F291756" w14:textId="2516A887" w:rsidR="00E1062C" w:rsidRPr="009C4101" w:rsidRDefault="00A03A60" w:rsidP="002E25B6">
            <w:pPr>
              <w:spacing w:line="360" w:lineRule="auto"/>
              <w:jc w:val="right"/>
              <w:rPr>
                <w:rFonts w:cs="Arial"/>
              </w:rPr>
            </w:pPr>
            <w:r>
              <w:rPr>
                <w:rFonts w:cs="Arial"/>
              </w:rPr>
              <w:t>19</w:t>
            </w:r>
          </w:p>
        </w:tc>
      </w:tr>
      <w:tr w:rsidR="00E1062C" w14:paraId="4F4A414A" w14:textId="77777777" w:rsidTr="00E1062C">
        <w:trPr>
          <w:trHeight w:hRule="exact" w:val="701"/>
        </w:trPr>
        <w:tc>
          <w:tcPr>
            <w:tcW w:w="1418" w:type="dxa"/>
          </w:tcPr>
          <w:p w14:paraId="2F7B896D" w14:textId="26969E68" w:rsidR="00E1062C" w:rsidRPr="009C4101" w:rsidRDefault="00D220DF" w:rsidP="00193B92">
            <w:pPr>
              <w:spacing w:line="360" w:lineRule="auto"/>
              <w:rPr>
                <w:rFonts w:cs="Arial"/>
              </w:rPr>
            </w:pPr>
            <w:r w:rsidRPr="009C4101">
              <w:rPr>
                <w:rFonts w:cs="Arial"/>
              </w:rPr>
              <w:t>Table 6:</w:t>
            </w:r>
          </w:p>
        </w:tc>
        <w:tc>
          <w:tcPr>
            <w:tcW w:w="7137" w:type="dxa"/>
          </w:tcPr>
          <w:p w14:paraId="3153E7C6" w14:textId="16DF14EE" w:rsidR="00E1062C" w:rsidRPr="009C4101" w:rsidRDefault="00D220DF" w:rsidP="00525E54">
            <w:pPr>
              <w:spacing w:line="360" w:lineRule="auto"/>
              <w:rPr>
                <w:rFonts w:eastAsia="Times New Roman" w:cs="Arial"/>
                <w:color w:val="000000"/>
                <w:lang w:eastAsia="en-US"/>
              </w:rPr>
            </w:pPr>
            <w:r w:rsidRPr="009C4101">
              <w:rPr>
                <w:rFonts w:eastAsia="Times New Roman" w:cs="Arial"/>
                <w:color w:val="000000"/>
                <w:lang w:eastAsia="en-US"/>
              </w:rPr>
              <w:t>Allocation of Destination Bonds by Bidders</w:t>
            </w:r>
          </w:p>
        </w:tc>
        <w:tc>
          <w:tcPr>
            <w:tcW w:w="805" w:type="dxa"/>
          </w:tcPr>
          <w:p w14:paraId="7AEF7436" w14:textId="0D311BFB" w:rsidR="00E1062C" w:rsidRPr="009C4101" w:rsidRDefault="00A03A60" w:rsidP="002E25B6">
            <w:pPr>
              <w:spacing w:line="360" w:lineRule="auto"/>
              <w:jc w:val="right"/>
              <w:rPr>
                <w:rFonts w:cs="Arial"/>
              </w:rPr>
            </w:pPr>
            <w:r>
              <w:rPr>
                <w:rFonts w:cs="Arial"/>
              </w:rPr>
              <w:t>20</w:t>
            </w:r>
          </w:p>
        </w:tc>
      </w:tr>
      <w:tr w:rsidR="00E1062C" w14:paraId="1FC3B58A" w14:textId="77777777" w:rsidTr="00E1062C">
        <w:trPr>
          <w:trHeight w:hRule="exact" w:val="701"/>
        </w:trPr>
        <w:tc>
          <w:tcPr>
            <w:tcW w:w="1418" w:type="dxa"/>
          </w:tcPr>
          <w:p w14:paraId="3123CCD3" w14:textId="4356607D" w:rsidR="00E1062C" w:rsidRPr="009C4101" w:rsidRDefault="00D220DF" w:rsidP="00193B92">
            <w:pPr>
              <w:spacing w:line="360" w:lineRule="auto"/>
              <w:rPr>
                <w:rFonts w:cs="Arial"/>
              </w:rPr>
            </w:pPr>
            <w:r w:rsidRPr="009C4101">
              <w:rPr>
                <w:rFonts w:cs="Arial"/>
              </w:rPr>
              <w:t>Table 7:</w:t>
            </w:r>
          </w:p>
        </w:tc>
        <w:tc>
          <w:tcPr>
            <w:tcW w:w="7137" w:type="dxa"/>
          </w:tcPr>
          <w:p w14:paraId="45757685" w14:textId="4430813D" w:rsidR="00E1062C" w:rsidRPr="009C4101" w:rsidRDefault="00D220DF" w:rsidP="00525E54">
            <w:pPr>
              <w:spacing w:line="360" w:lineRule="auto"/>
              <w:rPr>
                <w:rFonts w:eastAsia="Times New Roman" w:cs="Arial"/>
                <w:color w:val="000000"/>
                <w:lang w:eastAsia="en-US"/>
              </w:rPr>
            </w:pPr>
            <w:r w:rsidRPr="009C4101">
              <w:rPr>
                <w:rFonts w:eastAsia="Times New Roman" w:cs="Arial"/>
                <w:bCs/>
                <w:color w:val="000000"/>
                <w:lang w:eastAsia="en-US"/>
              </w:rPr>
              <w:t>Pay-off Summary by Bidders</w:t>
            </w:r>
          </w:p>
        </w:tc>
        <w:tc>
          <w:tcPr>
            <w:tcW w:w="805" w:type="dxa"/>
          </w:tcPr>
          <w:p w14:paraId="4650AB2D" w14:textId="34493966" w:rsidR="00E1062C" w:rsidRPr="009C4101" w:rsidRDefault="00A03A60" w:rsidP="002E25B6">
            <w:pPr>
              <w:spacing w:line="360" w:lineRule="auto"/>
              <w:jc w:val="right"/>
              <w:rPr>
                <w:rFonts w:cs="Arial"/>
              </w:rPr>
            </w:pPr>
            <w:r>
              <w:rPr>
                <w:rFonts w:cs="Arial"/>
              </w:rPr>
              <w:t>21</w:t>
            </w:r>
          </w:p>
        </w:tc>
      </w:tr>
      <w:tr w:rsidR="00E1062C" w14:paraId="2F2D281D" w14:textId="77777777" w:rsidTr="00E1062C">
        <w:trPr>
          <w:trHeight w:hRule="exact" w:val="701"/>
        </w:trPr>
        <w:tc>
          <w:tcPr>
            <w:tcW w:w="1418" w:type="dxa"/>
          </w:tcPr>
          <w:p w14:paraId="39FEAAC5" w14:textId="1F1E19F4" w:rsidR="00E1062C" w:rsidRPr="009C4101" w:rsidRDefault="00D220DF" w:rsidP="00193B92">
            <w:pPr>
              <w:spacing w:line="360" w:lineRule="auto"/>
              <w:rPr>
                <w:rFonts w:cs="Arial"/>
              </w:rPr>
            </w:pPr>
            <w:r w:rsidRPr="009C4101">
              <w:rPr>
                <w:rFonts w:cs="Arial"/>
              </w:rPr>
              <w:t>Table 8:</w:t>
            </w:r>
          </w:p>
        </w:tc>
        <w:tc>
          <w:tcPr>
            <w:tcW w:w="7137" w:type="dxa"/>
          </w:tcPr>
          <w:p w14:paraId="79EA0C7F" w14:textId="128EB67E" w:rsidR="00E1062C" w:rsidRPr="009C4101" w:rsidRDefault="00D220DF" w:rsidP="00525E54">
            <w:pPr>
              <w:spacing w:line="360" w:lineRule="auto"/>
              <w:rPr>
                <w:rFonts w:eastAsia="Times New Roman" w:cs="Arial"/>
                <w:color w:val="000000"/>
                <w:lang w:eastAsia="en-US"/>
              </w:rPr>
            </w:pPr>
            <w:r w:rsidRPr="009C4101">
              <w:rPr>
                <w:rFonts w:eastAsia="Times New Roman" w:cs="Arial"/>
                <w:bCs/>
                <w:lang w:eastAsia="en-US"/>
              </w:rPr>
              <w:t>Aggregate Analysis of Source Bond Allocation in Switch Operations</w:t>
            </w:r>
          </w:p>
        </w:tc>
        <w:tc>
          <w:tcPr>
            <w:tcW w:w="805" w:type="dxa"/>
          </w:tcPr>
          <w:p w14:paraId="22EE688A" w14:textId="4179E6BB" w:rsidR="00E1062C" w:rsidRPr="009C4101" w:rsidRDefault="00A03A60" w:rsidP="002E25B6">
            <w:pPr>
              <w:spacing w:line="360" w:lineRule="auto"/>
              <w:jc w:val="right"/>
              <w:rPr>
                <w:rFonts w:cs="Arial"/>
              </w:rPr>
            </w:pPr>
            <w:r>
              <w:rPr>
                <w:rFonts w:cs="Arial"/>
              </w:rPr>
              <w:t>21</w:t>
            </w:r>
          </w:p>
        </w:tc>
      </w:tr>
      <w:tr w:rsidR="00E1062C" w14:paraId="1BE5EFFC" w14:textId="77777777" w:rsidTr="00E1062C">
        <w:trPr>
          <w:trHeight w:hRule="exact" w:val="701"/>
        </w:trPr>
        <w:tc>
          <w:tcPr>
            <w:tcW w:w="1418" w:type="dxa"/>
          </w:tcPr>
          <w:p w14:paraId="6CE3178C" w14:textId="1403F1D5" w:rsidR="00E1062C" w:rsidRPr="009C4101" w:rsidRDefault="00D220DF" w:rsidP="00193B92">
            <w:pPr>
              <w:spacing w:line="360" w:lineRule="auto"/>
              <w:rPr>
                <w:rFonts w:cs="Arial"/>
              </w:rPr>
            </w:pPr>
            <w:r w:rsidRPr="009C4101">
              <w:rPr>
                <w:rFonts w:cs="Arial"/>
              </w:rPr>
              <w:t>Table 9:</w:t>
            </w:r>
          </w:p>
        </w:tc>
        <w:tc>
          <w:tcPr>
            <w:tcW w:w="7137" w:type="dxa"/>
          </w:tcPr>
          <w:p w14:paraId="5F0B3A30" w14:textId="776AA103" w:rsidR="00E1062C" w:rsidRPr="009C4101" w:rsidRDefault="00D220DF" w:rsidP="00525E54">
            <w:pPr>
              <w:spacing w:line="360" w:lineRule="auto"/>
              <w:rPr>
                <w:rFonts w:eastAsia="Times New Roman" w:cs="Arial"/>
                <w:color w:val="000000"/>
                <w:lang w:eastAsia="en-US"/>
              </w:rPr>
            </w:pPr>
            <w:r w:rsidRPr="009C4101">
              <w:rPr>
                <w:rFonts w:eastAsia="Times New Roman" w:cs="Arial"/>
                <w:bCs/>
                <w:lang w:eastAsia="en-US"/>
              </w:rPr>
              <w:t>Aggregate Analysis of Destination Bond Allocation in Switch Operations</w:t>
            </w:r>
          </w:p>
        </w:tc>
        <w:tc>
          <w:tcPr>
            <w:tcW w:w="805" w:type="dxa"/>
          </w:tcPr>
          <w:p w14:paraId="4CC425AB" w14:textId="0B451ABE" w:rsidR="00E1062C" w:rsidRPr="009C4101" w:rsidRDefault="00A03A60" w:rsidP="002E25B6">
            <w:pPr>
              <w:spacing w:line="360" w:lineRule="auto"/>
              <w:jc w:val="right"/>
              <w:rPr>
                <w:rFonts w:cs="Arial"/>
              </w:rPr>
            </w:pPr>
            <w:r>
              <w:rPr>
                <w:rFonts w:cs="Arial"/>
              </w:rPr>
              <w:t>22</w:t>
            </w:r>
          </w:p>
        </w:tc>
      </w:tr>
    </w:tbl>
    <w:p w14:paraId="7CA4DD96" w14:textId="72F9445F" w:rsidR="00B373FE" w:rsidRDefault="00B373FE" w:rsidP="000621C7">
      <w:pPr>
        <w:ind w:left="360"/>
        <w:jc w:val="center"/>
        <w:rPr>
          <w:rFonts w:cs="Arial"/>
        </w:rPr>
      </w:pPr>
    </w:p>
    <w:p w14:paraId="5FC0EC84" w14:textId="77777777" w:rsidR="00B373FE" w:rsidRDefault="00B373FE">
      <w:pPr>
        <w:rPr>
          <w:rFonts w:cs="Arial"/>
        </w:rPr>
      </w:pPr>
      <w:r>
        <w:rPr>
          <w:rFonts w:cs="Arial"/>
        </w:rPr>
        <w:br w:type="page"/>
      </w:r>
    </w:p>
    <w:p w14:paraId="28E94573" w14:textId="77777777" w:rsidR="00B373FE" w:rsidRPr="00FF0D12" w:rsidRDefault="00B373FE" w:rsidP="00B373FE">
      <w:pPr>
        <w:rPr>
          <w:b/>
          <w:sz w:val="26"/>
          <w:szCs w:val="26"/>
        </w:rPr>
      </w:pPr>
      <w:r w:rsidRPr="00FF0D12">
        <w:rPr>
          <w:b/>
          <w:sz w:val="26"/>
          <w:szCs w:val="26"/>
        </w:rPr>
        <w:lastRenderedPageBreak/>
        <w:t>I. Introduction</w:t>
      </w:r>
      <w:r>
        <w:rPr>
          <w:b/>
          <w:sz w:val="26"/>
          <w:szCs w:val="26"/>
        </w:rPr>
        <w:t xml:space="preserve"> </w:t>
      </w:r>
    </w:p>
    <w:p w14:paraId="5121AAFE" w14:textId="77777777" w:rsidR="00B373FE" w:rsidRDefault="00B373FE" w:rsidP="00B373FE">
      <w:pPr>
        <w:autoSpaceDE w:val="0"/>
        <w:autoSpaceDN w:val="0"/>
        <w:adjustRightInd w:val="0"/>
        <w:rPr>
          <w:rFonts w:cstheme="minorHAnsi"/>
          <w:b/>
        </w:rPr>
      </w:pPr>
    </w:p>
    <w:p w14:paraId="181A1709" w14:textId="3C3ED296" w:rsidR="00B373FE" w:rsidRPr="00AC1B32" w:rsidRDefault="00B373FE" w:rsidP="00B373FE">
      <w:pPr>
        <w:autoSpaceDE w:val="0"/>
        <w:autoSpaceDN w:val="0"/>
        <w:adjustRightInd w:val="0"/>
        <w:rPr>
          <w:rFonts w:cstheme="minorHAnsi"/>
          <w:b/>
        </w:rPr>
      </w:pPr>
      <w:r w:rsidRPr="00AC1B32">
        <w:rPr>
          <w:rFonts w:cstheme="minorHAnsi"/>
          <w:b/>
        </w:rPr>
        <w:t>1.</w:t>
      </w:r>
      <w:r w:rsidRPr="00AC1B32">
        <w:rPr>
          <w:rFonts w:cstheme="minorHAnsi"/>
          <w:b/>
        </w:rPr>
        <w:tab/>
        <w:t>Definition</w:t>
      </w:r>
    </w:p>
    <w:p w14:paraId="3BF267F8" w14:textId="77777777" w:rsidR="00B373FE" w:rsidRPr="00AC1B32" w:rsidRDefault="00B373FE" w:rsidP="00B373FE">
      <w:pPr>
        <w:autoSpaceDE w:val="0"/>
        <w:autoSpaceDN w:val="0"/>
        <w:adjustRightInd w:val="0"/>
        <w:rPr>
          <w:rFonts w:cstheme="minorHAnsi"/>
        </w:rPr>
      </w:pPr>
    </w:p>
    <w:p w14:paraId="5D8B7BAB" w14:textId="77777777" w:rsidR="00B373FE" w:rsidRPr="00AC1B32" w:rsidRDefault="00B373FE" w:rsidP="009C4101">
      <w:pPr>
        <w:autoSpaceDE w:val="0"/>
        <w:autoSpaceDN w:val="0"/>
        <w:adjustRightInd w:val="0"/>
        <w:ind w:left="720" w:hanging="720"/>
        <w:jc w:val="both"/>
        <w:rPr>
          <w:rFonts w:cstheme="minorHAnsi"/>
        </w:rPr>
      </w:pPr>
      <w:r>
        <w:rPr>
          <w:rFonts w:cstheme="minorHAnsi"/>
        </w:rPr>
        <w:t>1.1</w:t>
      </w:r>
      <w:r>
        <w:rPr>
          <w:rFonts w:cstheme="minorHAnsi"/>
        </w:rPr>
        <w:tab/>
      </w:r>
      <w:r w:rsidRPr="00AC1B32">
        <w:rPr>
          <w:rFonts w:cstheme="minorHAnsi"/>
        </w:rPr>
        <w:t>Bond switches or exchanges involves retiring an outstanding bond before its maturity date (source bond) against the issuance of a new bond (destination bond).</w:t>
      </w:r>
      <w:r>
        <w:rPr>
          <w:rFonts w:cstheme="minorHAnsi"/>
        </w:rPr>
        <w:t xml:space="preserve"> This paper refers to switches / exchanges as switches.</w:t>
      </w:r>
      <w:r w:rsidRPr="00AC1B32">
        <w:rPr>
          <w:rFonts w:cstheme="minorHAnsi"/>
        </w:rPr>
        <w:t xml:space="preserve"> </w:t>
      </w:r>
    </w:p>
    <w:p w14:paraId="4B144283" w14:textId="77777777" w:rsidR="00B373FE" w:rsidRPr="00CB5B82" w:rsidRDefault="00B373FE" w:rsidP="00B373FE">
      <w:pPr>
        <w:autoSpaceDE w:val="0"/>
        <w:autoSpaceDN w:val="0"/>
        <w:adjustRightInd w:val="0"/>
        <w:jc w:val="both"/>
        <w:rPr>
          <w:rFonts w:cstheme="minorHAnsi"/>
        </w:rPr>
      </w:pPr>
    </w:p>
    <w:p w14:paraId="63486AF0" w14:textId="77777777" w:rsidR="00B373FE" w:rsidRPr="00AC1B32" w:rsidRDefault="00B373FE" w:rsidP="009C4101">
      <w:pPr>
        <w:autoSpaceDE w:val="0"/>
        <w:autoSpaceDN w:val="0"/>
        <w:adjustRightInd w:val="0"/>
        <w:ind w:left="720" w:hanging="720"/>
        <w:jc w:val="both"/>
        <w:rPr>
          <w:rFonts w:cstheme="minorHAnsi"/>
        </w:rPr>
      </w:pPr>
      <w:r>
        <w:rPr>
          <w:rFonts w:cstheme="minorHAnsi"/>
        </w:rPr>
        <w:t>1.2</w:t>
      </w:r>
      <w:r>
        <w:rPr>
          <w:rFonts w:cstheme="minorHAnsi"/>
        </w:rPr>
        <w:tab/>
      </w:r>
      <w:r w:rsidRPr="00AC1B32">
        <w:rPr>
          <w:rFonts w:cstheme="minorHAnsi"/>
        </w:rPr>
        <w:t xml:space="preserve">Bond </w:t>
      </w:r>
      <w:r>
        <w:rPr>
          <w:rFonts w:cstheme="minorHAnsi"/>
        </w:rPr>
        <w:t>switches</w:t>
      </w:r>
      <w:r w:rsidRPr="00AC1B32">
        <w:rPr>
          <w:rFonts w:cstheme="minorHAnsi"/>
        </w:rPr>
        <w:t xml:space="preserve"> are usually held on a cash neutral basis and provide no additional funding to the issuer, but they affect the composition (maturity / interest rate) of the debt portfolio by changing the maturity structure of the debt portfolio.</w:t>
      </w:r>
    </w:p>
    <w:p w14:paraId="6C3B60BC" w14:textId="77777777" w:rsidR="00B373FE" w:rsidRDefault="00B373FE" w:rsidP="00B373FE">
      <w:pPr>
        <w:autoSpaceDE w:val="0"/>
        <w:autoSpaceDN w:val="0"/>
        <w:adjustRightInd w:val="0"/>
        <w:rPr>
          <w:rFonts w:cstheme="minorHAnsi"/>
        </w:rPr>
      </w:pPr>
    </w:p>
    <w:p w14:paraId="3CFB0D8C" w14:textId="77777777" w:rsidR="00B373FE" w:rsidRPr="00AC1B32" w:rsidRDefault="00B373FE" w:rsidP="00B373FE">
      <w:pPr>
        <w:autoSpaceDE w:val="0"/>
        <w:autoSpaceDN w:val="0"/>
        <w:adjustRightInd w:val="0"/>
        <w:rPr>
          <w:rFonts w:cstheme="minorHAnsi"/>
          <w:b/>
        </w:rPr>
      </w:pPr>
      <w:r w:rsidRPr="00AC1B32">
        <w:rPr>
          <w:rFonts w:cstheme="minorHAnsi"/>
          <w:b/>
        </w:rPr>
        <w:t>2.</w:t>
      </w:r>
      <w:r w:rsidRPr="00AC1B32">
        <w:rPr>
          <w:rFonts w:cstheme="minorHAnsi"/>
          <w:b/>
        </w:rPr>
        <w:tab/>
        <w:t>Policy Objective</w:t>
      </w:r>
      <w:r>
        <w:rPr>
          <w:rFonts w:cstheme="minorHAnsi"/>
          <w:b/>
        </w:rPr>
        <w:t>s</w:t>
      </w:r>
    </w:p>
    <w:p w14:paraId="06439A71" w14:textId="77777777" w:rsidR="00B373FE" w:rsidRPr="00AC1B32" w:rsidRDefault="00B373FE" w:rsidP="00B373FE">
      <w:pPr>
        <w:autoSpaceDE w:val="0"/>
        <w:autoSpaceDN w:val="0"/>
        <w:adjustRightInd w:val="0"/>
        <w:jc w:val="both"/>
        <w:rPr>
          <w:rFonts w:cstheme="minorHAnsi"/>
        </w:rPr>
      </w:pPr>
    </w:p>
    <w:p w14:paraId="27F28EF8" w14:textId="77777777" w:rsidR="00C5392A" w:rsidRDefault="00B373FE" w:rsidP="00C5392A">
      <w:pPr>
        <w:autoSpaceDE w:val="0"/>
        <w:autoSpaceDN w:val="0"/>
        <w:adjustRightInd w:val="0"/>
        <w:ind w:left="720" w:hanging="720"/>
        <w:jc w:val="both"/>
        <w:rPr>
          <w:rFonts w:cstheme="minorHAnsi"/>
        </w:rPr>
      </w:pPr>
      <w:r>
        <w:rPr>
          <w:rFonts w:cstheme="minorHAnsi"/>
        </w:rPr>
        <w:t>2.1</w:t>
      </w:r>
      <w:r>
        <w:rPr>
          <w:rFonts w:cstheme="minorHAnsi"/>
        </w:rPr>
        <w:tab/>
      </w:r>
      <w:r w:rsidRPr="00AC1B32">
        <w:rPr>
          <w:rFonts w:cstheme="minorHAnsi"/>
        </w:rPr>
        <w:t xml:space="preserve">The principal </w:t>
      </w:r>
      <w:r>
        <w:rPr>
          <w:rFonts w:cstheme="minorHAnsi"/>
        </w:rPr>
        <w:t>objective</w:t>
      </w:r>
      <w:r w:rsidRPr="00AC1B32">
        <w:rPr>
          <w:rFonts w:cstheme="minorHAnsi"/>
        </w:rPr>
        <w:t xml:space="preserve"> of bond </w:t>
      </w:r>
      <w:r>
        <w:rPr>
          <w:rFonts w:cstheme="minorHAnsi"/>
        </w:rPr>
        <w:t>switches</w:t>
      </w:r>
      <w:r w:rsidRPr="00AC1B32">
        <w:rPr>
          <w:rFonts w:cstheme="minorHAnsi"/>
        </w:rPr>
        <w:t xml:space="preserve"> </w:t>
      </w:r>
      <w:r>
        <w:rPr>
          <w:rFonts w:cstheme="minorHAnsi"/>
        </w:rPr>
        <w:t>is</w:t>
      </w:r>
      <w:r w:rsidRPr="00AC1B32">
        <w:rPr>
          <w:rFonts w:cstheme="minorHAnsi"/>
        </w:rPr>
        <w:t xml:space="preserve"> to mitigate refinancing risks </w:t>
      </w:r>
      <w:r>
        <w:rPr>
          <w:rFonts w:cstheme="minorHAnsi"/>
        </w:rPr>
        <w:t xml:space="preserve">in the short-term and/or to smoothen the redemption profile of the debt portfolio. Another objective, for which switch operations are used is </w:t>
      </w:r>
      <w:r w:rsidRPr="00AC1B32">
        <w:rPr>
          <w:rFonts w:cstheme="minorHAnsi"/>
        </w:rPr>
        <w:t xml:space="preserve">to </w:t>
      </w:r>
      <w:r>
        <w:rPr>
          <w:rFonts w:cstheme="minorHAnsi"/>
        </w:rPr>
        <w:t xml:space="preserve">retire illiquid bonds from the market and replace it with new liquid bonds. </w:t>
      </w:r>
      <w:r w:rsidR="00871837">
        <w:rPr>
          <w:rFonts w:cstheme="minorHAnsi"/>
        </w:rPr>
        <w:t xml:space="preserve">Figure 1 provide illustration of switch auctions </w:t>
      </w:r>
      <w:r w:rsidR="00C5392A">
        <w:rPr>
          <w:rFonts w:cstheme="minorHAnsi"/>
        </w:rPr>
        <w:t>undertaken during 2016/17 in South Africa by retiring bonds maturing within the next four years (source bonds) and replacing them with on-the-run bonds with maturities ranging between 10-32 years. Figure 2 on the other hand illustrates switch auction undertaken in Denmark in 2011 to replace a “off-the-run” bond (source bond) with a 10-year “on-the-run” bond.</w:t>
      </w:r>
    </w:p>
    <w:p w14:paraId="49324D39" w14:textId="77777777" w:rsidR="00C5392A" w:rsidRDefault="00C5392A" w:rsidP="00C5392A">
      <w:pPr>
        <w:autoSpaceDE w:val="0"/>
        <w:autoSpaceDN w:val="0"/>
        <w:adjustRightInd w:val="0"/>
        <w:jc w:val="both"/>
        <w:rPr>
          <w:rFonts w:cstheme="minorHAnsi"/>
        </w:rPr>
      </w:pPr>
    </w:p>
    <w:p w14:paraId="36FC849E" w14:textId="77777777" w:rsidR="00C5392A" w:rsidRDefault="00C5392A" w:rsidP="00C5392A">
      <w:pPr>
        <w:autoSpaceDE w:val="0"/>
        <w:autoSpaceDN w:val="0"/>
        <w:adjustRightInd w:val="0"/>
        <w:jc w:val="both"/>
        <w:rPr>
          <w:rFonts w:cstheme="minorHAnsi"/>
        </w:rPr>
      </w:pPr>
      <w:r>
        <w:rPr>
          <w:rFonts w:cstheme="minorHAnsi"/>
        </w:rPr>
        <w:t>2.2</w:t>
      </w:r>
      <w:r>
        <w:rPr>
          <w:rFonts w:cstheme="minorHAnsi"/>
        </w:rPr>
        <w:tab/>
        <w:t>Switch operations therefore serve</w:t>
      </w:r>
      <w:r w:rsidRPr="00AC1B32">
        <w:rPr>
          <w:rFonts w:cstheme="minorHAnsi"/>
        </w:rPr>
        <w:t xml:space="preserve"> as an important liability management operations (LMO) </w:t>
      </w:r>
    </w:p>
    <w:p w14:paraId="654281DA" w14:textId="7381007C" w:rsidR="00C5392A" w:rsidRDefault="00C5392A" w:rsidP="00C5392A">
      <w:pPr>
        <w:autoSpaceDE w:val="0"/>
        <w:autoSpaceDN w:val="0"/>
        <w:adjustRightInd w:val="0"/>
        <w:ind w:left="720"/>
        <w:jc w:val="both"/>
        <w:rPr>
          <w:rFonts w:cstheme="minorHAnsi"/>
        </w:rPr>
      </w:pPr>
      <w:r>
        <w:rPr>
          <w:rFonts w:cstheme="minorHAnsi"/>
        </w:rPr>
        <w:t xml:space="preserve">for </w:t>
      </w:r>
      <w:r w:rsidRPr="00AC1B32">
        <w:rPr>
          <w:rFonts w:cstheme="minorHAnsi"/>
        </w:rPr>
        <w:t>risk management and market development.</w:t>
      </w:r>
      <w:r>
        <w:rPr>
          <w:rFonts w:cstheme="minorHAnsi"/>
        </w:rPr>
        <w:t xml:space="preserve"> As such, both objectives result in </w:t>
      </w:r>
      <w:r w:rsidRPr="00AC1B32">
        <w:rPr>
          <w:rFonts w:cstheme="minorHAnsi"/>
        </w:rPr>
        <w:t>enhanc</w:t>
      </w:r>
      <w:r>
        <w:rPr>
          <w:rFonts w:cstheme="minorHAnsi"/>
        </w:rPr>
        <w:t>ing</w:t>
      </w:r>
      <w:r w:rsidRPr="00AC1B32">
        <w:rPr>
          <w:rFonts w:cstheme="minorHAnsi"/>
        </w:rPr>
        <w:t xml:space="preserve"> market liquidity, which are closely connected. </w:t>
      </w:r>
      <w:r>
        <w:rPr>
          <w:rFonts w:cstheme="minorHAnsi"/>
        </w:rPr>
        <w:t xml:space="preserve"> </w:t>
      </w:r>
    </w:p>
    <w:p w14:paraId="12CB46D5" w14:textId="0D1B240B" w:rsidR="00B373FE" w:rsidRPr="00C5392A" w:rsidRDefault="00B373FE" w:rsidP="00AF7D80">
      <w:pPr>
        <w:pStyle w:val="ListParagraph"/>
        <w:numPr>
          <w:ilvl w:val="0"/>
          <w:numId w:val="9"/>
        </w:numPr>
        <w:autoSpaceDE w:val="0"/>
        <w:autoSpaceDN w:val="0"/>
        <w:adjustRightInd w:val="0"/>
        <w:jc w:val="both"/>
        <w:rPr>
          <w:rFonts w:cstheme="minorHAnsi"/>
        </w:rPr>
      </w:pPr>
      <w:r w:rsidRPr="00C5392A">
        <w:rPr>
          <w:rFonts w:cstheme="minorHAnsi"/>
        </w:rPr>
        <w:t xml:space="preserve">On the one hand, the gradual buyback of bonds as they approach maturity mitigates the refinancing risk to the issuer, and, as a result, enables the issuance of benchmarks of a larger size. </w:t>
      </w:r>
    </w:p>
    <w:p w14:paraId="1B691A92" w14:textId="77777777" w:rsidR="00B373FE" w:rsidRPr="00AC1B32" w:rsidRDefault="00B373FE" w:rsidP="00AF7D80">
      <w:pPr>
        <w:pStyle w:val="ListParagraph"/>
        <w:numPr>
          <w:ilvl w:val="0"/>
          <w:numId w:val="9"/>
        </w:numPr>
        <w:autoSpaceDE w:val="0"/>
        <w:autoSpaceDN w:val="0"/>
        <w:adjustRightInd w:val="0"/>
        <w:jc w:val="both"/>
        <w:rPr>
          <w:rFonts w:cstheme="minorHAnsi"/>
        </w:rPr>
      </w:pPr>
      <w:r w:rsidRPr="00AC1B32">
        <w:rPr>
          <w:rFonts w:cstheme="minorHAnsi"/>
        </w:rPr>
        <w:t>On the other hand, retiring illiquid off-the-run bonds from the market offers additional issuance opportunities, which enables the faster building of benchmarks. Most issuances involve re-opening of bonds. In both cases, market liquidity is enhanced</w:t>
      </w:r>
      <w:r>
        <w:rPr>
          <w:rFonts w:cstheme="minorHAnsi"/>
        </w:rPr>
        <w:t>, which may result in higher bond prices and therefore contributing to lower funding cost for the government</w:t>
      </w:r>
      <w:r w:rsidRPr="00AC1B32">
        <w:rPr>
          <w:rFonts w:cstheme="minorHAnsi"/>
        </w:rPr>
        <w:t>.</w:t>
      </w:r>
    </w:p>
    <w:p w14:paraId="2A2D0791" w14:textId="77777777" w:rsidR="00B373FE" w:rsidRPr="00AC1B32" w:rsidRDefault="00B373FE" w:rsidP="00B373FE">
      <w:pPr>
        <w:pStyle w:val="ListParagraph"/>
        <w:autoSpaceDE w:val="0"/>
        <w:autoSpaceDN w:val="0"/>
        <w:adjustRightInd w:val="0"/>
        <w:jc w:val="both"/>
        <w:rPr>
          <w:rFonts w:cstheme="minorHAnsi"/>
        </w:rPr>
      </w:pPr>
    </w:p>
    <w:p w14:paraId="1C8805D1" w14:textId="77777777" w:rsidR="00B373FE" w:rsidRPr="00AC1B32" w:rsidRDefault="00B373FE" w:rsidP="00B373FE">
      <w:pPr>
        <w:autoSpaceDE w:val="0"/>
        <w:autoSpaceDN w:val="0"/>
        <w:adjustRightInd w:val="0"/>
        <w:jc w:val="both"/>
        <w:rPr>
          <w:rFonts w:cstheme="minorHAnsi"/>
        </w:rPr>
      </w:pPr>
      <w:r>
        <w:rPr>
          <w:rFonts w:cstheme="minorHAnsi"/>
        </w:rPr>
        <w:t>2.2</w:t>
      </w:r>
      <w:r>
        <w:rPr>
          <w:rFonts w:cstheme="minorHAnsi"/>
        </w:rPr>
        <w:tab/>
      </w:r>
      <w:r w:rsidRPr="00AC1B32">
        <w:rPr>
          <w:rFonts w:cstheme="minorHAnsi"/>
        </w:rPr>
        <w:t xml:space="preserve">Other potential benefits of bond </w:t>
      </w:r>
      <w:r>
        <w:rPr>
          <w:rFonts w:cstheme="minorHAnsi"/>
        </w:rPr>
        <w:t>switches</w:t>
      </w:r>
      <w:r w:rsidRPr="00AC1B32">
        <w:rPr>
          <w:rFonts w:cstheme="minorHAnsi"/>
        </w:rPr>
        <w:t xml:space="preserve"> include:</w:t>
      </w:r>
    </w:p>
    <w:p w14:paraId="2953E8FC" w14:textId="77777777" w:rsidR="00B373FE" w:rsidRDefault="00B373FE" w:rsidP="00AF7D80">
      <w:pPr>
        <w:pStyle w:val="ListParagraph"/>
        <w:numPr>
          <w:ilvl w:val="0"/>
          <w:numId w:val="10"/>
        </w:numPr>
        <w:autoSpaceDE w:val="0"/>
        <w:autoSpaceDN w:val="0"/>
        <w:adjustRightInd w:val="0"/>
        <w:jc w:val="both"/>
        <w:rPr>
          <w:rFonts w:cstheme="minorHAnsi"/>
        </w:rPr>
      </w:pPr>
      <w:r w:rsidRPr="00AC1B32">
        <w:rPr>
          <w:rFonts w:cstheme="minorHAnsi"/>
        </w:rPr>
        <w:t xml:space="preserve">Correct distortions in the secondary market due to </w:t>
      </w:r>
      <w:r>
        <w:rPr>
          <w:rFonts w:cstheme="minorHAnsi"/>
        </w:rPr>
        <w:t>c</w:t>
      </w:r>
      <w:r w:rsidRPr="00AC1B32">
        <w:rPr>
          <w:rFonts w:cstheme="minorHAnsi"/>
        </w:rPr>
        <w:t xml:space="preserve">entral </w:t>
      </w:r>
      <w:r>
        <w:rPr>
          <w:rFonts w:cstheme="minorHAnsi"/>
        </w:rPr>
        <w:t>b</w:t>
      </w:r>
      <w:r w:rsidRPr="00AC1B32">
        <w:rPr>
          <w:rFonts w:cstheme="minorHAnsi"/>
        </w:rPr>
        <w:t>ank purchases of government securities</w:t>
      </w:r>
      <w:r>
        <w:rPr>
          <w:rStyle w:val="FootnoteReference"/>
          <w:rFonts w:cstheme="minorHAnsi"/>
        </w:rPr>
        <w:footnoteReference w:id="1"/>
      </w:r>
      <w:r w:rsidRPr="00AC1B32">
        <w:rPr>
          <w:rFonts w:cstheme="minorHAnsi"/>
        </w:rPr>
        <w:t>.</w:t>
      </w:r>
    </w:p>
    <w:p w14:paraId="131DDF05" w14:textId="77777777" w:rsidR="00B373FE" w:rsidRPr="00AC1B32" w:rsidRDefault="00B373FE" w:rsidP="00AF7D80">
      <w:pPr>
        <w:pStyle w:val="ListParagraph"/>
        <w:numPr>
          <w:ilvl w:val="0"/>
          <w:numId w:val="10"/>
        </w:numPr>
        <w:autoSpaceDE w:val="0"/>
        <w:autoSpaceDN w:val="0"/>
        <w:adjustRightInd w:val="0"/>
        <w:jc w:val="both"/>
        <w:rPr>
          <w:rFonts w:cstheme="minorHAnsi"/>
        </w:rPr>
      </w:pPr>
      <w:r w:rsidRPr="00AC1B32">
        <w:rPr>
          <w:rFonts w:cstheme="minorHAnsi"/>
        </w:rPr>
        <w:t xml:space="preserve">The availability of additional opportunities for issuance enables increased stability and regularity in the issuance calendar. </w:t>
      </w:r>
    </w:p>
    <w:p w14:paraId="7C0183A0" w14:textId="77777777" w:rsidR="00B373FE" w:rsidRPr="00AC1B32" w:rsidRDefault="00B373FE" w:rsidP="00AF7D80">
      <w:pPr>
        <w:pStyle w:val="ListParagraph"/>
        <w:numPr>
          <w:ilvl w:val="0"/>
          <w:numId w:val="10"/>
        </w:numPr>
        <w:autoSpaceDE w:val="0"/>
        <w:autoSpaceDN w:val="0"/>
        <w:adjustRightInd w:val="0"/>
        <w:jc w:val="both"/>
        <w:rPr>
          <w:rFonts w:cstheme="minorHAnsi"/>
        </w:rPr>
      </w:pPr>
      <w:r w:rsidRPr="00AC1B32">
        <w:rPr>
          <w:rFonts w:cstheme="minorHAnsi"/>
        </w:rPr>
        <w:t xml:space="preserve">The ability to retire from the market undervalued bonds and to refinance high-coupon bonds enables the correction of market distortions and the ability to book budget savings. </w:t>
      </w:r>
    </w:p>
    <w:p w14:paraId="612395E5" w14:textId="77777777" w:rsidR="00B373FE" w:rsidRPr="00AC1B32" w:rsidRDefault="00B373FE" w:rsidP="00AF7D80">
      <w:pPr>
        <w:pStyle w:val="ListParagraph"/>
        <w:numPr>
          <w:ilvl w:val="0"/>
          <w:numId w:val="10"/>
        </w:numPr>
        <w:autoSpaceDE w:val="0"/>
        <w:autoSpaceDN w:val="0"/>
        <w:adjustRightInd w:val="0"/>
        <w:jc w:val="both"/>
        <w:rPr>
          <w:rFonts w:cstheme="minorHAnsi"/>
        </w:rPr>
      </w:pPr>
      <w:r>
        <w:rPr>
          <w:rFonts w:cstheme="minorHAnsi"/>
        </w:rPr>
        <w:lastRenderedPageBreak/>
        <w:t>C</w:t>
      </w:r>
      <w:r w:rsidRPr="00AC1B32">
        <w:rPr>
          <w:rFonts w:cstheme="minorHAnsi"/>
        </w:rPr>
        <w:t xml:space="preserve">ontribute to stabilizing the market during periods of stress by restoring price transparency. </w:t>
      </w:r>
    </w:p>
    <w:p w14:paraId="2D3A6D4D" w14:textId="6541871E" w:rsidR="00B373FE" w:rsidRDefault="00B373FE" w:rsidP="00B373FE">
      <w:pPr>
        <w:autoSpaceDE w:val="0"/>
        <w:autoSpaceDN w:val="0"/>
        <w:adjustRightInd w:val="0"/>
        <w:rPr>
          <w:rFonts w:cstheme="minorHAnsi"/>
        </w:rPr>
      </w:pPr>
    </w:p>
    <w:p w14:paraId="04BC92B8" w14:textId="77777777" w:rsidR="000834E3" w:rsidRDefault="000834E3">
      <w:pPr>
        <w:rPr>
          <w:rFonts w:cstheme="minorHAnsi"/>
        </w:rPr>
      </w:pPr>
      <w:r>
        <w:rPr>
          <w:rFonts w:cstheme="minorHAnsi"/>
        </w:rPr>
        <w:br w:type="page"/>
      </w:r>
    </w:p>
    <w:p w14:paraId="1DD7D902" w14:textId="56D40A70" w:rsidR="000834E3" w:rsidRDefault="000834E3" w:rsidP="000834E3">
      <w:pPr>
        <w:autoSpaceDE w:val="0"/>
        <w:autoSpaceDN w:val="0"/>
        <w:adjustRightInd w:val="0"/>
        <w:rPr>
          <w:rFonts w:cstheme="minorHAnsi"/>
        </w:rPr>
      </w:pPr>
      <w:r>
        <w:rPr>
          <w:rFonts w:cstheme="minorHAnsi"/>
        </w:rPr>
        <w:lastRenderedPageBreak/>
        <w:t>Figure 1: Illustration of Switch Auctions in South Africa during 2016/17</w:t>
      </w:r>
    </w:p>
    <w:p w14:paraId="1FA15995" w14:textId="0BF67C61" w:rsidR="000834E3" w:rsidRDefault="000834E3" w:rsidP="000834E3">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4676"/>
        <w:gridCol w:w="4900"/>
      </w:tblGrid>
      <w:tr w:rsidR="000834E3" w14:paraId="11EAB547" w14:textId="77777777" w:rsidTr="00871837">
        <w:tc>
          <w:tcPr>
            <w:tcW w:w="4565" w:type="dxa"/>
          </w:tcPr>
          <w:p w14:paraId="22593DF0" w14:textId="27F49BFF" w:rsidR="000834E3" w:rsidRDefault="000834E3" w:rsidP="000834E3">
            <w:pPr>
              <w:autoSpaceDE w:val="0"/>
              <w:autoSpaceDN w:val="0"/>
              <w:adjustRightInd w:val="0"/>
              <w:rPr>
                <w:rFonts w:cstheme="minorHAnsi"/>
              </w:rPr>
            </w:pPr>
            <w:r>
              <w:rPr>
                <w:rFonts w:cstheme="minorHAnsi"/>
              </w:rPr>
              <w:t xml:space="preserve">Amount of Source Bonds Switched (R bn.) </w:t>
            </w:r>
          </w:p>
        </w:tc>
        <w:tc>
          <w:tcPr>
            <w:tcW w:w="4785" w:type="dxa"/>
          </w:tcPr>
          <w:p w14:paraId="54A9D204" w14:textId="3BDC00B1" w:rsidR="000834E3" w:rsidRDefault="00871837" w:rsidP="000834E3">
            <w:pPr>
              <w:autoSpaceDE w:val="0"/>
              <w:autoSpaceDN w:val="0"/>
              <w:adjustRightInd w:val="0"/>
              <w:rPr>
                <w:rFonts w:cstheme="minorHAnsi"/>
              </w:rPr>
            </w:pPr>
            <w:r>
              <w:rPr>
                <w:rFonts w:cstheme="minorHAnsi"/>
              </w:rPr>
              <w:t>Allocation of Destination Bonds Switched (%)</w:t>
            </w:r>
          </w:p>
        </w:tc>
      </w:tr>
      <w:tr w:rsidR="000834E3" w14:paraId="3B910085" w14:textId="77777777" w:rsidTr="00871837">
        <w:trPr>
          <w:trHeight w:val="4311"/>
        </w:trPr>
        <w:tc>
          <w:tcPr>
            <w:tcW w:w="4565" w:type="dxa"/>
            <w:tcBorders>
              <w:bottom w:val="single" w:sz="4" w:space="0" w:color="auto"/>
            </w:tcBorders>
          </w:tcPr>
          <w:p w14:paraId="743925C1" w14:textId="476E4EAE" w:rsidR="000834E3" w:rsidRDefault="000834E3" w:rsidP="000834E3">
            <w:pPr>
              <w:autoSpaceDE w:val="0"/>
              <w:autoSpaceDN w:val="0"/>
              <w:adjustRightInd w:val="0"/>
              <w:rPr>
                <w:rFonts w:cstheme="minorHAnsi"/>
              </w:rPr>
            </w:pPr>
            <w:r w:rsidRPr="000E391E">
              <w:rPr>
                <w:rFonts w:cstheme="minorHAnsi"/>
                <w:noProof/>
                <w:lang w:eastAsia="en-US"/>
              </w:rPr>
              <w:drawing>
                <wp:inline distT="0" distB="0" distL="0" distR="0" wp14:anchorId="6DCD3303" wp14:editId="742AF711">
                  <wp:extent cx="2847340" cy="2657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1307" cy="2661177"/>
                          </a:xfrm>
                          <a:prstGeom prst="rect">
                            <a:avLst/>
                          </a:prstGeom>
                          <a:noFill/>
                          <a:ln>
                            <a:noFill/>
                          </a:ln>
                        </pic:spPr>
                      </pic:pic>
                    </a:graphicData>
                  </a:graphic>
                </wp:inline>
              </w:drawing>
            </w:r>
          </w:p>
        </w:tc>
        <w:tc>
          <w:tcPr>
            <w:tcW w:w="4785" w:type="dxa"/>
            <w:tcBorders>
              <w:bottom w:val="single" w:sz="4" w:space="0" w:color="auto"/>
            </w:tcBorders>
          </w:tcPr>
          <w:p w14:paraId="4F6A4976" w14:textId="730DADF2" w:rsidR="000834E3" w:rsidRDefault="000834E3" w:rsidP="000834E3">
            <w:pPr>
              <w:autoSpaceDE w:val="0"/>
              <w:autoSpaceDN w:val="0"/>
              <w:adjustRightInd w:val="0"/>
              <w:rPr>
                <w:rFonts w:cstheme="minorHAnsi"/>
              </w:rPr>
            </w:pPr>
            <w:r w:rsidRPr="000834E3">
              <w:rPr>
                <w:rFonts w:cstheme="minorHAnsi"/>
                <w:noProof/>
                <w:lang w:eastAsia="en-US"/>
              </w:rPr>
              <w:drawing>
                <wp:inline distT="0" distB="0" distL="0" distR="0" wp14:anchorId="6ED71C37" wp14:editId="4D625B32">
                  <wp:extent cx="2988310" cy="2657475"/>
                  <wp:effectExtent l="0" t="0" r="254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4755" cy="2680992"/>
                          </a:xfrm>
                          <a:prstGeom prst="rect">
                            <a:avLst/>
                          </a:prstGeom>
                          <a:noFill/>
                          <a:ln>
                            <a:noFill/>
                          </a:ln>
                        </pic:spPr>
                      </pic:pic>
                    </a:graphicData>
                  </a:graphic>
                </wp:inline>
              </w:drawing>
            </w:r>
          </w:p>
        </w:tc>
      </w:tr>
      <w:tr w:rsidR="00871837" w:rsidRPr="00871837" w14:paraId="566FC473" w14:textId="77777777" w:rsidTr="00871837">
        <w:tc>
          <w:tcPr>
            <w:tcW w:w="9350" w:type="dxa"/>
            <w:gridSpan w:val="2"/>
            <w:tcBorders>
              <w:top w:val="single" w:sz="4" w:space="0" w:color="auto"/>
              <w:left w:val="nil"/>
              <w:bottom w:val="nil"/>
              <w:right w:val="nil"/>
            </w:tcBorders>
          </w:tcPr>
          <w:p w14:paraId="2479243B" w14:textId="29DFA48F" w:rsidR="00871837" w:rsidRPr="00871837" w:rsidRDefault="00871837" w:rsidP="000834E3">
            <w:pPr>
              <w:autoSpaceDE w:val="0"/>
              <w:autoSpaceDN w:val="0"/>
              <w:adjustRightInd w:val="0"/>
              <w:rPr>
                <w:rFonts w:cstheme="minorHAnsi"/>
                <w:sz w:val="20"/>
                <w:szCs w:val="20"/>
              </w:rPr>
            </w:pPr>
            <w:r w:rsidRPr="00871837">
              <w:rPr>
                <w:rFonts w:cstheme="minorHAnsi"/>
                <w:sz w:val="20"/>
                <w:szCs w:val="20"/>
              </w:rPr>
              <w:t>Source: Debt Management Report, 2016-17, South African National Treasury</w:t>
            </w:r>
          </w:p>
        </w:tc>
      </w:tr>
    </w:tbl>
    <w:p w14:paraId="0A0E4126" w14:textId="77777777" w:rsidR="000834E3" w:rsidRPr="00871837" w:rsidRDefault="000834E3" w:rsidP="000834E3">
      <w:pPr>
        <w:autoSpaceDE w:val="0"/>
        <w:autoSpaceDN w:val="0"/>
        <w:adjustRightInd w:val="0"/>
        <w:rPr>
          <w:rFonts w:cstheme="minorHAnsi"/>
          <w:sz w:val="20"/>
          <w:szCs w:val="20"/>
        </w:rPr>
      </w:pPr>
    </w:p>
    <w:p w14:paraId="19B0F7D4" w14:textId="06AB5769" w:rsidR="00E210CE" w:rsidRDefault="00B373FE" w:rsidP="00B373FE">
      <w:pPr>
        <w:autoSpaceDE w:val="0"/>
        <w:autoSpaceDN w:val="0"/>
        <w:adjustRightInd w:val="0"/>
        <w:rPr>
          <w:rFonts w:cstheme="minorHAnsi"/>
        </w:rPr>
      </w:pPr>
      <w:r>
        <w:rPr>
          <w:rFonts w:cstheme="minorHAnsi"/>
        </w:rPr>
        <w:t xml:space="preserve">Figure </w:t>
      </w:r>
      <w:r w:rsidR="00871837">
        <w:rPr>
          <w:rFonts w:cstheme="minorHAnsi"/>
        </w:rPr>
        <w:t>2</w:t>
      </w:r>
      <w:r>
        <w:rPr>
          <w:rFonts w:cstheme="minorHAnsi"/>
        </w:rPr>
        <w:t xml:space="preserve">: Illustration of a Switch Auction </w:t>
      </w:r>
      <w:r w:rsidR="00871837">
        <w:rPr>
          <w:rFonts w:cstheme="minorHAnsi"/>
        </w:rPr>
        <w:t xml:space="preserve">in 2011 </w:t>
      </w:r>
      <w:r>
        <w:rPr>
          <w:rFonts w:cstheme="minorHAnsi"/>
        </w:rPr>
        <w:t xml:space="preserve">to </w:t>
      </w:r>
      <w:r w:rsidR="00E210CE">
        <w:rPr>
          <w:rFonts w:cstheme="minorHAnsi"/>
        </w:rPr>
        <w:t>Replace off-the-run benchmark bond with an on-the-run 10-year benchmark bond</w:t>
      </w:r>
      <w:r w:rsidR="00871837">
        <w:rPr>
          <w:rFonts w:cstheme="minorHAnsi"/>
        </w:rPr>
        <w:t xml:space="preserve"> in Denmark</w:t>
      </w:r>
    </w:p>
    <w:p w14:paraId="317DC243" w14:textId="77777777" w:rsidR="00E210CE" w:rsidRDefault="00E210CE" w:rsidP="00B373FE">
      <w:pPr>
        <w:autoSpaceDE w:val="0"/>
        <w:autoSpaceDN w:val="0"/>
        <w:adjustRightInd w:val="0"/>
        <w:rPr>
          <w:rFonts w:cstheme="minorHAnsi"/>
        </w:rPr>
      </w:pPr>
    </w:p>
    <w:p w14:paraId="774757E7" w14:textId="51E9CF15" w:rsidR="00B373FE" w:rsidRPr="00FF0D12" w:rsidRDefault="00E210CE" w:rsidP="00B373FE">
      <w:pPr>
        <w:autoSpaceDE w:val="0"/>
        <w:autoSpaceDN w:val="0"/>
        <w:adjustRightInd w:val="0"/>
        <w:rPr>
          <w:rFonts w:cstheme="minorHAnsi"/>
        </w:rPr>
      </w:pPr>
      <w:r>
        <w:rPr>
          <w:rFonts w:cstheme="minorHAnsi"/>
          <w:noProof/>
          <w:lang w:eastAsia="en-US"/>
        </w:rPr>
        <w:drawing>
          <wp:inline distT="0" distB="0" distL="0" distR="0" wp14:anchorId="346D4448" wp14:editId="0DA018F3">
            <wp:extent cx="5372100" cy="3114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3114675"/>
                    </a:xfrm>
                    <a:prstGeom prst="rect">
                      <a:avLst/>
                    </a:prstGeom>
                    <a:noFill/>
                    <a:ln>
                      <a:noFill/>
                    </a:ln>
                  </pic:spPr>
                </pic:pic>
              </a:graphicData>
            </a:graphic>
          </wp:inline>
        </w:drawing>
      </w:r>
      <w:r w:rsidR="00B373FE">
        <w:rPr>
          <w:rFonts w:cstheme="minorHAnsi"/>
        </w:rPr>
        <w:t xml:space="preserve"> </w:t>
      </w:r>
    </w:p>
    <w:p w14:paraId="1E38348A" w14:textId="0C2070D9" w:rsidR="00871837" w:rsidRPr="00871837" w:rsidRDefault="00871837" w:rsidP="00B373FE">
      <w:pPr>
        <w:rPr>
          <w:rFonts w:cstheme="minorHAnsi"/>
          <w:sz w:val="20"/>
          <w:szCs w:val="20"/>
        </w:rPr>
      </w:pPr>
      <w:r w:rsidRPr="00871837">
        <w:rPr>
          <w:rFonts w:cstheme="minorHAnsi"/>
          <w:sz w:val="20"/>
          <w:szCs w:val="20"/>
        </w:rPr>
        <w:t>Source: Government Debt Management, Danmarks Nationalbank</w:t>
      </w:r>
    </w:p>
    <w:p w14:paraId="6FC79C7D" w14:textId="77777777" w:rsidR="00871837" w:rsidRDefault="00871837" w:rsidP="00B373FE">
      <w:pPr>
        <w:rPr>
          <w:rFonts w:cstheme="minorHAnsi"/>
          <w:b/>
        </w:rPr>
      </w:pPr>
    </w:p>
    <w:p w14:paraId="357FE729" w14:textId="6D444994" w:rsidR="00B373FE" w:rsidRPr="00FF0D12" w:rsidRDefault="00B373FE" w:rsidP="00B373FE">
      <w:pPr>
        <w:rPr>
          <w:rFonts w:cstheme="minorHAnsi"/>
          <w:b/>
        </w:rPr>
      </w:pPr>
      <w:r w:rsidRPr="00FF0D12">
        <w:rPr>
          <w:rFonts w:cstheme="minorHAnsi"/>
          <w:b/>
        </w:rPr>
        <w:t>3.</w:t>
      </w:r>
      <w:r w:rsidRPr="00FF0D12">
        <w:rPr>
          <w:rFonts w:cstheme="minorHAnsi"/>
          <w:b/>
        </w:rPr>
        <w:tab/>
        <w:t>Organization of Bond Switches</w:t>
      </w:r>
    </w:p>
    <w:p w14:paraId="72058622" w14:textId="77777777" w:rsidR="00B373FE" w:rsidRDefault="00B373FE" w:rsidP="00B373FE">
      <w:pPr>
        <w:autoSpaceDE w:val="0"/>
        <w:autoSpaceDN w:val="0"/>
        <w:adjustRightInd w:val="0"/>
        <w:ind w:left="720" w:hanging="720"/>
        <w:jc w:val="both"/>
        <w:rPr>
          <w:rFonts w:cstheme="minorHAnsi"/>
        </w:rPr>
      </w:pPr>
    </w:p>
    <w:p w14:paraId="06D3CE9D" w14:textId="13A9BEB3" w:rsidR="00B373FE" w:rsidRPr="00FF0D12" w:rsidRDefault="00B373FE" w:rsidP="00B373FE">
      <w:pPr>
        <w:autoSpaceDE w:val="0"/>
        <w:autoSpaceDN w:val="0"/>
        <w:adjustRightInd w:val="0"/>
        <w:ind w:left="720" w:hanging="720"/>
        <w:jc w:val="both"/>
        <w:rPr>
          <w:rFonts w:cstheme="minorHAnsi"/>
        </w:rPr>
      </w:pPr>
      <w:r w:rsidRPr="00FF0D12">
        <w:rPr>
          <w:rFonts w:cstheme="minorHAnsi"/>
        </w:rPr>
        <w:t>3.1</w:t>
      </w:r>
      <w:r w:rsidRPr="00FF0D12">
        <w:rPr>
          <w:rFonts w:cstheme="minorHAnsi"/>
        </w:rPr>
        <w:tab/>
        <w:t>Bond switches can be done in five ways: a tender at a fixed exchange ratio, an auction, an auction combined with a tender</w:t>
      </w:r>
      <w:r>
        <w:rPr>
          <w:rFonts w:cstheme="minorHAnsi"/>
        </w:rPr>
        <w:t xml:space="preserve"> offer</w:t>
      </w:r>
      <w:r w:rsidRPr="00FF0D12">
        <w:rPr>
          <w:rFonts w:cstheme="minorHAnsi"/>
        </w:rPr>
        <w:t xml:space="preserve">, two separate auctions, and a bilateral exchange </w:t>
      </w:r>
      <w:r w:rsidRPr="00FF0D12">
        <w:rPr>
          <w:rFonts w:cstheme="minorHAnsi"/>
        </w:rPr>
        <w:lastRenderedPageBreak/>
        <w:t>based on negotiated prices</w:t>
      </w:r>
      <w:r>
        <w:rPr>
          <w:rStyle w:val="FootnoteReference"/>
          <w:rFonts w:cstheme="minorHAnsi"/>
        </w:rPr>
        <w:footnoteReference w:id="2"/>
      </w:r>
      <w:r w:rsidRPr="00FF0D12">
        <w:rPr>
          <w:rFonts w:cstheme="minorHAnsi"/>
        </w:rPr>
        <w:t>. This paper focuses on switch auctions based on competitive bidding by various counterparties which is typically done through primary dealers</w:t>
      </w:r>
      <w:r>
        <w:rPr>
          <w:rFonts w:cstheme="minorHAnsi"/>
        </w:rPr>
        <w:t xml:space="preserve"> (PDs)</w:t>
      </w:r>
      <w:r w:rsidRPr="00FF0D12">
        <w:rPr>
          <w:rFonts w:cstheme="minorHAnsi"/>
        </w:rPr>
        <w:t xml:space="preserve">.  </w:t>
      </w:r>
    </w:p>
    <w:p w14:paraId="06AA11CA" w14:textId="77777777" w:rsidR="00B373FE" w:rsidRDefault="00B373FE" w:rsidP="00B373FE">
      <w:pPr>
        <w:autoSpaceDE w:val="0"/>
        <w:autoSpaceDN w:val="0"/>
        <w:adjustRightInd w:val="0"/>
        <w:rPr>
          <w:rFonts w:cstheme="minorHAnsi"/>
          <w:b/>
        </w:rPr>
      </w:pPr>
    </w:p>
    <w:p w14:paraId="45792110" w14:textId="745E8A9C" w:rsidR="00B373FE" w:rsidRDefault="00B373FE" w:rsidP="00B373FE">
      <w:pPr>
        <w:autoSpaceDE w:val="0"/>
        <w:autoSpaceDN w:val="0"/>
        <w:adjustRightInd w:val="0"/>
        <w:rPr>
          <w:rFonts w:cstheme="minorHAnsi"/>
          <w:b/>
        </w:rPr>
      </w:pPr>
      <w:r>
        <w:rPr>
          <w:rFonts w:cstheme="minorHAnsi"/>
          <w:b/>
        </w:rPr>
        <w:t>4</w:t>
      </w:r>
      <w:r w:rsidRPr="007006AC">
        <w:rPr>
          <w:rFonts w:cstheme="minorHAnsi"/>
          <w:b/>
        </w:rPr>
        <w:t>.</w:t>
      </w:r>
      <w:r w:rsidRPr="007006AC">
        <w:rPr>
          <w:rFonts w:cstheme="minorHAnsi"/>
          <w:b/>
        </w:rPr>
        <w:tab/>
        <w:t xml:space="preserve">Impact of </w:t>
      </w:r>
      <w:r w:rsidR="002958D2">
        <w:rPr>
          <w:rFonts w:cstheme="minorHAnsi"/>
          <w:b/>
        </w:rPr>
        <w:t>B</w:t>
      </w:r>
      <w:r w:rsidRPr="007006AC">
        <w:rPr>
          <w:rFonts w:cstheme="minorHAnsi"/>
          <w:b/>
        </w:rPr>
        <w:t xml:space="preserve">ond </w:t>
      </w:r>
      <w:r w:rsidR="002958D2">
        <w:rPr>
          <w:rFonts w:cstheme="minorHAnsi"/>
          <w:b/>
        </w:rPr>
        <w:t xml:space="preserve">Switches </w:t>
      </w:r>
      <w:r>
        <w:rPr>
          <w:rFonts w:cstheme="minorHAnsi"/>
          <w:b/>
        </w:rPr>
        <w:t xml:space="preserve">on </w:t>
      </w:r>
      <w:r w:rsidR="002958D2">
        <w:rPr>
          <w:rFonts w:cstheme="minorHAnsi"/>
          <w:b/>
        </w:rPr>
        <w:t>C</w:t>
      </w:r>
      <w:r>
        <w:rPr>
          <w:rFonts w:cstheme="minorHAnsi"/>
          <w:b/>
        </w:rPr>
        <w:t>ounterparties</w:t>
      </w:r>
    </w:p>
    <w:p w14:paraId="52F642DF" w14:textId="77777777" w:rsidR="00B373FE" w:rsidRDefault="00B373FE" w:rsidP="00B373FE">
      <w:pPr>
        <w:autoSpaceDE w:val="0"/>
        <w:autoSpaceDN w:val="0"/>
        <w:adjustRightInd w:val="0"/>
        <w:rPr>
          <w:rFonts w:cstheme="minorHAnsi"/>
          <w:b/>
        </w:rPr>
      </w:pPr>
    </w:p>
    <w:p w14:paraId="4C70399B" w14:textId="77777777" w:rsidR="00B373FE" w:rsidRPr="00581643" w:rsidRDefault="00B373FE" w:rsidP="00B373FE">
      <w:pPr>
        <w:autoSpaceDE w:val="0"/>
        <w:autoSpaceDN w:val="0"/>
        <w:adjustRightInd w:val="0"/>
        <w:rPr>
          <w:rFonts w:cstheme="minorHAnsi"/>
        </w:rPr>
      </w:pPr>
      <w:r w:rsidRPr="00B97958">
        <w:rPr>
          <w:rFonts w:cstheme="minorHAnsi"/>
        </w:rPr>
        <w:t>4.1</w:t>
      </w:r>
      <w:r w:rsidRPr="00B97958">
        <w:rPr>
          <w:rFonts w:cstheme="minorHAnsi"/>
        </w:rPr>
        <w:tab/>
        <w:t>Impact for investors:</w:t>
      </w:r>
    </w:p>
    <w:p w14:paraId="085ECBEC" w14:textId="77777777" w:rsidR="00B373FE" w:rsidRPr="00581643" w:rsidRDefault="00B373FE" w:rsidP="00AF7D80">
      <w:pPr>
        <w:pStyle w:val="ListParagraph"/>
        <w:numPr>
          <w:ilvl w:val="0"/>
          <w:numId w:val="11"/>
        </w:numPr>
        <w:autoSpaceDE w:val="0"/>
        <w:autoSpaceDN w:val="0"/>
        <w:adjustRightInd w:val="0"/>
        <w:jc w:val="both"/>
        <w:rPr>
          <w:rFonts w:cstheme="minorHAnsi"/>
        </w:rPr>
      </w:pPr>
      <w:r w:rsidRPr="00581643">
        <w:rPr>
          <w:rFonts w:cstheme="minorHAnsi"/>
        </w:rPr>
        <w:t>A bond exchange attracts only those investors who are interested in both selling the old bond and acquiring the new one. Th</w:t>
      </w:r>
      <w:r>
        <w:rPr>
          <w:rFonts w:cstheme="minorHAnsi"/>
        </w:rPr>
        <w:t>e requirement to match the exchange of specific bonds for various investor needs</w:t>
      </w:r>
      <w:r w:rsidRPr="00581643">
        <w:rPr>
          <w:rFonts w:cstheme="minorHAnsi"/>
        </w:rPr>
        <w:t xml:space="preserve"> may dampen investor demand in such transactions</w:t>
      </w:r>
      <w:r w:rsidRPr="00581643">
        <w:rPr>
          <w:rStyle w:val="FootnoteReference"/>
          <w:rFonts w:cstheme="minorHAnsi"/>
        </w:rPr>
        <w:footnoteReference w:id="3"/>
      </w:r>
      <w:r w:rsidRPr="00581643">
        <w:rPr>
          <w:rFonts w:cstheme="minorHAnsi"/>
        </w:rPr>
        <w:t>.</w:t>
      </w:r>
    </w:p>
    <w:p w14:paraId="37C1E3B1" w14:textId="77777777" w:rsidR="00B373FE" w:rsidRPr="00581643" w:rsidRDefault="00B373FE" w:rsidP="00AF7D80">
      <w:pPr>
        <w:pStyle w:val="ListParagraph"/>
        <w:numPr>
          <w:ilvl w:val="0"/>
          <w:numId w:val="11"/>
        </w:numPr>
        <w:autoSpaceDE w:val="0"/>
        <w:autoSpaceDN w:val="0"/>
        <w:adjustRightInd w:val="0"/>
        <w:jc w:val="both"/>
        <w:rPr>
          <w:rFonts w:cstheme="minorHAnsi"/>
        </w:rPr>
      </w:pPr>
      <w:r w:rsidRPr="00581643">
        <w:rPr>
          <w:rFonts w:cstheme="minorHAnsi"/>
        </w:rPr>
        <w:t>The investors have no interest rate or execution risk because the reinvestment of their funds is automatic</w:t>
      </w:r>
      <w:r w:rsidRPr="00581643">
        <w:rPr>
          <w:rStyle w:val="FootnoteReference"/>
          <w:rFonts w:cstheme="minorHAnsi"/>
        </w:rPr>
        <w:footnoteReference w:id="4"/>
      </w:r>
      <w:r w:rsidRPr="00581643">
        <w:rPr>
          <w:rFonts w:cstheme="minorHAnsi"/>
        </w:rPr>
        <w:t xml:space="preserve">. </w:t>
      </w:r>
    </w:p>
    <w:p w14:paraId="2448D7AB" w14:textId="77777777" w:rsidR="00B373FE" w:rsidRPr="00AC1B32" w:rsidRDefault="00B373FE" w:rsidP="00AF7D80">
      <w:pPr>
        <w:pStyle w:val="ListParagraph"/>
        <w:numPr>
          <w:ilvl w:val="0"/>
          <w:numId w:val="11"/>
        </w:numPr>
        <w:autoSpaceDE w:val="0"/>
        <w:autoSpaceDN w:val="0"/>
        <w:adjustRightInd w:val="0"/>
        <w:jc w:val="both"/>
        <w:rPr>
          <w:rFonts w:cstheme="minorHAnsi"/>
        </w:rPr>
      </w:pPr>
      <w:r>
        <w:rPr>
          <w:rFonts w:cstheme="minorHAnsi"/>
        </w:rPr>
        <w:t>Switches</w:t>
      </w:r>
      <w:r w:rsidRPr="00AC1B32">
        <w:rPr>
          <w:rFonts w:cstheme="minorHAnsi"/>
        </w:rPr>
        <w:t xml:space="preserve"> may help investors in restructuring their portfolio (e.g., when a bond is included in a bond index and is bid strongly as a result). </w:t>
      </w:r>
    </w:p>
    <w:p w14:paraId="198670D9" w14:textId="77777777" w:rsidR="00B373FE" w:rsidRPr="00AC1B32" w:rsidRDefault="00B373FE" w:rsidP="00AF7D80">
      <w:pPr>
        <w:pStyle w:val="ListParagraph"/>
        <w:numPr>
          <w:ilvl w:val="0"/>
          <w:numId w:val="11"/>
        </w:numPr>
        <w:autoSpaceDE w:val="0"/>
        <w:autoSpaceDN w:val="0"/>
        <w:adjustRightInd w:val="0"/>
        <w:jc w:val="both"/>
        <w:rPr>
          <w:rFonts w:cstheme="minorHAnsi"/>
        </w:rPr>
      </w:pPr>
      <w:r w:rsidRPr="00AC1B32">
        <w:rPr>
          <w:rFonts w:cstheme="minorHAnsi"/>
        </w:rPr>
        <w:t>However, a</w:t>
      </w:r>
      <w:r>
        <w:rPr>
          <w:rFonts w:cstheme="minorHAnsi"/>
        </w:rPr>
        <w:t xml:space="preserve"> switch</w:t>
      </w:r>
      <w:r w:rsidRPr="00AC1B32">
        <w:rPr>
          <w:rFonts w:cstheme="minorHAnsi"/>
        </w:rPr>
        <w:t xml:space="preserve"> alters the duration of the debt when the two bonds involved do not have a similar remaining life to maturity. It can be an unintended consequence of the operation, in which case investors may be reluctant to utilize exchanges to avoid any unintended alteration of the duration of their portfolio. </w:t>
      </w:r>
      <w:r>
        <w:rPr>
          <w:rFonts w:cstheme="minorHAnsi"/>
        </w:rPr>
        <w:t>To avoid this, some countries with developed debt market offers switch auction with duration neutrality.</w:t>
      </w:r>
    </w:p>
    <w:p w14:paraId="55A3F160" w14:textId="77777777" w:rsidR="00B373FE" w:rsidRPr="00FF0D12" w:rsidRDefault="00B373FE" w:rsidP="00B373FE">
      <w:pPr>
        <w:autoSpaceDE w:val="0"/>
        <w:autoSpaceDN w:val="0"/>
        <w:adjustRightInd w:val="0"/>
        <w:rPr>
          <w:rFonts w:cstheme="minorHAnsi"/>
        </w:rPr>
      </w:pPr>
    </w:p>
    <w:p w14:paraId="0D6FC0BA" w14:textId="77777777" w:rsidR="00B373FE" w:rsidRPr="00CB5B82" w:rsidRDefault="00B373FE" w:rsidP="00B373FE">
      <w:pPr>
        <w:autoSpaceDE w:val="0"/>
        <w:autoSpaceDN w:val="0"/>
        <w:adjustRightInd w:val="0"/>
        <w:ind w:left="720" w:hanging="720"/>
        <w:jc w:val="both"/>
        <w:rPr>
          <w:rFonts w:cstheme="minorHAnsi"/>
        </w:rPr>
      </w:pPr>
      <w:r w:rsidRPr="00FF0D12">
        <w:rPr>
          <w:rFonts w:cstheme="minorHAnsi"/>
        </w:rPr>
        <w:t>4.2.</w:t>
      </w:r>
      <w:r w:rsidRPr="00FF0D12">
        <w:rPr>
          <w:rFonts w:cstheme="minorHAnsi"/>
        </w:rPr>
        <w:tab/>
        <w:t xml:space="preserve">Impact for </w:t>
      </w:r>
      <w:r>
        <w:rPr>
          <w:rFonts w:cstheme="minorHAnsi"/>
        </w:rPr>
        <w:t>issuer or Debt Management Office (DMO)</w:t>
      </w:r>
      <w:r w:rsidRPr="00FF0D12">
        <w:rPr>
          <w:rFonts w:cstheme="minorHAnsi"/>
        </w:rPr>
        <w:t>:</w:t>
      </w:r>
      <w:r>
        <w:rPr>
          <w:rFonts w:cstheme="minorHAnsi"/>
        </w:rPr>
        <w:t xml:space="preserve"> </w:t>
      </w:r>
      <w:r w:rsidRPr="00CB5B82">
        <w:rPr>
          <w:rFonts w:cstheme="minorHAnsi"/>
        </w:rPr>
        <w:t>A switch operation</w:t>
      </w:r>
      <w:r>
        <w:rPr>
          <w:rFonts w:cstheme="minorHAnsi"/>
        </w:rPr>
        <w:t>,</w:t>
      </w:r>
      <w:r w:rsidRPr="00CB5B82">
        <w:rPr>
          <w:rFonts w:cstheme="minorHAnsi"/>
        </w:rPr>
        <w:t xml:space="preserve"> like buybacks</w:t>
      </w:r>
      <w:r>
        <w:rPr>
          <w:rFonts w:cstheme="minorHAnsi"/>
        </w:rPr>
        <w:t>,</w:t>
      </w:r>
      <w:r w:rsidRPr="00CB5B82">
        <w:rPr>
          <w:rFonts w:cstheme="minorHAnsi"/>
        </w:rPr>
        <w:t xml:space="preserve"> exposes the issuer to four risks: </w:t>
      </w:r>
    </w:p>
    <w:p w14:paraId="134152AD" w14:textId="77777777" w:rsidR="00B373FE" w:rsidRDefault="00B373FE" w:rsidP="00AF7D80">
      <w:pPr>
        <w:pStyle w:val="ListParagraph"/>
        <w:numPr>
          <w:ilvl w:val="0"/>
          <w:numId w:val="12"/>
        </w:numPr>
        <w:autoSpaceDE w:val="0"/>
        <w:autoSpaceDN w:val="0"/>
        <w:adjustRightInd w:val="0"/>
        <w:jc w:val="both"/>
        <w:rPr>
          <w:rFonts w:cstheme="minorHAnsi"/>
        </w:rPr>
      </w:pPr>
      <w:r>
        <w:rPr>
          <w:rFonts w:cstheme="minorHAnsi"/>
        </w:rPr>
        <w:t>M</w:t>
      </w:r>
      <w:r w:rsidRPr="00772D9C">
        <w:rPr>
          <w:rFonts w:cstheme="minorHAnsi"/>
        </w:rPr>
        <w:t>arket price manipulation after the announcement of the operation.</w:t>
      </w:r>
      <w:r>
        <w:rPr>
          <w:rFonts w:cstheme="minorHAnsi"/>
        </w:rPr>
        <w:t xml:space="preserve"> This could be especially relevant </w:t>
      </w:r>
      <w:r w:rsidRPr="00581643">
        <w:rPr>
          <w:rFonts w:cstheme="minorHAnsi"/>
        </w:rPr>
        <w:t>in case of price movements between the</w:t>
      </w:r>
      <w:r>
        <w:rPr>
          <w:rFonts w:cstheme="minorHAnsi"/>
        </w:rPr>
        <w:t xml:space="preserve"> </w:t>
      </w:r>
      <w:r w:rsidRPr="00581643">
        <w:rPr>
          <w:rFonts w:cstheme="minorHAnsi"/>
        </w:rPr>
        <w:t>announcement of, and the close of, the operation</w:t>
      </w:r>
      <w:r>
        <w:rPr>
          <w:rFonts w:cstheme="minorHAnsi"/>
        </w:rPr>
        <w:t xml:space="preserve"> leading to market risks</w:t>
      </w:r>
      <w:r w:rsidRPr="00581643">
        <w:rPr>
          <w:rFonts w:ascii="Times New Roman" w:hAnsi="Times New Roman" w:cs="Times New Roman"/>
        </w:rPr>
        <w:t>.</w:t>
      </w:r>
      <w:r>
        <w:rPr>
          <w:rFonts w:ascii="Times New Roman" w:hAnsi="Times New Roman" w:cs="Times New Roman"/>
        </w:rPr>
        <w:t xml:space="preserve"> This is the main risk that DMOs consider in respect of switch operations.</w:t>
      </w:r>
    </w:p>
    <w:p w14:paraId="4C0D65AD" w14:textId="77777777" w:rsidR="00B373FE" w:rsidRDefault="00B373FE" w:rsidP="00AF7D80">
      <w:pPr>
        <w:pStyle w:val="ListParagraph"/>
        <w:numPr>
          <w:ilvl w:val="0"/>
          <w:numId w:val="12"/>
        </w:numPr>
        <w:autoSpaceDE w:val="0"/>
        <w:autoSpaceDN w:val="0"/>
        <w:adjustRightInd w:val="0"/>
        <w:jc w:val="both"/>
        <w:rPr>
          <w:rFonts w:cstheme="minorHAnsi"/>
        </w:rPr>
      </w:pPr>
      <w:r w:rsidRPr="00772D9C">
        <w:rPr>
          <w:rFonts w:cstheme="minorHAnsi"/>
        </w:rPr>
        <w:t xml:space="preserve">The budgetary cost if a premium has to be paid to obtain a significant amount of the source bond. </w:t>
      </w:r>
    </w:p>
    <w:p w14:paraId="39028BD8" w14:textId="77777777" w:rsidR="00B373FE" w:rsidRDefault="00B373FE" w:rsidP="00AF7D80">
      <w:pPr>
        <w:pStyle w:val="ListParagraph"/>
        <w:numPr>
          <w:ilvl w:val="0"/>
          <w:numId w:val="12"/>
        </w:numPr>
        <w:autoSpaceDE w:val="0"/>
        <w:autoSpaceDN w:val="0"/>
        <w:adjustRightInd w:val="0"/>
        <w:jc w:val="both"/>
        <w:rPr>
          <w:rFonts w:cstheme="minorHAnsi"/>
        </w:rPr>
      </w:pPr>
      <w:r w:rsidRPr="00772D9C">
        <w:rPr>
          <w:rFonts w:cstheme="minorHAnsi"/>
        </w:rPr>
        <w:t>The possibility of locking in an unattractive forward rate for the acquired bond.</w:t>
      </w:r>
    </w:p>
    <w:p w14:paraId="31BBA9D2" w14:textId="77777777" w:rsidR="00B373FE" w:rsidRPr="00772D9C" w:rsidRDefault="00B373FE" w:rsidP="00AF7D80">
      <w:pPr>
        <w:pStyle w:val="ListParagraph"/>
        <w:numPr>
          <w:ilvl w:val="0"/>
          <w:numId w:val="12"/>
        </w:numPr>
        <w:autoSpaceDE w:val="0"/>
        <w:autoSpaceDN w:val="0"/>
        <w:adjustRightInd w:val="0"/>
        <w:jc w:val="both"/>
        <w:rPr>
          <w:rFonts w:cstheme="minorHAnsi"/>
        </w:rPr>
      </w:pPr>
      <w:r w:rsidRPr="00772D9C">
        <w:rPr>
          <w:rFonts w:cstheme="minorHAnsi"/>
        </w:rPr>
        <w:t xml:space="preserve">A “reputation risk” if the operation is not successful due to lack of market interest. </w:t>
      </w:r>
    </w:p>
    <w:p w14:paraId="076EBAA7" w14:textId="77777777" w:rsidR="00B373FE" w:rsidRPr="00CB5B82" w:rsidRDefault="00B373FE" w:rsidP="00B373FE">
      <w:pPr>
        <w:autoSpaceDE w:val="0"/>
        <w:autoSpaceDN w:val="0"/>
        <w:adjustRightInd w:val="0"/>
        <w:rPr>
          <w:rFonts w:cstheme="minorHAnsi"/>
        </w:rPr>
      </w:pPr>
    </w:p>
    <w:p w14:paraId="2E2A6CE5" w14:textId="77777777" w:rsidR="00B373FE" w:rsidRDefault="00B373FE" w:rsidP="00B373FE">
      <w:pPr>
        <w:autoSpaceDE w:val="0"/>
        <w:autoSpaceDN w:val="0"/>
        <w:adjustRightInd w:val="0"/>
        <w:jc w:val="both"/>
        <w:rPr>
          <w:rFonts w:cstheme="minorHAnsi"/>
        </w:rPr>
      </w:pPr>
      <w:r w:rsidRPr="005007F5">
        <w:rPr>
          <w:rFonts w:cstheme="minorHAnsi"/>
        </w:rPr>
        <w:t>4.3</w:t>
      </w:r>
      <w:r w:rsidRPr="005007F5">
        <w:rPr>
          <w:rFonts w:cstheme="minorHAnsi"/>
        </w:rPr>
        <w:tab/>
        <w:t xml:space="preserve">To manage market expectations and associated risks, many DMOs announce that they </w:t>
      </w:r>
    </w:p>
    <w:p w14:paraId="3DFB5895" w14:textId="30725B6F" w:rsidR="00B373FE" w:rsidRPr="005007F5" w:rsidRDefault="00B373FE" w:rsidP="00B373FE">
      <w:pPr>
        <w:autoSpaceDE w:val="0"/>
        <w:autoSpaceDN w:val="0"/>
        <w:adjustRightInd w:val="0"/>
        <w:ind w:left="720"/>
        <w:jc w:val="both"/>
        <w:rPr>
          <w:rFonts w:cstheme="minorHAnsi"/>
        </w:rPr>
      </w:pPr>
      <w:r w:rsidRPr="005007F5">
        <w:rPr>
          <w:rFonts w:cstheme="minorHAnsi"/>
        </w:rPr>
        <w:t>have no target amount to exchange or buy back because their principal concern is to be of service to</w:t>
      </w:r>
      <w:r>
        <w:rPr>
          <w:rFonts w:cstheme="minorHAnsi"/>
        </w:rPr>
        <w:t xml:space="preserve"> </w:t>
      </w:r>
      <w:r w:rsidRPr="005007F5">
        <w:rPr>
          <w:rFonts w:cstheme="minorHAnsi"/>
        </w:rPr>
        <w:t>investors by offering them an efficient way to rebalance their securities portfolio. A specific way to address market manipulation by the DMO is to assess the quality of the prices offered by the market by reference to the price levels prevailing in the market before</w:t>
      </w:r>
      <w:r>
        <w:rPr>
          <w:rFonts w:cstheme="minorHAnsi"/>
        </w:rPr>
        <w:t xml:space="preserve"> </w:t>
      </w:r>
      <w:r w:rsidRPr="005007F5">
        <w:rPr>
          <w:rFonts w:cstheme="minorHAnsi"/>
        </w:rPr>
        <w:t>the announcement of the</w:t>
      </w:r>
      <w:r>
        <w:rPr>
          <w:rFonts w:cstheme="minorHAnsi"/>
        </w:rPr>
        <w:t xml:space="preserve"> </w:t>
      </w:r>
      <w:r w:rsidRPr="005007F5">
        <w:rPr>
          <w:rFonts w:cstheme="minorHAnsi"/>
        </w:rPr>
        <w:t>transaction.</w:t>
      </w:r>
      <w:r>
        <w:rPr>
          <w:rFonts w:cstheme="minorHAnsi"/>
        </w:rPr>
        <w:t xml:space="preserve"> Active consultation with the PDs </w:t>
      </w:r>
      <w:r>
        <w:rPr>
          <w:rFonts w:cstheme="minorHAnsi"/>
        </w:rPr>
        <w:lastRenderedPageBreak/>
        <w:t>on the selection of source and destination bonds involved in the switch operations could facilitate management of reputation risk.</w:t>
      </w:r>
    </w:p>
    <w:p w14:paraId="6E8223A5" w14:textId="77777777" w:rsidR="00B373FE" w:rsidRPr="00FF0D12" w:rsidRDefault="00B373FE" w:rsidP="00B373FE">
      <w:pPr>
        <w:autoSpaceDE w:val="0"/>
        <w:autoSpaceDN w:val="0"/>
        <w:adjustRightInd w:val="0"/>
        <w:rPr>
          <w:rFonts w:cstheme="minorHAnsi"/>
        </w:rPr>
      </w:pPr>
    </w:p>
    <w:p w14:paraId="119E50C7" w14:textId="77777777" w:rsidR="00B373FE" w:rsidRPr="00EB7282" w:rsidRDefault="00B373FE" w:rsidP="00B373FE">
      <w:pPr>
        <w:rPr>
          <w:b/>
        </w:rPr>
      </w:pPr>
      <w:r w:rsidRPr="00EB7282">
        <w:rPr>
          <w:b/>
        </w:rPr>
        <w:t>5.</w:t>
      </w:r>
      <w:r w:rsidRPr="00EB7282">
        <w:rPr>
          <w:b/>
        </w:rPr>
        <w:tab/>
      </w:r>
      <w:r w:rsidRPr="00EB7282">
        <w:rPr>
          <w:rFonts w:cstheme="minorHAnsi"/>
          <w:b/>
        </w:rPr>
        <w:t>Selection of Bonds</w:t>
      </w:r>
      <w:r>
        <w:rPr>
          <w:rFonts w:cstheme="minorHAnsi"/>
          <w:b/>
        </w:rPr>
        <w:t xml:space="preserve"> for Switch Auctions</w:t>
      </w:r>
    </w:p>
    <w:p w14:paraId="1D30B706" w14:textId="77777777" w:rsidR="00B373FE" w:rsidRDefault="00B373FE" w:rsidP="00B373FE">
      <w:pPr>
        <w:ind w:left="720" w:hanging="720"/>
        <w:jc w:val="both"/>
        <w:rPr>
          <w:rFonts w:cstheme="minorHAnsi"/>
        </w:rPr>
      </w:pPr>
    </w:p>
    <w:p w14:paraId="018DA210" w14:textId="2CA0502E" w:rsidR="00B373FE" w:rsidRPr="005007F5" w:rsidRDefault="00B373FE" w:rsidP="00B373FE">
      <w:pPr>
        <w:ind w:left="720" w:hanging="720"/>
        <w:jc w:val="both"/>
      </w:pPr>
      <w:r>
        <w:rPr>
          <w:rFonts w:cstheme="minorHAnsi"/>
        </w:rPr>
        <w:t>5.1</w:t>
      </w:r>
      <w:r>
        <w:rPr>
          <w:rFonts w:cstheme="minorHAnsi"/>
        </w:rPr>
        <w:tab/>
        <w:t xml:space="preserve">Selection of Source Bonds for Managing Refinancing Risk: </w:t>
      </w:r>
      <w:r w:rsidRPr="00EB7282">
        <w:t xml:space="preserve">For managing refinancing risks through switch auctions, the source bonds are usually offered for exchange </w:t>
      </w:r>
      <w:r>
        <w:t xml:space="preserve">a certain number of times </w:t>
      </w:r>
      <w:r w:rsidRPr="00EB7282">
        <w:t xml:space="preserve">usually </w:t>
      </w:r>
      <w:r>
        <w:t>12-</w:t>
      </w:r>
      <w:r w:rsidRPr="00EB7282">
        <w:t>18 months before their maturity date.</w:t>
      </w:r>
      <w:r>
        <w:t xml:space="preserve"> </w:t>
      </w:r>
      <w:r w:rsidRPr="005007F5">
        <w:rPr>
          <w:rFonts w:cstheme="minorHAnsi"/>
        </w:rPr>
        <w:t xml:space="preserve">The average reduction in the refinancing risk on the final maturity date of large benchmark bonds is between 30 and 40 percent of the total issued amount. </w:t>
      </w:r>
    </w:p>
    <w:p w14:paraId="6379F0E9" w14:textId="77777777" w:rsidR="00B373FE" w:rsidRDefault="00B373FE" w:rsidP="00B373FE">
      <w:pPr>
        <w:ind w:left="720" w:hanging="720"/>
        <w:jc w:val="both"/>
        <w:rPr>
          <w:rFonts w:cstheme="minorHAnsi"/>
        </w:rPr>
      </w:pPr>
    </w:p>
    <w:p w14:paraId="318EE308" w14:textId="70EA3180" w:rsidR="00B373FE" w:rsidRPr="00EA3199" w:rsidRDefault="00B373FE" w:rsidP="00B373FE">
      <w:pPr>
        <w:ind w:left="720" w:hanging="720"/>
        <w:jc w:val="both"/>
        <w:rPr>
          <w:rFonts w:cstheme="minorHAnsi"/>
        </w:rPr>
      </w:pPr>
      <w:r w:rsidRPr="00EA3199">
        <w:rPr>
          <w:rFonts w:cstheme="minorHAnsi"/>
        </w:rPr>
        <w:t>5.2</w:t>
      </w:r>
      <w:r w:rsidRPr="00EA3199">
        <w:rPr>
          <w:rFonts w:cstheme="minorHAnsi"/>
        </w:rPr>
        <w:tab/>
        <w:t>Selection of Source Bonds for Retiring Illiquid Bonds: For illiquid bonds, the securities</w:t>
      </w:r>
      <w:r>
        <w:rPr>
          <w:rFonts w:cstheme="minorHAnsi"/>
        </w:rPr>
        <w:t xml:space="preserve"> </w:t>
      </w:r>
      <w:r w:rsidRPr="00EA3199">
        <w:rPr>
          <w:rFonts w:cstheme="minorHAnsi"/>
        </w:rPr>
        <w:t>selected for the switch operations are usually chosen by the DMO after consulting with the market, usually PDs.</w:t>
      </w:r>
    </w:p>
    <w:p w14:paraId="472260D1" w14:textId="77777777" w:rsidR="00B373FE" w:rsidRDefault="00B373FE" w:rsidP="00B373FE">
      <w:pPr>
        <w:autoSpaceDE w:val="0"/>
        <w:autoSpaceDN w:val="0"/>
        <w:adjustRightInd w:val="0"/>
        <w:ind w:left="720" w:hanging="720"/>
        <w:jc w:val="both"/>
        <w:rPr>
          <w:rFonts w:cstheme="minorHAnsi"/>
        </w:rPr>
      </w:pPr>
    </w:p>
    <w:p w14:paraId="51A86B9E" w14:textId="581C0CC2" w:rsidR="00B373FE" w:rsidRDefault="00B373FE" w:rsidP="00B373FE">
      <w:pPr>
        <w:autoSpaceDE w:val="0"/>
        <w:autoSpaceDN w:val="0"/>
        <w:adjustRightInd w:val="0"/>
        <w:ind w:left="720" w:hanging="720"/>
        <w:jc w:val="both"/>
      </w:pPr>
      <w:r>
        <w:rPr>
          <w:rFonts w:cstheme="minorHAnsi"/>
        </w:rPr>
        <w:t>5.3</w:t>
      </w:r>
      <w:r>
        <w:rPr>
          <w:rFonts w:cstheme="minorHAnsi"/>
        </w:rPr>
        <w:tab/>
        <w:t xml:space="preserve">Source bonds typically does not include “on-the-run” issues or benchmark bonds as it may act counter to developing or maintaining a benchmark yield curve. </w:t>
      </w:r>
      <w:r>
        <w:t>Source bonds are therefore “off-the-run bonds” which are less liquid.</w:t>
      </w:r>
    </w:p>
    <w:p w14:paraId="45357D34" w14:textId="77777777" w:rsidR="00B373FE" w:rsidRDefault="00B373FE" w:rsidP="00B373FE">
      <w:pPr>
        <w:autoSpaceDE w:val="0"/>
        <w:autoSpaceDN w:val="0"/>
        <w:adjustRightInd w:val="0"/>
        <w:ind w:left="720" w:hanging="720"/>
        <w:jc w:val="both"/>
        <w:rPr>
          <w:rFonts w:cstheme="minorHAnsi"/>
        </w:rPr>
      </w:pPr>
      <w:r>
        <w:rPr>
          <w:rFonts w:cstheme="minorHAnsi"/>
        </w:rPr>
        <w:t xml:space="preserve"> </w:t>
      </w:r>
    </w:p>
    <w:p w14:paraId="30110C28" w14:textId="77777777" w:rsidR="00B373FE" w:rsidRDefault="00B373FE" w:rsidP="00B373FE">
      <w:pPr>
        <w:autoSpaceDE w:val="0"/>
        <w:autoSpaceDN w:val="0"/>
        <w:adjustRightInd w:val="0"/>
        <w:ind w:left="720" w:hanging="720"/>
        <w:jc w:val="both"/>
        <w:rPr>
          <w:rFonts w:cstheme="minorHAnsi"/>
        </w:rPr>
      </w:pPr>
      <w:r>
        <w:rPr>
          <w:rFonts w:cstheme="minorHAnsi"/>
        </w:rPr>
        <w:t>5.4</w:t>
      </w:r>
      <w:r>
        <w:rPr>
          <w:rFonts w:cstheme="minorHAnsi"/>
        </w:rPr>
        <w:tab/>
        <w:t>Some countries also use high-coupon bonds as source bonds.</w:t>
      </w:r>
    </w:p>
    <w:p w14:paraId="190C3353" w14:textId="77777777" w:rsidR="00B373FE" w:rsidRDefault="00B373FE" w:rsidP="00B373FE">
      <w:pPr>
        <w:autoSpaceDE w:val="0"/>
        <w:autoSpaceDN w:val="0"/>
        <w:adjustRightInd w:val="0"/>
        <w:ind w:left="720" w:hanging="720"/>
        <w:jc w:val="both"/>
        <w:rPr>
          <w:rFonts w:cstheme="minorHAnsi"/>
        </w:rPr>
      </w:pPr>
    </w:p>
    <w:p w14:paraId="0419B400" w14:textId="77777777" w:rsidR="00B373FE" w:rsidRDefault="00B373FE" w:rsidP="00B373FE">
      <w:pPr>
        <w:autoSpaceDE w:val="0"/>
        <w:autoSpaceDN w:val="0"/>
        <w:adjustRightInd w:val="0"/>
        <w:ind w:left="720" w:hanging="720"/>
        <w:jc w:val="both"/>
        <w:rPr>
          <w:rFonts w:cstheme="minorHAnsi"/>
        </w:rPr>
      </w:pPr>
      <w:r>
        <w:rPr>
          <w:rFonts w:cstheme="minorHAnsi"/>
        </w:rPr>
        <w:t>5.5</w:t>
      </w:r>
      <w:r>
        <w:rPr>
          <w:rFonts w:cstheme="minorHAnsi"/>
        </w:rPr>
        <w:tab/>
      </w:r>
      <w:r w:rsidRPr="00772D9C">
        <w:rPr>
          <w:rFonts w:cstheme="minorHAnsi"/>
        </w:rPr>
        <w:t>When retiring a bond from the market, a few DMOs inform the market that they will</w:t>
      </w:r>
      <w:r>
        <w:rPr>
          <w:rFonts w:cstheme="minorHAnsi"/>
        </w:rPr>
        <w:t xml:space="preserve"> </w:t>
      </w:r>
      <w:r w:rsidRPr="00772D9C">
        <w:rPr>
          <w:rFonts w:cstheme="minorHAnsi"/>
        </w:rPr>
        <w:t xml:space="preserve">maintain a sufficient size of the outstanding bond to ensure a minimum tradability. </w:t>
      </w:r>
      <w:r>
        <w:rPr>
          <w:rFonts w:cstheme="minorHAnsi"/>
        </w:rPr>
        <w:t xml:space="preserve">This is </w:t>
      </w:r>
      <w:r w:rsidRPr="00772D9C">
        <w:rPr>
          <w:rFonts w:cstheme="minorHAnsi"/>
        </w:rPr>
        <w:t>to avoid giving investors</w:t>
      </w:r>
      <w:r>
        <w:rPr>
          <w:rFonts w:cstheme="minorHAnsi"/>
        </w:rPr>
        <w:t xml:space="preserve"> </w:t>
      </w:r>
      <w:r w:rsidRPr="00772D9C">
        <w:rPr>
          <w:rFonts w:cstheme="minorHAnsi"/>
        </w:rPr>
        <w:t xml:space="preserve">the sentiment that they are being trapped. </w:t>
      </w:r>
      <w:r>
        <w:rPr>
          <w:rFonts w:cstheme="minorHAnsi"/>
        </w:rPr>
        <w:t>However, such</w:t>
      </w:r>
      <w:r w:rsidRPr="00772D9C">
        <w:rPr>
          <w:rFonts w:cstheme="minorHAnsi"/>
        </w:rPr>
        <w:t xml:space="preserve"> announcement can be</w:t>
      </w:r>
      <w:r>
        <w:rPr>
          <w:rFonts w:cstheme="minorHAnsi"/>
        </w:rPr>
        <w:t xml:space="preserve"> </w:t>
      </w:r>
      <w:r w:rsidRPr="00772D9C">
        <w:rPr>
          <w:rFonts w:cstheme="minorHAnsi"/>
        </w:rPr>
        <w:t>counterproductive because the risk of confronting an altogether illiquid market is an</w:t>
      </w:r>
      <w:r>
        <w:rPr>
          <w:rFonts w:cstheme="minorHAnsi"/>
        </w:rPr>
        <w:t xml:space="preserve"> </w:t>
      </w:r>
      <w:r w:rsidRPr="00772D9C">
        <w:rPr>
          <w:rFonts w:cstheme="minorHAnsi"/>
        </w:rPr>
        <w:t>incentive for investors to sell the relevant securities. The offer of a buyback window for</w:t>
      </w:r>
      <w:r>
        <w:rPr>
          <w:rFonts w:cstheme="minorHAnsi"/>
        </w:rPr>
        <w:t xml:space="preserve"> </w:t>
      </w:r>
      <w:r w:rsidRPr="00772D9C">
        <w:rPr>
          <w:rFonts w:cstheme="minorHAnsi"/>
        </w:rPr>
        <w:t>investors who want to sell after bond buyback and exchange operations have ended is</w:t>
      </w:r>
      <w:r>
        <w:rPr>
          <w:rFonts w:cstheme="minorHAnsi"/>
        </w:rPr>
        <w:t xml:space="preserve"> </w:t>
      </w:r>
      <w:r w:rsidRPr="00772D9C">
        <w:rPr>
          <w:rFonts w:cstheme="minorHAnsi"/>
        </w:rPr>
        <w:t>perhaps a better procedure. It offers investors a way out, but the price is at the DMO’s</w:t>
      </w:r>
      <w:r>
        <w:rPr>
          <w:rFonts w:cstheme="minorHAnsi"/>
        </w:rPr>
        <w:t xml:space="preserve"> </w:t>
      </w:r>
      <w:r w:rsidRPr="00772D9C">
        <w:rPr>
          <w:rFonts w:cstheme="minorHAnsi"/>
        </w:rPr>
        <w:t>discretion.</w:t>
      </w:r>
    </w:p>
    <w:p w14:paraId="691B03FE" w14:textId="77777777" w:rsidR="00B373FE" w:rsidRDefault="00B373FE" w:rsidP="00B373FE">
      <w:pPr>
        <w:autoSpaceDE w:val="0"/>
        <w:autoSpaceDN w:val="0"/>
        <w:adjustRightInd w:val="0"/>
        <w:ind w:left="720" w:hanging="720"/>
        <w:jc w:val="both"/>
      </w:pPr>
    </w:p>
    <w:p w14:paraId="4C75169E" w14:textId="77777777" w:rsidR="00B373FE" w:rsidRPr="00581643" w:rsidRDefault="00B373FE" w:rsidP="00B373FE">
      <w:pPr>
        <w:autoSpaceDE w:val="0"/>
        <w:autoSpaceDN w:val="0"/>
        <w:adjustRightInd w:val="0"/>
        <w:ind w:left="720" w:hanging="720"/>
        <w:jc w:val="both"/>
        <w:rPr>
          <w:rFonts w:cstheme="minorHAnsi"/>
        </w:rPr>
      </w:pPr>
      <w:r>
        <w:t>5.6</w:t>
      </w:r>
      <w:r>
        <w:tab/>
        <w:t xml:space="preserve">Selection of Destination Bonds: Most countries typically issue the destination bond by re-opening an “on-the-run” bond. To manage refinancing risk, the destination bond being issued should have at least the same remaining maturity as the source bound being retired, although the prevalent practice by countries is to typically issue long-term benchmark bonds to lengthen the maturity of the debt profile through a switch operation. Another consideration for selecting a destination bond is to ensure that the coupon rates are not much off-market based on the prevailing interest rates as that may dampen investor demand in such bonds.  </w:t>
      </w:r>
    </w:p>
    <w:p w14:paraId="42F18217" w14:textId="77777777" w:rsidR="00B373FE" w:rsidRDefault="00B373FE" w:rsidP="00B373FE">
      <w:pPr>
        <w:ind w:left="720" w:hanging="720"/>
        <w:rPr>
          <w:b/>
        </w:rPr>
      </w:pPr>
    </w:p>
    <w:p w14:paraId="46188C43" w14:textId="77777777" w:rsidR="00B373FE" w:rsidRPr="00E8475A" w:rsidRDefault="00B373FE" w:rsidP="00B373FE">
      <w:pPr>
        <w:ind w:left="720" w:hanging="720"/>
        <w:rPr>
          <w:b/>
        </w:rPr>
      </w:pPr>
      <w:r w:rsidRPr="00E8475A">
        <w:rPr>
          <w:b/>
        </w:rPr>
        <w:t>6.</w:t>
      </w:r>
      <w:r w:rsidRPr="00E8475A">
        <w:rPr>
          <w:b/>
        </w:rPr>
        <w:tab/>
        <w:t>Choice between Switch Auctions and Buybacks</w:t>
      </w:r>
    </w:p>
    <w:p w14:paraId="648363B7" w14:textId="77777777" w:rsidR="00B373FE" w:rsidRDefault="00B373FE" w:rsidP="00B373FE">
      <w:pPr>
        <w:autoSpaceDE w:val="0"/>
        <w:autoSpaceDN w:val="0"/>
        <w:adjustRightInd w:val="0"/>
        <w:ind w:left="720" w:hanging="720"/>
        <w:jc w:val="both"/>
        <w:rPr>
          <w:rFonts w:cstheme="minorHAnsi"/>
        </w:rPr>
      </w:pPr>
    </w:p>
    <w:p w14:paraId="36C9D35D" w14:textId="0CE912D0" w:rsidR="00B373FE" w:rsidRPr="0018243F" w:rsidRDefault="00B373FE" w:rsidP="00B373FE">
      <w:pPr>
        <w:autoSpaceDE w:val="0"/>
        <w:autoSpaceDN w:val="0"/>
        <w:adjustRightInd w:val="0"/>
        <w:ind w:left="720" w:hanging="720"/>
        <w:jc w:val="both"/>
        <w:rPr>
          <w:rFonts w:cstheme="minorHAnsi"/>
        </w:rPr>
      </w:pPr>
      <w:r>
        <w:rPr>
          <w:rFonts w:cstheme="minorHAnsi"/>
        </w:rPr>
        <w:t>6.1</w:t>
      </w:r>
      <w:r>
        <w:rPr>
          <w:rFonts w:cstheme="minorHAnsi"/>
        </w:rPr>
        <w:tab/>
      </w:r>
      <w:r w:rsidRPr="0018243F">
        <w:rPr>
          <w:rFonts w:cstheme="minorHAnsi"/>
        </w:rPr>
        <w:t xml:space="preserve">For </w:t>
      </w:r>
      <w:r>
        <w:rPr>
          <w:rFonts w:cstheme="minorHAnsi"/>
        </w:rPr>
        <w:t xml:space="preserve">countries using both bond switches and buybacks as part of their LMO, </w:t>
      </w:r>
      <w:r w:rsidRPr="0018243F">
        <w:rPr>
          <w:rFonts w:cstheme="minorHAnsi"/>
        </w:rPr>
        <w:t xml:space="preserve">the </w:t>
      </w:r>
      <w:r>
        <w:rPr>
          <w:rFonts w:cstheme="minorHAnsi"/>
        </w:rPr>
        <w:t xml:space="preserve">refinancing risk is managed more </w:t>
      </w:r>
      <w:r w:rsidRPr="0018243F">
        <w:rPr>
          <w:rFonts w:cstheme="minorHAnsi"/>
        </w:rPr>
        <w:t>efficiently by</w:t>
      </w:r>
      <w:r>
        <w:rPr>
          <w:rFonts w:cstheme="minorHAnsi"/>
        </w:rPr>
        <w:t xml:space="preserve"> undertaking bond switches </w:t>
      </w:r>
      <w:r w:rsidRPr="0018243F">
        <w:rPr>
          <w:rFonts w:cstheme="minorHAnsi"/>
        </w:rPr>
        <w:t>first</w:t>
      </w:r>
      <w:r>
        <w:rPr>
          <w:rFonts w:cstheme="minorHAnsi"/>
        </w:rPr>
        <w:t xml:space="preserve"> (for example first six months) followed by </w:t>
      </w:r>
      <w:r w:rsidRPr="0018243F">
        <w:rPr>
          <w:rFonts w:cstheme="minorHAnsi"/>
        </w:rPr>
        <w:t xml:space="preserve">bond buybacks </w:t>
      </w:r>
      <w:r>
        <w:rPr>
          <w:rFonts w:cstheme="minorHAnsi"/>
        </w:rPr>
        <w:t>(for example next six months). Switches</w:t>
      </w:r>
      <w:r w:rsidRPr="0018243F">
        <w:rPr>
          <w:rFonts w:cstheme="minorHAnsi"/>
        </w:rPr>
        <w:t xml:space="preserve"> are a first choice because they create no</w:t>
      </w:r>
      <w:r>
        <w:rPr>
          <w:rFonts w:cstheme="minorHAnsi"/>
        </w:rPr>
        <w:t xml:space="preserve"> </w:t>
      </w:r>
      <w:r w:rsidRPr="0018243F">
        <w:rPr>
          <w:rFonts w:cstheme="minorHAnsi"/>
        </w:rPr>
        <w:t>refinancing risk. However, buybacks are a more powerful</w:t>
      </w:r>
      <w:r>
        <w:rPr>
          <w:rFonts w:cstheme="minorHAnsi"/>
        </w:rPr>
        <w:t xml:space="preserve"> </w:t>
      </w:r>
      <w:r w:rsidRPr="0018243F">
        <w:rPr>
          <w:rFonts w:cstheme="minorHAnsi"/>
        </w:rPr>
        <w:t>instrument, and they may thus be preferred as the maturity</w:t>
      </w:r>
      <w:r>
        <w:rPr>
          <w:rFonts w:cstheme="minorHAnsi"/>
        </w:rPr>
        <w:t xml:space="preserve"> </w:t>
      </w:r>
      <w:r w:rsidRPr="0018243F">
        <w:rPr>
          <w:rFonts w:cstheme="minorHAnsi"/>
        </w:rPr>
        <w:t>date of the bond approaches.</w:t>
      </w:r>
    </w:p>
    <w:p w14:paraId="77BE5546" w14:textId="77777777" w:rsidR="00B373FE" w:rsidRPr="0018243F" w:rsidRDefault="00B373FE" w:rsidP="00B373FE">
      <w:pPr>
        <w:autoSpaceDE w:val="0"/>
        <w:autoSpaceDN w:val="0"/>
        <w:adjustRightInd w:val="0"/>
        <w:rPr>
          <w:rFonts w:cstheme="minorHAnsi"/>
        </w:rPr>
      </w:pPr>
    </w:p>
    <w:p w14:paraId="5BDA4B00" w14:textId="77777777" w:rsidR="00B373FE" w:rsidRPr="0018243F" w:rsidRDefault="00B373FE" w:rsidP="00B373FE">
      <w:pPr>
        <w:autoSpaceDE w:val="0"/>
        <w:autoSpaceDN w:val="0"/>
        <w:adjustRightInd w:val="0"/>
        <w:ind w:left="720" w:hanging="720"/>
        <w:jc w:val="both"/>
        <w:rPr>
          <w:rFonts w:cstheme="minorHAnsi"/>
        </w:rPr>
      </w:pPr>
      <w:r>
        <w:rPr>
          <w:rFonts w:cstheme="minorHAnsi"/>
        </w:rPr>
        <w:t>6.2</w:t>
      </w:r>
      <w:r>
        <w:rPr>
          <w:rFonts w:cstheme="minorHAnsi"/>
        </w:rPr>
        <w:tab/>
      </w:r>
      <w:r w:rsidRPr="0018243F">
        <w:rPr>
          <w:rFonts w:cstheme="minorHAnsi"/>
        </w:rPr>
        <w:t xml:space="preserve">For illiquid bonds </w:t>
      </w:r>
      <w:r>
        <w:rPr>
          <w:rFonts w:cstheme="minorHAnsi"/>
        </w:rPr>
        <w:t xml:space="preserve">which creates </w:t>
      </w:r>
      <w:r w:rsidRPr="0018243F">
        <w:rPr>
          <w:rFonts w:cstheme="minorHAnsi"/>
        </w:rPr>
        <w:t>no refinancing risk in the short</w:t>
      </w:r>
      <w:r>
        <w:rPr>
          <w:rFonts w:cstheme="minorHAnsi"/>
        </w:rPr>
        <w:t xml:space="preserve"> </w:t>
      </w:r>
      <w:r w:rsidRPr="0018243F">
        <w:rPr>
          <w:rFonts w:cstheme="minorHAnsi"/>
        </w:rPr>
        <w:t xml:space="preserve">term, bond </w:t>
      </w:r>
      <w:r>
        <w:rPr>
          <w:rFonts w:cstheme="minorHAnsi"/>
        </w:rPr>
        <w:t xml:space="preserve">switches </w:t>
      </w:r>
      <w:r w:rsidRPr="0018243F">
        <w:rPr>
          <w:rFonts w:cstheme="minorHAnsi"/>
        </w:rPr>
        <w:t xml:space="preserve">are the </w:t>
      </w:r>
      <w:r>
        <w:rPr>
          <w:rFonts w:cstheme="minorHAnsi"/>
        </w:rPr>
        <w:t xml:space="preserve">preferred </w:t>
      </w:r>
      <w:r w:rsidRPr="0018243F">
        <w:rPr>
          <w:rFonts w:cstheme="minorHAnsi"/>
        </w:rPr>
        <w:t xml:space="preserve">choice. </w:t>
      </w:r>
      <w:r>
        <w:rPr>
          <w:rFonts w:cstheme="minorHAnsi"/>
        </w:rPr>
        <w:t xml:space="preserve">This is due to there is </w:t>
      </w:r>
      <w:r w:rsidRPr="0018243F">
        <w:rPr>
          <w:rFonts w:cstheme="minorHAnsi"/>
        </w:rPr>
        <w:t>no</w:t>
      </w:r>
      <w:r>
        <w:rPr>
          <w:rFonts w:cstheme="minorHAnsi"/>
        </w:rPr>
        <w:t xml:space="preserve">t much </w:t>
      </w:r>
      <w:r w:rsidRPr="0018243F">
        <w:rPr>
          <w:rFonts w:cstheme="minorHAnsi"/>
        </w:rPr>
        <w:t xml:space="preserve">refinancing risk </w:t>
      </w:r>
      <w:r>
        <w:rPr>
          <w:rFonts w:cstheme="minorHAnsi"/>
        </w:rPr>
        <w:t xml:space="preserve">involved </w:t>
      </w:r>
      <w:r w:rsidRPr="0018243F">
        <w:rPr>
          <w:rFonts w:cstheme="minorHAnsi"/>
        </w:rPr>
        <w:t>for the DMO, and there is no urgency to</w:t>
      </w:r>
      <w:r>
        <w:rPr>
          <w:rFonts w:cstheme="minorHAnsi"/>
        </w:rPr>
        <w:t xml:space="preserve"> </w:t>
      </w:r>
      <w:r w:rsidRPr="0018243F">
        <w:rPr>
          <w:rFonts w:cstheme="minorHAnsi"/>
        </w:rPr>
        <w:t>retire the securities from the market.</w:t>
      </w:r>
    </w:p>
    <w:p w14:paraId="607C207B" w14:textId="484FE2FE" w:rsidR="009C4101" w:rsidRDefault="009C4101">
      <w:pPr>
        <w:rPr>
          <w:rFonts w:cstheme="minorHAnsi"/>
        </w:rPr>
      </w:pPr>
      <w:r>
        <w:rPr>
          <w:rFonts w:cstheme="minorHAnsi"/>
        </w:rPr>
        <w:lastRenderedPageBreak/>
        <w:br w:type="page"/>
      </w:r>
    </w:p>
    <w:p w14:paraId="3BC411FA" w14:textId="77777777" w:rsidR="00B373FE" w:rsidRPr="00B7147E" w:rsidRDefault="00B373FE" w:rsidP="00B373FE">
      <w:pPr>
        <w:rPr>
          <w:rFonts w:cstheme="minorHAnsi"/>
        </w:rPr>
      </w:pPr>
    </w:p>
    <w:p w14:paraId="14F6F497" w14:textId="77777777" w:rsidR="00B373FE" w:rsidRPr="0025516E" w:rsidRDefault="00B373FE" w:rsidP="00B373FE">
      <w:pPr>
        <w:rPr>
          <w:rFonts w:cstheme="minorHAnsi"/>
          <w:b/>
        </w:rPr>
      </w:pPr>
      <w:r w:rsidRPr="0025516E">
        <w:rPr>
          <w:rFonts w:cstheme="minorHAnsi"/>
          <w:b/>
        </w:rPr>
        <w:t>7.</w:t>
      </w:r>
      <w:r w:rsidRPr="0025516E">
        <w:rPr>
          <w:rFonts w:cstheme="minorHAnsi"/>
          <w:b/>
        </w:rPr>
        <w:tab/>
      </w:r>
      <w:r>
        <w:rPr>
          <w:rFonts w:cstheme="minorHAnsi"/>
          <w:b/>
        </w:rPr>
        <w:t xml:space="preserve">Market </w:t>
      </w:r>
      <w:r w:rsidRPr="0025516E">
        <w:rPr>
          <w:rFonts w:cstheme="minorHAnsi"/>
          <w:b/>
        </w:rPr>
        <w:t>Infrastructure</w:t>
      </w:r>
    </w:p>
    <w:p w14:paraId="407D097D" w14:textId="77777777" w:rsidR="00B373FE" w:rsidRDefault="00B373FE" w:rsidP="00B373FE">
      <w:pPr>
        <w:autoSpaceDE w:val="0"/>
        <w:autoSpaceDN w:val="0"/>
        <w:adjustRightInd w:val="0"/>
        <w:ind w:left="720" w:hanging="720"/>
        <w:jc w:val="both"/>
        <w:rPr>
          <w:rFonts w:cstheme="minorHAnsi"/>
        </w:rPr>
      </w:pPr>
    </w:p>
    <w:p w14:paraId="6111F987" w14:textId="1F955F7D" w:rsidR="00B373FE" w:rsidRDefault="00B373FE" w:rsidP="00B373FE">
      <w:pPr>
        <w:autoSpaceDE w:val="0"/>
        <w:autoSpaceDN w:val="0"/>
        <w:adjustRightInd w:val="0"/>
        <w:ind w:left="720" w:hanging="720"/>
        <w:jc w:val="both"/>
        <w:rPr>
          <w:rFonts w:cstheme="minorHAnsi"/>
        </w:rPr>
      </w:pPr>
      <w:r>
        <w:rPr>
          <w:rFonts w:cstheme="minorHAnsi"/>
        </w:rPr>
        <w:t>7.1</w:t>
      </w:r>
      <w:r>
        <w:rPr>
          <w:rFonts w:cstheme="minorHAnsi"/>
        </w:rPr>
        <w:tab/>
      </w:r>
      <w:r w:rsidRPr="00B7147E">
        <w:rPr>
          <w:rFonts w:cstheme="minorHAnsi"/>
        </w:rPr>
        <w:t>In most countries, switch auctions are executed via electronic platforms. The most</w:t>
      </w:r>
      <w:r>
        <w:rPr>
          <w:rFonts w:cstheme="minorHAnsi"/>
        </w:rPr>
        <w:t xml:space="preserve"> </w:t>
      </w:r>
      <w:r w:rsidRPr="00B7147E">
        <w:rPr>
          <w:rFonts w:cstheme="minorHAnsi"/>
        </w:rPr>
        <w:t>widespread electronic platforms for these activities are Bloomberg and local MTS</w:t>
      </w:r>
      <w:r>
        <w:rPr>
          <w:rFonts w:cstheme="minorHAnsi"/>
        </w:rPr>
        <w:t xml:space="preserve"> </w:t>
      </w:r>
      <w:r w:rsidRPr="00B7147E">
        <w:rPr>
          <w:rFonts w:cstheme="minorHAnsi"/>
        </w:rPr>
        <w:t>systems, but several countries have in-house developed systems.</w:t>
      </w:r>
    </w:p>
    <w:p w14:paraId="099EA47C" w14:textId="5F61FA84" w:rsidR="00423DE4" w:rsidRDefault="00423DE4">
      <w:pPr>
        <w:rPr>
          <w:rFonts w:cstheme="minorHAnsi"/>
        </w:rPr>
      </w:pPr>
      <w:r>
        <w:rPr>
          <w:rFonts w:cstheme="minorHAnsi"/>
        </w:rPr>
        <w:br w:type="page"/>
      </w:r>
    </w:p>
    <w:p w14:paraId="4CD48A45" w14:textId="77777777" w:rsidR="00B373FE" w:rsidRPr="00B7147E" w:rsidRDefault="00B373FE" w:rsidP="00B373FE">
      <w:pPr>
        <w:autoSpaceDE w:val="0"/>
        <w:autoSpaceDN w:val="0"/>
        <w:adjustRightInd w:val="0"/>
        <w:rPr>
          <w:rFonts w:cstheme="minorHAnsi"/>
        </w:rPr>
      </w:pPr>
    </w:p>
    <w:p w14:paraId="2618E6DD" w14:textId="77777777" w:rsidR="00B373FE" w:rsidRPr="00EF5F39" w:rsidRDefault="00B373FE" w:rsidP="00B373FE">
      <w:pPr>
        <w:rPr>
          <w:b/>
          <w:sz w:val="26"/>
          <w:szCs w:val="26"/>
        </w:rPr>
      </w:pPr>
      <w:r w:rsidRPr="00EF5F39">
        <w:rPr>
          <w:b/>
          <w:sz w:val="26"/>
          <w:szCs w:val="26"/>
        </w:rPr>
        <w:t>II. Design of Switch Auctions for Public Debt Management in Advanced and Emerging Market Economies</w:t>
      </w:r>
    </w:p>
    <w:p w14:paraId="4E845AAA" w14:textId="77777777" w:rsidR="00B373FE" w:rsidRDefault="00B373FE" w:rsidP="00B373FE"/>
    <w:p w14:paraId="245D8082" w14:textId="17E1DA67" w:rsidR="00B373FE" w:rsidRDefault="00B373FE" w:rsidP="00B373FE">
      <w:r>
        <w:t>The design of the switch auction framework depends on several parameters and could vary depending on country practice as briefly indicated below.</w:t>
      </w:r>
    </w:p>
    <w:p w14:paraId="29711F42" w14:textId="77777777" w:rsidR="00B373FE" w:rsidRDefault="00B373FE" w:rsidP="00B373FE">
      <w:pPr>
        <w:rPr>
          <w:rFonts w:cstheme="minorHAnsi"/>
          <w:b/>
        </w:rPr>
      </w:pPr>
    </w:p>
    <w:p w14:paraId="3217B4FF" w14:textId="4696FCE8" w:rsidR="00B373FE" w:rsidRPr="00FF0D12" w:rsidRDefault="00B373FE" w:rsidP="00B373FE">
      <w:pPr>
        <w:rPr>
          <w:rFonts w:cstheme="minorHAnsi"/>
          <w:b/>
        </w:rPr>
      </w:pPr>
      <w:r>
        <w:rPr>
          <w:rFonts w:cstheme="minorHAnsi"/>
          <w:b/>
        </w:rPr>
        <w:t>8</w:t>
      </w:r>
      <w:r w:rsidRPr="00FF0D12">
        <w:rPr>
          <w:rFonts w:cstheme="minorHAnsi"/>
          <w:b/>
        </w:rPr>
        <w:t>.</w:t>
      </w:r>
      <w:r w:rsidRPr="00FF0D12">
        <w:rPr>
          <w:rFonts w:cstheme="minorHAnsi"/>
          <w:b/>
        </w:rPr>
        <w:tab/>
        <w:t>Format of Switch Auctions</w:t>
      </w:r>
    </w:p>
    <w:p w14:paraId="7E068810" w14:textId="77777777" w:rsidR="00B373FE" w:rsidRDefault="00B373FE" w:rsidP="00B373FE">
      <w:pPr>
        <w:autoSpaceDE w:val="0"/>
        <w:autoSpaceDN w:val="0"/>
        <w:adjustRightInd w:val="0"/>
        <w:ind w:left="720" w:hanging="720"/>
        <w:jc w:val="both"/>
        <w:rPr>
          <w:rFonts w:cstheme="minorHAnsi"/>
        </w:rPr>
      </w:pPr>
    </w:p>
    <w:p w14:paraId="52877633" w14:textId="73C8EBAF" w:rsidR="00B373FE" w:rsidRDefault="00B373FE" w:rsidP="00B373FE">
      <w:pPr>
        <w:autoSpaceDE w:val="0"/>
        <w:autoSpaceDN w:val="0"/>
        <w:adjustRightInd w:val="0"/>
        <w:ind w:left="720" w:hanging="720"/>
        <w:jc w:val="both"/>
        <w:rPr>
          <w:rFonts w:cstheme="minorHAnsi"/>
        </w:rPr>
      </w:pPr>
      <w:r>
        <w:rPr>
          <w:rFonts w:cstheme="minorHAnsi"/>
        </w:rPr>
        <w:t>8.1</w:t>
      </w:r>
      <w:r>
        <w:rPr>
          <w:rFonts w:cstheme="minorHAnsi"/>
        </w:rPr>
        <w:tab/>
      </w:r>
      <w:r>
        <w:t>Given that there are two bonds involved in this switch transaction (source and destination bond), the price of one bond is set by the issuer (Debt Management Office) while the price of other bond is market determined through competitive bidding. Thus, the conversion (exchange) ratio of the bonds being switched is market determined.</w:t>
      </w:r>
    </w:p>
    <w:p w14:paraId="31CE5B05" w14:textId="77777777" w:rsidR="00B373FE" w:rsidRDefault="00B373FE" w:rsidP="00B373FE">
      <w:pPr>
        <w:autoSpaceDE w:val="0"/>
        <w:autoSpaceDN w:val="0"/>
        <w:adjustRightInd w:val="0"/>
        <w:jc w:val="both"/>
        <w:rPr>
          <w:rFonts w:cstheme="minorHAnsi"/>
        </w:rPr>
      </w:pPr>
    </w:p>
    <w:p w14:paraId="5B44AE9D" w14:textId="77777777" w:rsidR="00664219" w:rsidRDefault="00B373FE" w:rsidP="00664219">
      <w:pPr>
        <w:autoSpaceDE w:val="0"/>
        <w:autoSpaceDN w:val="0"/>
        <w:adjustRightInd w:val="0"/>
        <w:ind w:left="720" w:hanging="720"/>
        <w:jc w:val="both"/>
        <w:rPr>
          <w:rFonts w:cstheme="minorHAnsi"/>
        </w:rPr>
      </w:pPr>
      <w:r>
        <w:rPr>
          <w:rFonts w:cstheme="minorHAnsi"/>
        </w:rPr>
        <w:t>8.2</w:t>
      </w:r>
      <w:r>
        <w:rPr>
          <w:rFonts w:cstheme="minorHAnsi"/>
        </w:rPr>
        <w:tab/>
      </w:r>
      <w:r w:rsidR="00664219">
        <w:rPr>
          <w:rFonts w:cstheme="minorHAnsi"/>
        </w:rPr>
        <w:t xml:space="preserve">Although most of the advanced economies have used switch operations in the past, they have not used them in recent years except Canada and Sweden. In contrast, a number of emerging market economies uses switch auctions as part of their liability management operations. </w:t>
      </w:r>
    </w:p>
    <w:p w14:paraId="4A3B06A5" w14:textId="77777777" w:rsidR="00B373FE" w:rsidRDefault="00B373FE" w:rsidP="00B373FE">
      <w:pPr>
        <w:autoSpaceDE w:val="0"/>
        <w:autoSpaceDN w:val="0"/>
        <w:adjustRightInd w:val="0"/>
        <w:rPr>
          <w:sz w:val="23"/>
          <w:szCs w:val="23"/>
        </w:rPr>
      </w:pPr>
    </w:p>
    <w:tbl>
      <w:tblPr>
        <w:tblStyle w:val="TableGrid"/>
        <w:tblW w:w="0" w:type="auto"/>
        <w:tblLook w:val="04A0" w:firstRow="1" w:lastRow="0" w:firstColumn="1" w:lastColumn="0" w:noHBand="0" w:noVBand="1"/>
      </w:tblPr>
      <w:tblGrid>
        <w:gridCol w:w="3005"/>
        <w:gridCol w:w="3005"/>
        <w:gridCol w:w="3006"/>
      </w:tblGrid>
      <w:tr w:rsidR="00B373FE" w14:paraId="646864CC" w14:textId="77777777" w:rsidTr="00E210CE">
        <w:tc>
          <w:tcPr>
            <w:tcW w:w="9016" w:type="dxa"/>
            <w:gridSpan w:val="3"/>
            <w:tcBorders>
              <w:top w:val="nil"/>
              <w:left w:val="nil"/>
              <w:bottom w:val="single" w:sz="4" w:space="0" w:color="auto"/>
              <w:right w:val="nil"/>
            </w:tcBorders>
          </w:tcPr>
          <w:p w14:paraId="557AD5C9" w14:textId="77777777" w:rsidR="00B373FE" w:rsidRDefault="00B373FE" w:rsidP="00E210CE">
            <w:pPr>
              <w:autoSpaceDE w:val="0"/>
              <w:autoSpaceDN w:val="0"/>
              <w:adjustRightInd w:val="0"/>
              <w:rPr>
                <w:sz w:val="23"/>
                <w:szCs w:val="23"/>
              </w:rPr>
            </w:pPr>
            <w:r>
              <w:rPr>
                <w:sz w:val="23"/>
                <w:szCs w:val="23"/>
              </w:rPr>
              <w:t>Table 1: Country Practice in Switch Auctions</w:t>
            </w:r>
          </w:p>
        </w:tc>
      </w:tr>
      <w:tr w:rsidR="00B373FE" w14:paraId="26E80355" w14:textId="77777777" w:rsidTr="00E210CE">
        <w:tc>
          <w:tcPr>
            <w:tcW w:w="3005" w:type="dxa"/>
            <w:tcBorders>
              <w:top w:val="single" w:sz="4" w:space="0" w:color="auto"/>
              <w:bottom w:val="single" w:sz="4" w:space="0" w:color="auto"/>
            </w:tcBorders>
          </w:tcPr>
          <w:p w14:paraId="13EFCBB7" w14:textId="77777777" w:rsidR="00B373FE" w:rsidRDefault="00B373FE" w:rsidP="00E210CE">
            <w:pPr>
              <w:autoSpaceDE w:val="0"/>
              <w:autoSpaceDN w:val="0"/>
              <w:adjustRightInd w:val="0"/>
              <w:rPr>
                <w:sz w:val="23"/>
                <w:szCs w:val="23"/>
              </w:rPr>
            </w:pPr>
          </w:p>
        </w:tc>
        <w:tc>
          <w:tcPr>
            <w:tcW w:w="3005" w:type="dxa"/>
            <w:tcBorders>
              <w:top w:val="single" w:sz="4" w:space="0" w:color="auto"/>
              <w:bottom w:val="single" w:sz="4" w:space="0" w:color="auto"/>
            </w:tcBorders>
          </w:tcPr>
          <w:p w14:paraId="7166EAA4" w14:textId="77777777" w:rsidR="00B373FE" w:rsidRDefault="00B373FE" w:rsidP="00E210CE">
            <w:pPr>
              <w:autoSpaceDE w:val="0"/>
              <w:autoSpaceDN w:val="0"/>
              <w:adjustRightInd w:val="0"/>
              <w:rPr>
                <w:sz w:val="23"/>
                <w:szCs w:val="23"/>
              </w:rPr>
            </w:pPr>
            <w:r>
              <w:rPr>
                <w:sz w:val="23"/>
                <w:szCs w:val="23"/>
              </w:rPr>
              <w:t xml:space="preserve">Source Bond Price Fixed </w:t>
            </w:r>
          </w:p>
        </w:tc>
        <w:tc>
          <w:tcPr>
            <w:tcW w:w="3006" w:type="dxa"/>
            <w:tcBorders>
              <w:top w:val="single" w:sz="4" w:space="0" w:color="auto"/>
              <w:bottom w:val="single" w:sz="4" w:space="0" w:color="auto"/>
            </w:tcBorders>
          </w:tcPr>
          <w:p w14:paraId="14449A81" w14:textId="77777777" w:rsidR="00B373FE" w:rsidRDefault="00B373FE" w:rsidP="00E210CE">
            <w:pPr>
              <w:autoSpaceDE w:val="0"/>
              <w:autoSpaceDN w:val="0"/>
              <w:adjustRightInd w:val="0"/>
              <w:rPr>
                <w:sz w:val="23"/>
                <w:szCs w:val="23"/>
              </w:rPr>
            </w:pPr>
            <w:r>
              <w:rPr>
                <w:sz w:val="23"/>
                <w:szCs w:val="23"/>
              </w:rPr>
              <w:t>Destination Bond Price Fixed</w:t>
            </w:r>
          </w:p>
        </w:tc>
      </w:tr>
      <w:tr w:rsidR="00B373FE" w14:paraId="50B4F910" w14:textId="77777777" w:rsidTr="00E210CE">
        <w:tc>
          <w:tcPr>
            <w:tcW w:w="9016" w:type="dxa"/>
            <w:gridSpan w:val="3"/>
            <w:tcBorders>
              <w:bottom w:val="single" w:sz="4" w:space="0" w:color="auto"/>
            </w:tcBorders>
          </w:tcPr>
          <w:p w14:paraId="2DD49DC2" w14:textId="77777777" w:rsidR="00B373FE" w:rsidRDefault="00B373FE" w:rsidP="00E210CE">
            <w:pPr>
              <w:autoSpaceDE w:val="0"/>
              <w:autoSpaceDN w:val="0"/>
              <w:adjustRightInd w:val="0"/>
              <w:rPr>
                <w:sz w:val="23"/>
                <w:szCs w:val="23"/>
              </w:rPr>
            </w:pPr>
            <w:r>
              <w:rPr>
                <w:sz w:val="23"/>
                <w:szCs w:val="23"/>
              </w:rPr>
              <w:t>OECD Countries</w:t>
            </w:r>
          </w:p>
        </w:tc>
      </w:tr>
      <w:tr w:rsidR="00B373FE" w14:paraId="08CE3D6E" w14:textId="77777777" w:rsidTr="00E210CE">
        <w:tc>
          <w:tcPr>
            <w:tcW w:w="3005" w:type="dxa"/>
            <w:tcBorders>
              <w:top w:val="single" w:sz="4" w:space="0" w:color="auto"/>
              <w:left w:val="single" w:sz="4" w:space="0" w:color="auto"/>
              <w:bottom w:val="nil"/>
              <w:right w:val="single" w:sz="4" w:space="0" w:color="auto"/>
            </w:tcBorders>
          </w:tcPr>
          <w:p w14:paraId="49C3AFA2" w14:textId="77777777" w:rsidR="00B373FE" w:rsidRDefault="00B373FE" w:rsidP="00E210CE">
            <w:pPr>
              <w:autoSpaceDE w:val="0"/>
              <w:autoSpaceDN w:val="0"/>
              <w:adjustRightInd w:val="0"/>
              <w:rPr>
                <w:sz w:val="23"/>
                <w:szCs w:val="23"/>
              </w:rPr>
            </w:pPr>
          </w:p>
        </w:tc>
        <w:tc>
          <w:tcPr>
            <w:tcW w:w="3005" w:type="dxa"/>
            <w:tcBorders>
              <w:top w:val="single" w:sz="4" w:space="0" w:color="auto"/>
              <w:left w:val="single" w:sz="4" w:space="0" w:color="auto"/>
              <w:bottom w:val="nil"/>
              <w:right w:val="single" w:sz="4" w:space="0" w:color="auto"/>
            </w:tcBorders>
          </w:tcPr>
          <w:p w14:paraId="7335A500" w14:textId="77777777" w:rsidR="00B373FE" w:rsidRDefault="00B373FE" w:rsidP="00E210CE">
            <w:pPr>
              <w:autoSpaceDE w:val="0"/>
              <w:autoSpaceDN w:val="0"/>
              <w:adjustRightInd w:val="0"/>
              <w:rPr>
                <w:sz w:val="23"/>
                <w:szCs w:val="23"/>
              </w:rPr>
            </w:pPr>
            <w:r>
              <w:rPr>
                <w:sz w:val="23"/>
                <w:szCs w:val="23"/>
              </w:rPr>
              <w:t>Australia</w:t>
            </w:r>
          </w:p>
        </w:tc>
        <w:tc>
          <w:tcPr>
            <w:tcW w:w="3006" w:type="dxa"/>
            <w:tcBorders>
              <w:top w:val="single" w:sz="4" w:space="0" w:color="auto"/>
              <w:left w:val="single" w:sz="4" w:space="0" w:color="auto"/>
              <w:bottom w:val="nil"/>
              <w:right w:val="single" w:sz="4" w:space="0" w:color="auto"/>
            </w:tcBorders>
          </w:tcPr>
          <w:p w14:paraId="6C07F851" w14:textId="77777777" w:rsidR="00B373FE" w:rsidRDefault="00B373FE" w:rsidP="00E210CE">
            <w:pPr>
              <w:autoSpaceDE w:val="0"/>
              <w:autoSpaceDN w:val="0"/>
              <w:adjustRightInd w:val="0"/>
              <w:rPr>
                <w:sz w:val="23"/>
                <w:szCs w:val="23"/>
              </w:rPr>
            </w:pPr>
            <w:r>
              <w:rPr>
                <w:sz w:val="23"/>
                <w:szCs w:val="23"/>
              </w:rPr>
              <w:t>Canada</w:t>
            </w:r>
          </w:p>
        </w:tc>
      </w:tr>
      <w:tr w:rsidR="00B373FE" w14:paraId="49B70504" w14:textId="77777777" w:rsidTr="00E210CE">
        <w:tc>
          <w:tcPr>
            <w:tcW w:w="3005" w:type="dxa"/>
            <w:tcBorders>
              <w:top w:val="nil"/>
              <w:left w:val="single" w:sz="4" w:space="0" w:color="auto"/>
              <w:bottom w:val="nil"/>
              <w:right w:val="single" w:sz="4" w:space="0" w:color="auto"/>
            </w:tcBorders>
          </w:tcPr>
          <w:p w14:paraId="6B175E21"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7A830887" w14:textId="77777777" w:rsidR="00B373FE" w:rsidRDefault="00B373FE" w:rsidP="00E210CE">
            <w:pPr>
              <w:autoSpaceDE w:val="0"/>
              <w:autoSpaceDN w:val="0"/>
              <w:adjustRightInd w:val="0"/>
              <w:rPr>
                <w:sz w:val="23"/>
                <w:szCs w:val="23"/>
              </w:rPr>
            </w:pPr>
            <w:r>
              <w:rPr>
                <w:sz w:val="23"/>
                <w:szCs w:val="23"/>
              </w:rPr>
              <w:t>Denmark</w:t>
            </w:r>
          </w:p>
        </w:tc>
        <w:tc>
          <w:tcPr>
            <w:tcW w:w="3006" w:type="dxa"/>
            <w:tcBorders>
              <w:top w:val="nil"/>
              <w:left w:val="single" w:sz="4" w:space="0" w:color="auto"/>
              <w:bottom w:val="nil"/>
              <w:right w:val="single" w:sz="4" w:space="0" w:color="auto"/>
            </w:tcBorders>
          </w:tcPr>
          <w:p w14:paraId="0FEB1CA8" w14:textId="77777777" w:rsidR="00B373FE" w:rsidRDefault="00B373FE" w:rsidP="00E210CE">
            <w:pPr>
              <w:autoSpaceDE w:val="0"/>
              <w:autoSpaceDN w:val="0"/>
              <w:adjustRightInd w:val="0"/>
              <w:rPr>
                <w:sz w:val="23"/>
                <w:szCs w:val="23"/>
              </w:rPr>
            </w:pPr>
            <w:r>
              <w:rPr>
                <w:sz w:val="23"/>
                <w:szCs w:val="23"/>
              </w:rPr>
              <w:t>France</w:t>
            </w:r>
          </w:p>
        </w:tc>
      </w:tr>
      <w:tr w:rsidR="00B373FE" w14:paraId="5F39B1EE" w14:textId="77777777" w:rsidTr="00E210CE">
        <w:tc>
          <w:tcPr>
            <w:tcW w:w="3005" w:type="dxa"/>
            <w:tcBorders>
              <w:top w:val="nil"/>
              <w:left w:val="single" w:sz="4" w:space="0" w:color="auto"/>
              <w:bottom w:val="nil"/>
              <w:right w:val="single" w:sz="4" w:space="0" w:color="auto"/>
            </w:tcBorders>
          </w:tcPr>
          <w:p w14:paraId="0D4835D6"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2645FBE1" w14:textId="77777777" w:rsidR="00B373FE" w:rsidRDefault="00B373FE" w:rsidP="00E210CE">
            <w:pPr>
              <w:autoSpaceDE w:val="0"/>
              <w:autoSpaceDN w:val="0"/>
              <w:adjustRightInd w:val="0"/>
              <w:rPr>
                <w:sz w:val="23"/>
                <w:szCs w:val="23"/>
              </w:rPr>
            </w:pPr>
            <w:r>
              <w:rPr>
                <w:sz w:val="23"/>
                <w:szCs w:val="23"/>
              </w:rPr>
              <w:t>Hungary</w:t>
            </w:r>
          </w:p>
        </w:tc>
        <w:tc>
          <w:tcPr>
            <w:tcW w:w="3006" w:type="dxa"/>
            <w:tcBorders>
              <w:top w:val="nil"/>
              <w:left w:val="single" w:sz="4" w:space="0" w:color="auto"/>
              <w:bottom w:val="nil"/>
              <w:right w:val="single" w:sz="4" w:space="0" w:color="auto"/>
            </w:tcBorders>
          </w:tcPr>
          <w:p w14:paraId="65DCB5DC" w14:textId="77777777" w:rsidR="00B373FE" w:rsidRDefault="00B373FE" w:rsidP="00E210CE">
            <w:pPr>
              <w:autoSpaceDE w:val="0"/>
              <w:autoSpaceDN w:val="0"/>
              <w:adjustRightInd w:val="0"/>
              <w:rPr>
                <w:sz w:val="23"/>
                <w:szCs w:val="23"/>
              </w:rPr>
            </w:pPr>
            <w:r>
              <w:rPr>
                <w:sz w:val="23"/>
                <w:szCs w:val="23"/>
              </w:rPr>
              <w:t>Slovenia</w:t>
            </w:r>
          </w:p>
        </w:tc>
      </w:tr>
      <w:tr w:rsidR="00B373FE" w14:paraId="4F9F8E66" w14:textId="77777777" w:rsidTr="00E210CE">
        <w:tc>
          <w:tcPr>
            <w:tcW w:w="3005" w:type="dxa"/>
            <w:tcBorders>
              <w:top w:val="nil"/>
              <w:left w:val="single" w:sz="4" w:space="0" w:color="auto"/>
              <w:bottom w:val="nil"/>
              <w:right w:val="single" w:sz="4" w:space="0" w:color="auto"/>
            </w:tcBorders>
          </w:tcPr>
          <w:p w14:paraId="436BDEB6"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1C4BD17F" w14:textId="77777777" w:rsidR="00B373FE" w:rsidRDefault="00B373FE" w:rsidP="00E210CE">
            <w:pPr>
              <w:autoSpaceDE w:val="0"/>
              <w:autoSpaceDN w:val="0"/>
              <w:adjustRightInd w:val="0"/>
              <w:rPr>
                <w:sz w:val="23"/>
                <w:szCs w:val="23"/>
              </w:rPr>
            </w:pPr>
            <w:r>
              <w:rPr>
                <w:sz w:val="23"/>
                <w:szCs w:val="23"/>
              </w:rPr>
              <w:t>Iceland</w:t>
            </w:r>
          </w:p>
        </w:tc>
        <w:tc>
          <w:tcPr>
            <w:tcW w:w="3006" w:type="dxa"/>
            <w:tcBorders>
              <w:top w:val="nil"/>
              <w:left w:val="single" w:sz="4" w:space="0" w:color="auto"/>
              <w:bottom w:val="nil"/>
              <w:right w:val="single" w:sz="4" w:space="0" w:color="auto"/>
            </w:tcBorders>
          </w:tcPr>
          <w:p w14:paraId="23B0C5C3" w14:textId="77777777" w:rsidR="00B373FE" w:rsidRDefault="00B373FE" w:rsidP="00E210CE">
            <w:pPr>
              <w:autoSpaceDE w:val="0"/>
              <w:autoSpaceDN w:val="0"/>
              <w:adjustRightInd w:val="0"/>
              <w:rPr>
                <w:sz w:val="23"/>
                <w:szCs w:val="23"/>
              </w:rPr>
            </w:pPr>
          </w:p>
        </w:tc>
      </w:tr>
      <w:tr w:rsidR="00B373FE" w14:paraId="1ED504F6" w14:textId="77777777" w:rsidTr="00E210CE">
        <w:tc>
          <w:tcPr>
            <w:tcW w:w="3005" w:type="dxa"/>
            <w:tcBorders>
              <w:top w:val="nil"/>
              <w:left w:val="single" w:sz="4" w:space="0" w:color="auto"/>
              <w:bottom w:val="nil"/>
              <w:right w:val="single" w:sz="4" w:space="0" w:color="auto"/>
            </w:tcBorders>
          </w:tcPr>
          <w:p w14:paraId="3726C09D"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64B80D8A" w14:textId="77777777" w:rsidR="00B373FE" w:rsidRDefault="00B373FE" w:rsidP="00E210CE">
            <w:pPr>
              <w:autoSpaceDE w:val="0"/>
              <w:autoSpaceDN w:val="0"/>
              <w:adjustRightInd w:val="0"/>
              <w:rPr>
                <w:sz w:val="23"/>
                <w:szCs w:val="23"/>
              </w:rPr>
            </w:pPr>
            <w:r>
              <w:rPr>
                <w:sz w:val="23"/>
                <w:szCs w:val="23"/>
              </w:rPr>
              <w:t xml:space="preserve">Italy </w:t>
            </w:r>
          </w:p>
        </w:tc>
        <w:tc>
          <w:tcPr>
            <w:tcW w:w="3006" w:type="dxa"/>
            <w:tcBorders>
              <w:top w:val="nil"/>
              <w:left w:val="single" w:sz="4" w:space="0" w:color="auto"/>
              <w:bottom w:val="nil"/>
              <w:right w:val="single" w:sz="4" w:space="0" w:color="auto"/>
            </w:tcBorders>
          </w:tcPr>
          <w:p w14:paraId="03EC646B" w14:textId="77777777" w:rsidR="00B373FE" w:rsidRDefault="00B373FE" w:rsidP="00E210CE">
            <w:pPr>
              <w:autoSpaceDE w:val="0"/>
              <w:autoSpaceDN w:val="0"/>
              <w:adjustRightInd w:val="0"/>
              <w:rPr>
                <w:sz w:val="23"/>
                <w:szCs w:val="23"/>
              </w:rPr>
            </w:pPr>
          </w:p>
        </w:tc>
      </w:tr>
      <w:tr w:rsidR="00B373FE" w14:paraId="25FD7625" w14:textId="77777777" w:rsidTr="00E210CE">
        <w:tc>
          <w:tcPr>
            <w:tcW w:w="3005" w:type="dxa"/>
            <w:tcBorders>
              <w:top w:val="nil"/>
              <w:left w:val="single" w:sz="4" w:space="0" w:color="auto"/>
              <w:bottom w:val="nil"/>
              <w:right w:val="single" w:sz="4" w:space="0" w:color="auto"/>
            </w:tcBorders>
          </w:tcPr>
          <w:p w14:paraId="6D2C0BA9"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4DC8385F" w14:textId="77777777" w:rsidR="00B373FE" w:rsidRDefault="00B373FE" w:rsidP="00E210CE">
            <w:pPr>
              <w:autoSpaceDE w:val="0"/>
              <w:autoSpaceDN w:val="0"/>
              <w:adjustRightInd w:val="0"/>
              <w:rPr>
                <w:sz w:val="23"/>
                <w:szCs w:val="23"/>
              </w:rPr>
            </w:pPr>
            <w:r>
              <w:rPr>
                <w:sz w:val="23"/>
                <w:szCs w:val="23"/>
              </w:rPr>
              <w:t>Mexico</w:t>
            </w:r>
          </w:p>
        </w:tc>
        <w:tc>
          <w:tcPr>
            <w:tcW w:w="3006" w:type="dxa"/>
            <w:tcBorders>
              <w:top w:val="nil"/>
              <w:left w:val="single" w:sz="4" w:space="0" w:color="auto"/>
              <w:bottom w:val="nil"/>
              <w:right w:val="single" w:sz="4" w:space="0" w:color="auto"/>
            </w:tcBorders>
          </w:tcPr>
          <w:p w14:paraId="15277699" w14:textId="77777777" w:rsidR="00B373FE" w:rsidRDefault="00B373FE" w:rsidP="00E210CE">
            <w:pPr>
              <w:autoSpaceDE w:val="0"/>
              <w:autoSpaceDN w:val="0"/>
              <w:adjustRightInd w:val="0"/>
              <w:rPr>
                <w:sz w:val="23"/>
                <w:szCs w:val="23"/>
              </w:rPr>
            </w:pPr>
          </w:p>
        </w:tc>
      </w:tr>
      <w:tr w:rsidR="00B373FE" w14:paraId="5F03F608" w14:textId="77777777" w:rsidTr="00E210CE">
        <w:tc>
          <w:tcPr>
            <w:tcW w:w="3005" w:type="dxa"/>
            <w:tcBorders>
              <w:top w:val="nil"/>
              <w:left w:val="single" w:sz="4" w:space="0" w:color="auto"/>
              <w:bottom w:val="nil"/>
              <w:right w:val="single" w:sz="4" w:space="0" w:color="auto"/>
            </w:tcBorders>
          </w:tcPr>
          <w:p w14:paraId="07AA2384"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252129AA" w14:textId="77777777" w:rsidR="00B373FE" w:rsidRDefault="00B373FE" w:rsidP="00E210CE">
            <w:pPr>
              <w:autoSpaceDE w:val="0"/>
              <w:autoSpaceDN w:val="0"/>
              <w:adjustRightInd w:val="0"/>
              <w:rPr>
                <w:sz w:val="23"/>
                <w:szCs w:val="23"/>
              </w:rPr>
            </w:pPr>
            <w:r>
              <w:rPr>
                <w:sz w:val="23"/>
                <w:szCs w:val="23"/>
              </w:rPr>
              <w:t>Poland</w:t>
            </w:r>
          </w:p>
        </w:tc>
        <w:tc>
          <w:tcPr>
            <w:tcW w:w="3006" w:type="dxa"/>
            <w:tcBorders>
              <w:top w:val="nil"/>
              <w:left w:val="single" w:sz="4" w:space="0" w:color="auto"/>
              <w:bottom w:val="nil"/>
              <w:right w:val="single" w:sz="4" w:space="0" w:color="auto"/>
            </w:tcBorders>
          </w:tcPr>
          <w:p w14:paraId="044826C5" w14:textId="77777777" w:rsidR="00B373FE" w:rsidRDefault="00B373FE" w:rsidP="00E210CE">
            <w:pPr>
              <w:autoSpaceDE w:val="0"/>
              <w:autoSpaceDN w:val="0"/>
              <w:adjustRightInd w:val="0"/>
              <w:rPr>
                <w:sz w:val="23"/>
                <w:szCs w:val="23"/>
              </w:rPr>
            </w:pPr>
          </w:p>
        </w:tc>
      </w:tr>
      <w:tr w:rsidR="00B373FE" w14:paraId="5FB482EA" w14:textId="77777777" w:rsidTr="00E210CE">
        <w:tc>
          <w:tcPr>
            <w:tcW w:w="3005" w:type="dxa"/>
            <w:tcBorders>
              <w:top w:val="nil"/>
              <w:left w:val="single" w:sz="4" w:space="0" w:color="auto"/>
              <w:bottom w:val="nil"/>
              <w:right w:val="single" w:sz="4" w:space="0" w:color="auto"/>
            </w:tcBorders>
          </w:tcPr>
          <w:p w14:paraId="36028007"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18F64E55" w14:textId="77777777" w:rsidR="00B373FE" w:rsidRDefault="00B373FE" w:rsidP="00E210CE">
            <w:pPr>
              <w:autoSpaceDE w:val="0"/>
              <w:autoSpaceDN w:val="0"/>
              <w:adjustRightInd w:val="0"/>
              <w:rPr>
                <w:sz w:val="23"/>
                <w:szCs w:val="23"/>
              </w:rPr>
            </w:pPr>
            <w:r>
              <w:rPr>
                <w:sz w:val="23"/>
                <w:szCs w:val="23"/>
              </w:rPr>
              <w:t>Spain</w:t>
            </w:r>
          </w:p>
        </w:tc>
        <w:tc>
          <w:tcPr>
            <w:tcW w:w="3006" w:type="dxa"/>
            <w:tcBorders>
              <w:top w:val="nil"/>
              <w:left w:val="single" w:sz="4" w:space="0" w:color="auto"/>
              <w:bottom w:val="nil"/>
              <w:right w:val="single" w:sz="4" w:space="0" w:color="auto"/>
            </w:tcBorders>
          </w:tcPr>
          <w:p w14:paraId="3C27D8CA" w14:textId="77777777" w:rsidR="00B373FE" w:rsidRDefault="00B373FE" w:rsidP="00E210CE">
            <w:pPr>
              <w:autoSpaceDE w:val="0"/>
              <w:autoSpaceDN w:val="0"/>
              <w:adjustRightInd w:val="0"/>
              <w:rPr>
                <w:sz w:val="23"/>
                <w:szCs w:val="23"/>
              </w:rPr>
            </w:pPr>
          </w:p>
        </w:tc>
      </w:tr>
      <w:tr w:rsidR="00B373FE" w14:paraId="42F7B63D" w14:textId="77777777" w:rsidTr="00E210CE">
        <w:tc>
          <w:tcPr>
            <w:tcW w:w="3005" w:type="dxa"/>
            <w:tcBorders>
              <w:top w:val="nil"/>
              <w:left w:val="single" w:sz="4" w:space="0" w:color="auto"/>
              <w:bottom w:val="single" w:sz="4" w:space="0" w:color="auto"/>
              <w:right w:val="single" w:sz="4" w:space="0" w:color="auto"/>
            </w:tcBorders>
          </w:tcPr>
          <w:p w14:paraId="2B0F3A6E"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single" w:sz="4" w:space="0" w:color="auto"/>
              <w:right w:val="single" w:sz="4" w:space="0" w:color="auto"/>
            </w:tcBorders>
          </w:tcPr>
          <w:p w14:paraId="02414543" w14:textId="77777777" w:rsidR="00B373FE" w:rsidRDefault="00B373FE" w:rsidP="00E210CE">
            <w:pPr>
              <w:autoSpaceDE w:val="0"/>
              <w:autoSpaceDN w:val="0"/>
              <w:adjustRightInd w:val="0"/>
              <w:rPr>
                <w:sz w:val="23"/>
                <w:szCs w:val="23"/>
              </w:rPr>
            </w:pPr>
            <w:r>
              <w:rPr>
                <w:sz w:val="23"/>
                <w:szCs w:val="23"/>
              </w:rPr>
              <w:t>Sweden</w:t>
            </w:r>
          </w:p>
        </w:tc>
        <w:tc>
          <w:tcPr>
            <w:tcW w:w="3006" w:type="dxa"/>
            <w:tcBorders>
              <w:top w:val="nil"/>
              <w:left w:val="single" w:sz="4" w:space="0" w:color="auto"/>
              <w:bottom w:val="single" w:sz="4" w:space="0" w:color="auto"/>
              <w:right w:val="single" w:sz="4" w:space="0" w:color="auto"/>
            </w:tcBorders>
          </w:tcPr>
          <w:p w14:paraId="1D0AD0C4" w14:textId="77777777" w:rsidR="00B373FE" w:rsidRDefault="00B373FE" w:rsidP="00E210CE">
            <w:pPr>
              <w:autoSpaceDE w:val="0"/>
              <w:autoSpaceDN w:val="0"/>
              <w:adjustRightInd w:val="0"/>
              <w:rPr>
                <w:sz w:val="23"/>
                <w:szCs w:val="23"/>
              </w:rPr>
            </w:pPr>
          </w:p>
        </w:tc>
      </w:tr>
      <w:tr w:rsidR="00B373FE" w14:paraId="746C2B40" w14:textId="77777777" w:rsidTr="00E210CE">
        <w:tc>
          <w:tcPr>
            <w:tcW w:w="9016" w:type="dxa"/>
            <w:gridSpan w:val="3"/>
            <w:tcBorders>
              <w:top w:val="single" w:sz="4" w:space="0" w:color="auto"/>
              <w:bottom w:val="single" w:sz="4" w:space="0" w:color="auto"/>
            </w:tcBorders>
          </w:tcPr>
          <w:p w14:paraId="34171422" w14:textId="77777777" w:rsidR="00B373FE" w:rsidRDefault="00B373FE" w:rsidP="00E210CE">
            <w:pPr>
              <w:autoSpaceDE w:val="0"/>
              <w:autoSpaceDN w:val="0"/>
              <w:adjustRightInd w:val="0"/>
              <w:rPr>
                <w:sz w:val="23"/>
                <w:szCs w:val="23"/>
              </w:rPr>
            </w:pPr>
            <w:r>
              <w:rPr>
                <w:sz w:val="23"/>
                <w:szCs w:val="23"/>
              </w:rPr>
              <w:t>Emerging Market Economies</w:t>
            </w:r>
          </w:p>
        </w:tc>
      </w:tr>
      <w:tr w:rsidR="00B373FE" w14:paraId="65624FB2" w14:textId="77777777" w:rsidTr="00E210CE">
        <w:tc>
          <w:tcPr>
            <w:tcW w:w="3005" w:type="dxa"/>
            <w:tcBorders>
              <w:top w:val="single" w:sz="4" w:space="0" w:color="auto"/>
              <w:left w:val="single" w:sz="4" w:space="0" w:color="auto"/>
              <w:bottom w:val="nil"/>
              <w:right w:val="single" w:sz="4" w:space="0" w:color="auto"/>
            </w:tcBorders>
          </w:tcPr>
          <w:p w14:paraId="74C41A5A" w14:textId="77777777" w:rsidR="00B373FE" w:rsidRDefault="00B373FE" w:rsidP="00E210CE">
            <w:pPr>
              <w:autoSpaceDE w:val="0"/>
              <w:autoSpaceDN w:val="0"/>
              <w:adjustRightInd w:val="0"/>
              <w:rPr>
                <w:sz w:val="23"/>
                <w:szCs w:val="23"/>
              </w:rPr>
            </w:pPr>
          </w:p>
        </w:tc>
        <w:tc>
          <w:tcPr>
            <w:tcW w:w="3005" w:type="dxa"/>
            <w:tcBorders>
              <w:top w:val="single" w:sz="4" w:space="0" w:color="auto"/>
              <w:left w:val="single" w:sz="4" w:space="0" w:color="auto"/>
              <w:bottom w:val="nil"/>
              <w:right w:val="single" w:sz="4" w:space="0" w:color="auto"/>
            </w:tcBorders>
          </w:tcPr>
          <w:p w14:paraId="2233E250" w14:textId="77777777" w:rsidR="00B373FE" w:rsidRDefault="00B373FE" w:rsidP="00E210CE">
            <w:pPr>
              <w:autoSpaceDE w:val="0"/>
              <w:autoSpaceDN w:val="0"/>
              <w:adjustRightInd w:val="0"/>
              <w:rPr>
                <w:sz w:val="23"/>
                <w:szCs w:val="23"/>
              </w:rPr>
            </w:pPr>
            <w:r>
              <w:rPr>
                <w:sz w:val="23"/>
                <w:szCs w:val="23"/>
              </w:rPr>
              <w:t>Israel</w:t>
            </w:r>
          </w:p>
        </w:tc>
        <w:tc>
          <w:tcPr>
            <w:tcW w:w="3006" w:type="dxa"/>
            <w:tcBorders>
              <w:top w:val="single" w:sz="4" w:space="0" w:color="auto"/>
              <w:left w:val="single" w:sz="4" w:space="0" w:color="auto"/>
              <w:bottom w:val="nil"/>
              <w:right w:val="single" w:sz="4" w:space="0" w:color="auto"/>
            </w:tcBorders>
          </w:tcPr>
          <w:p w14:paraId="3B7DD507" w14:textId="77777777" w:rsidR="00B373FE" w:rsidRDefault="00B373FE" w:rsidP="00E210CE">
            <w:pPr>
              <w:autoSpaceDE w:val="0"/>
              <w:autoSpaceDN w:val="0"/>
              <w:adjustRightInd w:val="0"/>
              <w:rPr>
                <w:sz w:val="23"/>
                <w:szCs w:val="23"/>
              </w:rPr>
            </w:pPr>
            <w:r>
              <w:rPr>
                <w:sz w:val="23"/>
                <w:szCs w:val="23"/>
              </w:rPr>
              <w:t>Brazil*</w:t>
            </w:r>
          </w:p>
        </w:tc>
      </w:tr>
      <w:tr w:rsidR="00B373FE" w14:paraId="1D4665BE" w14:textId="77777777" w:rsidTr="00E210CE">
        <w:tc>
          <w:tcPr>
            <w:tcW w:w="3005" w:type="dxa"/>
            <w:tcBorders>
              <w:top w:val="nil"/>
              <w:left w:val="single" w:sz="4" w:space="0" w:color="auto"/>
              <w:bottom w:val="nil"/>
              <w:right w:val="single" w:sz="4" w:space="0" w:color="auto"/>
            </w:tcBorders>
          </w:tcPr>
          <w:p w14:paraId="07985DEC"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7B57DCAE" w14:textId="77777777" w:rsidR="00B373FE" w:rsidRDefault="00B373FE" w:rsidP="00E210CE">
            <w:pPr>
              <w:autoSpaceDE w:val="0"/>
              <w:autoSpaceDN w:val="0"/>
              <w:adjustRightInd w:val="0"/>
              <w:rPr>
                <w:sz w:val="23"/>
                <w:szCs w:val="23"/>
              </w:rPr>
            </w:pPr>
            <w:r>
              <w:rPr>
                <w:sz w:val="23"/>
                <w:szCs w:val="23"/>
              </w:rPr>
              <w:t>Morocco</w:t>
            </w:r>
          </w:p>
        </w:tc>
        <w:tc>
          <w:tcPr>
            <w:tcW w:w="3006" w:type="dxa"/>
            <w:tcBorders>
              <w:top w:val="nil"/>
              <w:left w:val="single" w:sz="4" w:space="0" w:color="auto"/>
              <w:bottom w:val="nil"/>
              <w:right w:val="single" w:sz="4" w:space="0" w:color="auto"/>
            </w:tcBorders>
          </w:tcPr>
          <w:p w14:paraId="74B9F705" w14:textId="77777777" w:rsidR="00B373FE" w:rsidRDefault="00B373FE" w:rsidP="00E210CE">
            <w:pPr>
              <w:autoSpaceDE w:val="0"/>
              <w:autoSpaceDN w:val="0"/>
              <w:adjustRightInd w:val="0"/>
              <w:rPr>
                <w:sz w:val="23"/>
                <w:szCs w:val="23"/>
              </w:rPr>
            </w:pPr>
            <w:r>
              <w:rPr>
                <w:sz w:val="23"/>
                <w:szCs w:val="23"/>
              </w:rPr>
              <w:t>Indonesia</w:t>
            </w:r>
          </w:p>
        </w:tc>
      </w:tr>
      <w:tr w:rsidR="00B373FE" w14:paraId="665B2430" w14:textId="77777777" w:rsidTr="00E210CE">
        <w:tc>
          <w:tcPr>
            <w:tcW w:w="3005" w:type="dxa"/>
            <w:tcBorders>
              <w:top w:val="nil"/>
              <w:left w:val="single" w:sz="4" w:space="0" w:color="auto"/>
              <w:bottom w:val="nil"/>
              <w:right w:val="single" w:sz="4" w:space="0" w:color="auto"/>
            </w:tcBorders>
          </w:tcPr>
          <w:p w14:paraId="30B9E54B"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nil"/>
              <w:right w:val="single" w:sz="4" w:space="0" w:color="auto"/>
            </w:tcBorders>
          </w:tcPr>
          <w:p w14:paraId="669E3BB8" w14:textId="77777777" w:rsidR="00B373FE" w:rsidRDefault="00B373FE" w:rsidP="00E210CE">
            <w:pPr>
              <w:autoSpaceDE w:val="0"/>
              <w:autoSpaceDN w:val="0"/>
              <w:adjustRightInd w:val="0"/>
              <w:rPr>
                <w:sz w:val="23"/>
                <w:szCs w:val="23"/>
              </w:rPr>
            </w:pPr>
            <w:r>
              <w:rPr>
                <w:sz w:val="23"/>
                <w:szCs w:val="23"/>
              </w:rPr>
              <w:t>South Africa</w:t>
            </w:r>
            <w:r w:rsidRPr="00140401">
              <w:rPr>
                <w:vertAlign w:val="superscript"/>
              </w:rPr>
              <w:t>@</w:t>
            </w:r>
          </w:p>
        </w:tc>
        <w:tc>
          <w:tcPr>
            <w:tcW w:w="3006" w:type="dxa"/>
            <w:tcBorders>
              <w:top w:val="nil"/>
              <w:left w:val="single" w:sz="4" w:space="0" w:color="auto"/>
              <w:bottom w:val="nil"/>
              <w:right w:val="single" w:sz="4" w:space="0" w:color="auto"/>
            </w:tcBorders>
          </w:tcPr>
          <w:p w14:paraId="5F65FB00" w14:textId="77777777" w:rsidR="00B373FE" w:rsidRDefault="00B373FE" w:rsidP="00E210CE">
            <w:pPr>
              <w:autoSpaceDE w:val="0"/>
              <w:autoSpaceDN w:val="0"/>
              <w:adjustRightInd w:val="0"/>
              <w:rPr>
                <w:sz w:val="23"/>
                <w:szCs w:val="23"/>
              </w:rPr>
            </w:pPr>
            <w:r>
              <w:rPr>
                <w:sz w:val="23"/>
                <w:szCs w:val="23"/>
              </w:rPr>
              <w:t>Malaysia</w:t>
            </w:r>
          </w:p>
        </w:tc>
      </w:tr>
      <w:tr w:rsidR="00B373FE" w14:paraId="72E818FB" w14:textId="77777777" w:rsidTr="00E210CE">
        <w:tc>
          <w:tcPr>
            <w:tcW w:w="3005" w:type="dxa"/>
            <w:tcBorders>
              <w:top w:val="nil"/>
              <w:left w:val="single" w:sz="4" w:space="0" w:color="auto"/>
              <w:bottom w:val="single" w:sz="4" w:space="0" w:color="auto"/>
              <w:right w:val="single" w:sz="4" w:space="0" w:color="auto"/>
            </w:tcBorders>
          </w:tcPr>
          <w:p w14:paraId="51882293" w14:textId="77777777" w:rsidR="00B373FE" w:rsidRDefault="00B373FE" w:rsidP="00E210CE">
            <w:pPr>
              <w:autoSpaceDE w:val="0"/>
              <w:autoSpaceDN w:val="0"/>
              <w:adjustRightInd w:val="0"/>
              <w:rPr>
                <w:sz w:val="23"/>
                <w:szCs w:val="23"/>
              </w:rPr>
            </w:pPr>
          </w:p>
        </w:tc>
        <w:tc>
          <w:tcPr>
            <w:tcW w:w="3005" w:type="dxa"/>
            <w:tcBorders>
              <w:top w:val="nil"/>
              <w:left w:val="single" w:sz="4" w:space="0" w:color="auto"/>
              <w:bottom w:val="single" w:sz="4" w:space="0" w:color="auto"/>
              <w:right w:val="single" w:sz="4" w:space="0" w:color="auto"/>
            </w:tcBorders>
          </w:tcPr>
          <w:p w14:paraId="6EA332C6" w14:textId="77777777" w:rsidR="00B373FE" w:rsidRDefault="00B373FE" w:rsidP="00E210CE">
            <w:pPr>
              <w:autoSpaceDE w:val="0"/>
              <w:autoSpaceDN w:val="0"/>
              <w:adjustRightInd w:val="0"/>
              <w:rPr>
                <w:sz w:val="23"/>
                <w:szCs w:val="23"/>
              </w:rPr>
            </w:pPr>
            <w:r>
              <w:rPr>
                <w:sz w:val="23"/>
                <w:szCs w:val="23"/>
              </w:rPr>
              <w:t>Thailand</w:t>
            </w:r>
          </w:p>
        </w:tc>
        <w:tc>
          <w:tcPr>
            <w:tcW w:w="3006" w:type="dxa"/>
            <w:tcBorders>
              <w:top w:val="nil"/>
              <w:left w:val="single" w:sz="4" w:space="0" w:color="auto"/>
              <w:bottom w:val="single" w:sz="4" w:space="0" w:color="auto"/>
              <w:right w:val="single" w:sz="4" w:space="0" w:color="auto"/>
            </w:tcBorders>
          </w:tcPr>
          <w:p w14:paraId="05DFB9D0" w14:textId="77777777" w:rsidR="00B373FE" w:rsidRDefault="00B373FE" w:rsidP="00E210CE">
            <w:pPr>
              <w:autoSpaceDE w:val="0"/>
              <w:autoSpaceDN w:val="0"/>
              <w:adjustRightInd w:val="0"/>
              <w:rPr>
                <w:sz w:val="23"/>
                <w:szCs w:val="23"/>
              </w:rPr>
            </w:pPr>
          </w:p>
        </w:tc>
      </w:tr>
    </w:tbl>
    <w:p w14:paraId="4D134CC5" w14:textId="77777777" w:rsidR="00B373FE" w:rsidRDefault="00B373FE" w:rsidP="00B373FE">
      <w:pPr>
        <w:autoSpaceDE w:val="0"/>
        <w:autoSpaceDN w:val="0"/>
        <w:adjustRightInd w:val="0"/>
        <w:rPr>
          <w:sz w:val="20"/>
          <w:szCs w:val="20"/>
        </w:rPr>
      </w:pPr>
      <w:r>
        <w:rPr>
          <w:sz w:val="23"/>
          <w:szCs w:val="23"/>
        </w:rPr>
        <w:t xml:space="preserve">  </w:t>
      </w:r>
      <w:r w:rsidRPr="005E545A">
        <w:rPr>
          <w:sz w:val="20"/>
          <w:szCs w:val="20"/>
        </w:rPr>
        <w:t xml:space="preserve">*: </w:t>
      </w:r>
      <w:r>
        <w:rPr>
          <w:sz w:val="20"/>
          <w:szCs w:val="20"/>
        </w:rPr>
        <w:t>For Brazil, t</w:t>
      </w:r>
      <w:r w:rsidRPr="005E545A">
        <w:rPr>
          <w:sz w:val="20"/>
          <w:szCs w:val="20"/>
        </w:rPr>
        <w:t>his applies to inflation-indexed long-term bonds being issued as destination bonds. For short-term bonds (zero coupon and floating rate bonds</w:t>
      </w:r>
      <w:r>
        <w:rPr>
          <w:sz w:val="20"/>
          <w:szCs w:val="20"/>
        </w:rPr>
        <w:t>)</w:t>
      </w:r>
      <w:r w:rsidRPr="005E545A">
        <w:rPr>
          <w:sz w:val="20"/>
          <w:szCs w:val="20"/>
        </w:rPr>
        <w:t xml:space="preserve"> issued as destination bonds, source bond prices are fixed.</w:t>
      </w:r>
    </w:p>
    <w:p w14:paraId="7874F782" w14:textId="77777777" w:rsidR="00B373FE" w:rsidRPr="00140401" w:rsidRDefault="00B373FE" w:rsidP="00B373FE">
      <w:pPr>
        <w:autoSpaceDE w:val="0"/>
        <w:autoSpaceDN w:val="0"/>
        <w:adjustRightInd w:val="0"/>
        <w:rPr>
          <w:sz w:val="20"/>
          <w:szCs w:val="20"/>
        </w:rPr>
      </w:pPr>
      <w:r w:rsidRPr="00140401">
        <w:rPr>
          <w:sz w:val="20"/>
          <w:szCs w:val="20"/>
        </w:rPr>
        <w:t>@: For South Africa, it provides indicative pricing for the source bonds on which investors bid.</w:t>
      </w:r>
    </w:p>
    <w:p w14:paraId="3A481D2E" w14:textId="77777777" w:rsidR="00B373FE" w:rsidRPr="00E154A7" w:rsidRDefault="00B373FE" w:rsidP="00B373FE">
      <w:pPr>
        <w:autoSpaceDE w:val="0"/>
        <w:autoSpaceDN w:val="0"/>
        <w:adjustRightInd w:val="0"/>
        <w:rPr>
          <w:rFonts w:ascii="Times New Roman" w:hAnsi="Times New Roman" w:cs="Times New Roman"/>
        </w:rPr>
      </w:pPr>
    </w:p>
    <w:p w14:paraId="182FF2A5" w14:textId="77777777" w:rsidR="009C4101" w:rsidRDefault="009C4101" w:rsidP="009C4101">
      <w:pPr>
        <w:autoSpaceDE w:val="0"/>
        <w:autoSpaceDN w:val="0"/>
        <w:adjustRightInd w:val="0"/>
        <w:ind w:left="720" w:hanging="720"/>
        <w:jc w:val="both"/>
        <w:rPr>
          <w:rFonts w:cstheme="minorHAnsi"/>
        </w:rPr>
      </w:pPr>
    </w:p>
    <w:p w14:paraId="027C52B3" w14:textId="77777777" w:rsidR="009C4101" w:rsidRDefault="009C4101" w:rsidP="009C4101">
      <w:pPr>
        <w:autoSpaceDE w:val="0"/>
        <w:autoSpaceDN w:val="0"/>
        <w:adjustRightInd w:val="0"/>
        <w:ind w:left="720" w:hanging="720"/>
        <w:jc w:val="both"/>
        <w:rPr>
          <w:rFonts w:cstheme="minorHAnsi"/>
        </w:rPr>
      </w:pPr>
      <w:r>
        <w:rPr>
          <w:rFonts w:cstheme="minorHAnsi"/>
        </w:rPr>
        <w:t>8.3</w:t>
      </w:r>
      <w:r>
        <w:rPr>
          <w:rFonts w:cstheme="minorHAnsi"/>
        </w:rPr>
        <w:tab/>
      </w:r>
      <w:r w:rsidRPr="00FF0D12">
        <w:rPr>
          <w:rFonts w:cstheme="minorHAnsi"/>
        </w:rPr>
        <w:t xml:space="preserve">Countries use two methods for conducting </w:t>
      </w:r>
      <w:r>
        <w:rPr>
          <w:rFonts w:cstheme="minorHAnsi"/>
        </w:rPr>
        <w:t>auction-based switch</w:t>
      </w:r>
      <w:r w:rsidRPr="00FF0D12">
        <w:rPr>
          <w:rFonts w:cstheme="minorHAnsi"/>
        </w:rPr>
        <w:t xml:space="preserve"> operations. Some countries auction the</w:t>
      </w:r>
      <w:r>
        <w:rPr>
          <w:rFonts w:cstheme="minorHAnsi"/>
        </w:rPr>
        <w:t xml:space="preserve"> </w:t>
      </w:r>
      <w:r w:rsidRPr="00FF0D12">
        <w:rPr>
          <w:rFonts w:cstheme="minorHAnsi"/>
        </w:rPr>
        <w:t>destination bond, while fixing the price of the source bond; and others auction the source bond, while</w:t>
      </w:r>
      <w:r>
        <w:rPr>
          <w:rFonts w:cstheme="minorHAnsi"/>
        </w:rPr>
        <w:t xml:space="preserve"> </w:t>
      </w:r>
      <w:r w:rsidRPr="00FF0D12">
        <w:rPr>
          <w:rFonts w:cstheme="minorHAnsi"/>
        </w:rPr>
        <w:t xml:space="preserve">fixing the price of the destination bond. </w:t>
      </w:r>
      <w:r>
        <w:rPr>
          <w:rFonts w:cstheme="minorHAnsi"/>
        </w:rPr>
        <w:t>When the destination bond is used for bidding, higher prices (lower yields) will result in greater cash receipts for the government. In contrast, when the source bond is used for bidding, lower prices (higher yields) will result in greater cash receipts for the government.</w:t>
      </w:r>
      <w:r>
        <w:rPr>
          <w:rFonts w:cstheme="minorHAnsi"/>
        </w:rPr>
        <w:tab/>
      </w:r>
    </w:p>
    <w:p w14:paraId="767D5DB0" w14:textId="77777777" w:rsidR="009C4101" w:rsidRDefault="009C4101" w:rsidP="009C4101">
      <w:pPr>
        <w:autoSpaceDE w:val="0"/>
        <w:autoSpaceDN w:val="0"/>
        <w:adjustRightInd w:val="0"/>
        <w:ind w:left="720" w:hanging="720"/>
        <w:jc w:val="both"/>
        <w:rPr>
          <w:rFonts w:cstheme="minorHAnsi"/>
        </w:rPr>
      </w:pPr>
    </w:p>
    <w:p w14:paraId="42801FC7" w14:textId="77777777" w:rsidR="009C4101" w:rsidRPr="00FF0D12" w:rsidRDefault="009C4101" w:rsidP="009C4101">
      <w:pPr>
        <w:autoSpaceDE w:val="0"/>
        <w:autoSpaceDN w:val="0"/>
        <w:adjustRightInd w:val="0"/>
        <w:ind w:left="720" w:hanging="720"/>
        <w:jc w:val="both"/>
        <w:rPr>
          <w:rFonts w:cstheme="minorHAnsi"/>
        </w:rPr>
      </w:pPr>
      <w:r>
        <w:rPr>
          <w:rFonts w:cstheme="minorHAnsi"/>
        </w:rPr>
        <w:lastRenderedPageBreak/>
        <w:t>8.4</w:t>
      </w:r>
      <w:r>
        <w:rPr>
          <w:rFonts w:cstheme="minorHAnsi"/>
        </w:rPr>
        <w:tab/>
        <w:t xml:space="preserve">The former method is more prevalent in use by countries (Table 1). </w:t>
      </w:r>
      <w:r w:rsidRPr="00FF0D12">
        <w:rPr>
          <w:rFonts w:cstheme="minorHAnsi"/>
        </w:rPr>
        <w:t xml:space="preserve">For emerging market economies, it might be advisable to fix the price of the </w:t>
      </w:r>
      <w:r>
        <w:rPr>
          <w:rFonts w:cstheme="minorHAnsi"/>
        </w:rPr>
        <w:t>new destination bond</w:t>
      </w:r>
      <w:r w:rsidRPr="00FF0D12">
        <w:rPr>
          <w:rFonts w:cstheme="minorHAnsi"/>
        </w:rPr>
        <w:t xml:space="preserve"> and request offers for the old </w:t>
      </w:r>
      <w:r>
        <w:rPr>
          <w:rFonts w:cstheme="minorHAnsi"/>
        </w:rPr>
        <w:t xml:space="preserve">source </w:t>
      </w:r>
      <w:r w:rsidRPr="00FF0D12">
        <w:rPr>
          <w:rFonts w:cstheme="minorHAnsi"/>
        </w:rPr>
        <w:t xml:space="preserve">bond, since the price of the new on-the-run bond will most likely be known to the market anyhow. </w:t>
      </w:r>
    </w:p>
    <w:p w14:paraId="23B60023" w14:textId="77777777" w:rsidR="009C4101" w:rsidRDefault="009C4101" w:rsidP="00B373FE">
      <w:pPr>
        <w:autoSpaceDE w:val="0"/>
        <w:autoSpaceDN w:val="0"/>
        <w:adjustRightInd w:val="0"/>
        <w:ind w:left="720" w:hanging="720"/>
        <w:jc w:val="both"/>
        <w:rPr>
          <w:rFonts w:cstheme="minorHAnsi"/>
        </w:rPr>
      </w:pPr>
    </w:p>
    <w:p w14:paraId="7B94375D" w14:textId="7188AF32" w:rsidR="00B373FE" w:rsidRDefault="00B373FE" w:rsidP="00B373FE">
      <w:pPr>
        <w:autoSpaceDE w:val="0"/>
        <w:autoSpaceDN w:val="0"/>
        <w:adjustRightInd w:val="0"/>
        <w:ind w:left="720" w:hanging="720"/>
        <w:jc w:val="both"/>
        <w:rPr>
          <w:rFonts w:cstheme="minorHAnsi"/>
        </w:rPr>
      </w:pPr>
      <w:r>
        <w:rPr>
          <w:rFonts w:cstheme="minorHAnsi"/>
        </w:rPr>
        <w:t>8</w:t>
      </w:r>
      <w:r w:rsidRPr="00702457">
        <w:rPr>
          <w:rFonts w:cstheme="minorHAnsi"/>
        </w:rPr>
        <w:t>.</w:t>
      </w:r>
      <w:r w:rsidR="00664219">
        <w:rPr>
          <w:rFonts w:cstheme="minorHAnsi"/>
        </w:rPr>
        <w:t>5</w:t>
      </w:r>
      <w:r w:rsidRPr="00702457">
        <w:rPr>
          <w:rFonts w:cstheme="minorHAnsi"/>
        </w:rPr>
        <w:tab/>
        <w:t>An issue specific to bond switches is the number of bonds to be included in the exchange.</w:t>
      </w:r>
      <w:r>
        <w:rPr>
          <w:rFonts w:cstheme="minorHAnsi"/>
        </w:rPr>
        <w:t xml:space="preserve"> </w:t>
      </w:r>
      <w:r w:rsidRPr="00702457">
        <w:rPr>
          <w:rFonts w:cstheme="minorHAnsi"/>
        </w:rPr>
        <w:t>A switch operation may be carried out as a simple exchange of one source bond against another destination bond or as a more complex operation involving multiple source and/or destination bonds.</w:t>
      </w:r>
      <w:r>
        <w:rPr>
          <w:rFonts w:cstheme="minorHAnsi"/>
        </w:rPr>
        <w:t xml:space="preserve"> </w:t>
      </w:r>
      <w:r w:rsidRPr="00DA7475">
        <w:rPr>
          <w:rFonts w:cstheme="minorHAnsi"/>
        </w:rPr>
        <w:t xml:space="preserve">Debt managers try to alleviate the problem of less than desired participation by investors in the switch auction by offering </w:t>
      </w:r>
      <w:r>
        <w:rPr>
          <w:rFonts w:cstheme="minorHAnsi"/>
        </w:rPr>
        <w:t xml:space="preserve">greater flexibility or choice through </w:t>
      </w:r>
      <w:r w:rsidRPr="00DA7475">
        <w:rPr>
          <w:rFonts w:cstheme="minorHAnsi"/>
        </w:rPr>
        <w:t>multiple source and/or destination bonds, although the operational complexity of exchange operations will increase.</w:t>
      </w:r>
    </w:p>
    <w:p w14:paraId="001CD9D5" w14:textId="77777777" w:rsidR="00B373FE" w:rsidRDefault="00B373FE" w:rsidP="00B373FE">
      <w:pPr>
        <w:autoSpaceDE w:val="0"/>
        <w:autoSpaceDN w:val="0"/>
        <w:adjustRightInd w:val="0"/>
        <w:jc w:val="both"/>
        <w:rPr>
          <w:rFonts w:cstheme="minorHAnsi"/>
        </w:rPr>
      </w:pPr>
    </w:p>
    <w:p w14:paraId="6DDD7B58" w14:textId="18E51FB7" w:rsidR="00B373FE" w:rsidRPr="00DA7475" w:rsidRDefault="00B373FE" w:rsidP="00B373FE">
      <w:pPr>
        <w:autoSpaceDE w:val="0"/>
        <w:autoSpaceDN w:val="0"/>
        <w:adjustRightInd w:val="0"/>
        <w:ind w:left="720" w:hanging="720"/>
        <w:jc w:val="both"/>
        <w:rPr>
          <w:rFonts w:cstheme="minorHAnsi"/>
        </w:rPr>
      </w:pPr>
      <w:r>
        <w:rPr>
          <w:rFonts w:cstheme="minorHAnsi"/>
        </w:rPr>
        <w:t>8.</w:t>
      </w:r>
      <w:r w:rsidR="00664219">
        <w:rPr>
          <w:rFonts w:cstheme="minorHAnsi"/>
        </w:rPr>
        <w:t>6</w:t>
      </w:r>
      <w:r>
        <w:rPr>
          <w:rFonts w:cstheme="minorHAnsi"/>
        </w:rPr>
        <w:tab/>
        <w:t xml:space="preserve">For execution of switch operation with multiple source and/or destination bonds, the number of destination bonds to be issued for a specific source bond are usually indicated as pairs by the DMO. </w:t>
      </w:r>
    </w:p>
    <w:p w14:paraId="64D1DD4C" w14:textId="77777777" w:rsidR="00B373FE" w:rsidRPr="00466A94" w:rsidRDefault="00B373FE" w:rsidP="00B373FE">
      <w:pPr>
        <w:rPr>
          <w:b/>
        </w:rPr>
      </w:pPr>
    </w:p>
    <w:p w14:paraId="62239E46" w14:textId="77777777" w:rsidR="00B373FE" w:rsidRDefault="00B373FE" w:rsidP="00B373FE">
      <w:r>
        <w:rPr>
          <w:b/>
        </w:rPr>
        <w:t>9</w:t>
      </w:r>
      <w:r w:rsidRPr="001E783A">
        <w:rPr>
          <w:b/>
        </w:rPr>
        <w:t>.</w:t>
      </w:r>
      <w:r w:rsidRPr="001E783A">
        <w:rPr>
          <w:b/>
        </w:rPr>
        <w:tab/>
        <w:t>Setting of Price</w:t>
      </w:r>
      <w:r>
        <w:t xml:space="preserve"> </w:t>
      </w:r>
    </w:p>
    <w:p w14:paraId="0B7BD254" w14:textId="77777777" w:rsidR="00B373FE" w:rsidRDefault="00B373FE" w:rsidP="00B373FE">
      <w:pPr>
        <w:autoSpaceDE w:val="0"/>
        <w:autoSpaceDN w:val="0"/>
        <w:adjustRightInd w:val="0"/>
        <w:ind w:left="360"/>
      </w:pPr>
    </w:p>
    <w:p w14:paraId="28408D66" w14:textId="6597DE62" w:rsidR="00B373FE" w:rsidRDefault="00B373FE" w:rsidP="00B373FE">
      <w:pPr>
        <w:ind w:left="720" w:hanging="720"/>
      </w:pPr>
      <w:r>
        <w:t>9.1</w:t>
      </w:r>
      <w:r>
        <w:tab/>
        <w:t>Clean price is typically used for price setting and bidding. DMO sets either the clean price for source / destination bonds while investors bid on clean prices for destination / source bonds. For settlement purposes, however, dirty prices are used.</w:t>
      </w:r>
    </w:p>
    <w:p w14:paraId="0E3B5535" w14:textId="1540928C" w:rsidR="00302F71" w:rsidRDefault="00302F71" w:rsidP="00B373FE">
      <w:pPr>
        <w:ind w:left="720" w:hanging="720"/>
      </w:pPr>
    </w:p>
    <w:p w14:paraId="4F7D5453" w14:textId="5B9ED8CE" w:rsidR="00B373FE" w:rsidRPr="00392C7F" w:rsidRDefault="00B373FE" w:rsidP="00B373FE">
      <w:pPr>
        <w:autoSpaceDE w:val="0"/>
        <w:autoSpaceDN w:val="0"/>
        <w:adjustRightInd w:val="0"/>
        <w:ind w:left="720" w:hanging="720"/>
        <w:rPr>
          <w:rFonts w:cstheme="minorHAnsi"/>
        </w:rPr>
      </w:pPr>
      <w:r>
        <w:rPr>
          <w:rFonts w:cstheme="minorHAnsi"/>
        </w:rPr>
        <w:t>9</w:t>
      </w:r>
      <w:r w:rsidRPr="00392C7F">
        <w:rPr>
          <w:rFonts w:cstheme="minorHAnsi"/>
        </w:rPr>
        <w:t>.2</w:t>
      </w:r>
      <w:r w:rsidRPr="00392C7F">
        <w:rPr>
          <w:rFonts w:cstheme="minorHAnsi"/>
        </w:rPr>
        <w:tab/>
        <w:t>Reference Price: The reference is predominantly the observed market prices (average of market quotes) over a certain period, making allowance for the refinancing cost (particularly for short dated bonds) and/or for internal analytics (cheap/dear analysis).</w:t>
      </w:r>
    </w:p>
    <w:p w14:paraId="1618DEEE" w14:textId="77777777" w:rsidR="00B373FE" w:rsidRDefault="00B373FE" w:rsidP="00B373FE"/>
    <w:p w14:paraId="532CFDB7" w14:textId="77777777" w:rsidR="00B373FE" w:rsidRPr="005156AA" w:rsidRDefault="00B373FE" w:rsidP="00B373FE">
      <w:pPr>
        <w:autoSpaceDE w:val="0"/>
        <w:autoSpaceDN w:val="0"/>
        <w:adjustRightInd w:val="0"/>
        <w:ind w:left="720" w:hanging="720"/>
        <w:jc w:val="both"/>
        <w:rPr>
          <w:rFonts w:cstheme="minorHAnsi"/>
        </w:rPr>
      </w:pPr>
      <w:r>
        <w:rPr>
          <w:rFonts w:cstheme="minorHAnsi"/>
        </w:rPr>
        <w:t>9.3</w:t>
      </w:r>
      <w:r>
        <w:rPr>
          <w:rFonts w:cstheme="minorHAnsi"/>
        </w:rPr>
        <w:tab/>
        <w:t>For countries which fix the price of destination bonds, the most prevalent approach is to base the prices with respect to the secondary market price and/or most recent “on-the-run” issuance of such bond. However, i</w:t>
      </w:r>
      <w:r w:rsidRPr="005156AA">
        <w:rPr>
          <w:rFonts w:cstheme="minorHAnsi"/>
        </w:rPr>
        <w:t xml:space="preserve">n </w:t>
      </w:r>
      <w:r w:rsidRPr="00C219B7">
        <w:rPr>
          <w:rFonts w:cstheme="minorHAnsi"/>
          <w:bCs/>
        </w:rPr>
        <w:t>Canada</w:t>
      </w:r>
      <w:r w:rsidRPr="005156AA">
        <w:rPr>
          <w:rFonts w:cstheme="minorHAnsi"/>
        </w:rPr>
        <w:t>, bidding on the source bond is based on a spread versus the destination bond. The</w:t>
      </w:r>
      <w:r>
        <w:rPr>
          <w:rFonts w:cstheme="minorHAnsi"/>
        </w:rPr>
        <w:t xml:space="preserve"> </w:t>
      </w:r>
      <w:r w:rsidRPr="005156AA">
        <w:rPr>
          <w:rFonts w:cstheme="minorHAnsi"/>
        </w:rPr>
        <w:t>valuation method incorporates an internally developed zero-coupon curve model, with references to swap and Treasury bill curves, where appropriate. Results are released on a “best efforts basis”.</w:t>
      </w:r>
      <w:r>
        <w:rPr>
          <w:rFonts w:cstheme="minorHAnsi"/>
        </w:rPr>
        <w:t xml:space="preserve"> </w:t>
      </w:r>
    </w:p>
    <w:p w14:paraId="000E4A99" w14:textId="77777777" w:rsidR="00B373FE" w:rsidRDefault="00B373FE" w:rsidP="00B373FE">
      <w:pPr>
        <w:autoSpaceDE w:val="0"/>
        <w:autoSpaceDN w:val="0"/>
        <w:adjustRightInd w:val="0"/>
        <w:rPr>
          <w:rFonts w:ascii="Times New Roman" w:hAnsi="Times New Roman" w:cs="Times New Roman"/>
        </w:rPr>
      </w:pPr>
    </w:p>
    <w:p w14:paraId="3F507F63" w14:textId="77777777" w:rsidR="00B373FE" w:rsidRPr="00CD0037" w:rsidRDefault="00B373FE" w:rsidP="00B373FE">
      <w:pPr>
        <w:autoSpaceDE w:val="0"/>
        <w:autoSpaceDN w:val="0"/>
        <w:adjustRightInd w:val="0"/>
        <w:ind w:left="720" w:hanging="720"/>
        <w:jc w:val="both"/>
        <w:rPr>
          <w:rFonts w:cstheme="minorHAnsi"/>
        </w:rPr>
      </w:pPr>
      <w:r>
        <w:rPr>
          <w:rFonts w:cstheme="minorHAnsi"/>
        </w:rPr>
        <w:t>9</w:t>
      </w:r>
      <w:r w:rsidRPr="00CD0037">
        <w:rPr>
          <w:rFonts w:cstheme="minorHAnsi"/>
        </w:rPr>
        <w:t>.4</w:t>
      </w:r>
      <w:r w:rsidRPr="00CD0037">
        <w:rPr>
          <w:rFonts w:cstheme="minorHAnsi"/>
        </w:rPr>
        <w:tab/>
        <w:t xml:space="preserve">For countries which fix the price of source bonds, most countries base the prices with respect to the secondary market price of such bond. For example in Hungary, the price for the source bond is fixed 5 minutes before the exchange auction. PDs are requested to quote two-way prices for the source bonds. The 2 best and the 2 worst quotes are excluded from the calculation with the fixed price determined as the average of the remaining quotes. However, for the </w:t>
      </w:r>
      <w:r w:rsidRPr="00CD0037">
        <w:rPr>
          <w:rFonts w:cstheme="minorHAnsi"/>
          <w:bCs/>
        </w:rPr>
        <w:t xml:space="preserve">Danish DMO, it </w:t>
      </w:r>
      <w:r w:rsidRPr="00CD0037">
        <w:rPr>
          <w:rFonts w:cstheme="minorHAnsi"/>
        </w:rPr>
        <w:t>announces a price it will pay for the source bond as well as a so-called hedge ratio.</w:t>
      </w:r>
      <w:r>
        <w:rPr>
          <w:rFonts w:cstheme="minorHAnsi"/>
        </w:rPr>
        <w:t xml:space="preserve"> In contrast, South Africa provides indicative price and Thailand provides information on indicative yield ranges for destination bonds.</w:t>
      </w:r>
    </w:p>
    <w:p w14:paraId="0E33CE76" w14:textId="77777777" w:rsidR="00B373FE" w:rsidRPr="00CD0037" w:rsidRDefault="00B373FE" w:rsidP="00B373FE">
      <w:pPr>
        <w:autoSpaceDE w:val="0"/>
        <w:autoSpaceDN w:val="0"/>
        <w:adjustRightInd w:val="0"/>
        <w:jc w:val="both"/>
        <w:rPr>
          <w:rFonts w:cstheme="minorHAnsi"/>
        </w:rPr>
      </w:pPr>
    </w:p>
    <w:p w14:paraId="74844FA5" w14:textId="77777777" w:rsidR="00B373FE" w:rsidRPr="0002474A" w:rsidRDefault="00B373FE" w:rsidP="00B373FE">
      <w:pPr>
        <w:rPr>
          <w:b/>
        </w:rPr>
      </w:pPr>
      <w:r>
        <w:rPr>
          <w:b/>
        </w:rPr>
        <w:t>10</w:t>
      </w:r>
      <w:r w:rsidRPr="0002474A">
        <w:rPr>
          <w:b/>
        </w:rPr>
        <w:t>.</w:t>
      </w:r>
      <w:r w:rsidRPr="0002474A">
        <w:rPr>
          <w:b/>
        </w:rPr>
        <w:tab/>
        <w:t>Bid Amount</w:t>
      </w:r>
    </w:p>
    <w:p w14:paraId="24FA9550" w14:textId="77777777" w:rsidR="00B373FE" w:rsidRDefault="00B373FE" w:rsidP="00B373FE">
      <w:pPr>
        <w:ind w:left="720" w:hanging="720"/>
      </w:pPr>
    </w:p>
    <w:p w14:paraId="12F0516C" w14:textId="4CF9C4AA" w:rsidR="00B373FE" w:rsidRPr="00CD0037" w:rsidRDefault="00B373FE" w:rsidP="00B373FE">
      <w:pPr>
        <w:ind w:left="720" w:hanging="720"/>
      </w:pPr>
      <w:r>
        <w:t>10.1</w:t>
      </w:r>
      <w:r>
        <w:tab/>
      </w:r>
      <w:r w:rsidRPr="00CD0037">
        <w:t>Most countries will bid either on the source bond or the destination bond based on the face value offered for the source bond that they hold.</w:t>
      </w:r>
      <w:r>
        <w:t xml:space="preserve"> In case of switch auction involving multiple source / destination bonds, </w:t>
      </w:r>
      <w:r>
        <w:rPr>
          <w:rFonts w:cstheme="minorHAnsi"/>
        </w:rPr>
        <w:t xml:space="preserve">for a specific source bond on offer, investors will be required to indicate the bid amounts on the various destination bonds available for such source bond. </w:t>
      </w:r>
      <w:r>
        <w:t xml:space="preserve"> </w:t>
      </w:r>
    </w:p>
    <w:p w14:paraId="47E3A9EA" w14:textId="77777777" w:rsidR="00B373FE" w:rsidRDefault="00B373FE" w:rsidP="00B373FE">
      <w:pPr>
        <w:rPr>
          <w:b/>
        </w:rPr>
      </w:pPr>
    </w:p>
    <w:p w14:paraId="2870660A" w14:textId="379E1DA2" w:rsidR="00B373FE" w:rsidRDefault="00B373FE" w:rsidP="00B373FE">
      <w:pPr>
        <w:rPr>
          <w:b/>
        </w:rPr>
      </w:pPr>
      <w:r>
        <w:rPr>
          <w:b/>
        </w:rPr>
        <w:t>11.</w:t>
      </w:r>
      <w:r>
        <w:rPr>
          <w:b/>
        </w:rPr>
        <w:tab/>
        <w:t>Basis of Neutrality and Conversion Ratio</w:t>
      </w:r>
    </w:p>
    <w:p w14:paraId="36BEB385" w14:textId="77777777" w:rsidR="00B373FE" w:rsidRDefault="00B373FE" w:rsidP="00B373FE">
      <w:pPr>
        <w:autoSpaceDE w:val="0"/>
        <w:autoSpaceDN w:val="0"/>
        <w:adjustRightInd w:val="0"/>
        <w:ind w:left="720" w:hanging="720"/>
        <w:jc w:val="both"/>
        <w:rPr>
          <w:rFonts w:cstheme="minorHAnsi"/>
        </w:rPr>
      </w:pPr>
    </w:p>
    <w:p w14:paraId="7B07643F" w14:textId="22F9E844" w:rsidR="00B373FE" w:rsidRDefault="00B373FE" w:rsidP="00B373FE">
      <w:pPr>
        <w:autoSpaceDE w:val="0"/>
        <w:autoSpaceDN w:val="0"/>
        <w:adjustRightInd w:val="0"/>
        <w:ind w:left="720" w:hanging="720"/>
        <w:jc w:val="both"/>
        <w:rPr>
          <w:rFonts w:cstheme="minorHAnsi"/>
        </w:rPr>
      </w:pPr>
      <w:r>
        <w:rPr>
          <w:rFonts w:cstheme="minorHAnsi"/>
        </w:rPr>
        <w:t>11.1</w:t>
      </w:r>
      <w:r>
        <w:rPr>
          <w:rFonts w:cstheme="minorHAnsi"/>
        </w:rPr>
        <w:tab/>
        <w:t>T</w:t>
      </w:r>
      <w:r w:rsidR="001F28A8">
        <w:rPr>
          <w:rFonts w:cstheme="minorHAnsi"/>
        </w:rPr>
        <w:t>wo</w:t>
      </w:r>
      <w:r>
        <w:rPr>
          <w:rFonts w:cstheme="minorHAnsi"/>
        </w:rPr>
        <w:t xml:space="preserve"> types of switch operations can be undertaken based on its impact on the neutrality of cash proceeds</w:t>
      </w:r>
      <w:r w:rsidR="001F28A8">
        <w:rPr>
          <w:rFonts w:cstheme="minorHAnsi"/>
        </w:rPr>
        <w:t xml:space="preserve"> or </w:t>
      </w:r>
      <w:r>
        <w:rPr>
          <w:rFonts w:cstheme="minorHAnsi"/>
        </w:rPr>
        <w:t xml:space="preserve">duration. Most countries undertake switch operations to ensure neutrality on net cash flows. </w:t>
      </w:r>
    </w:p>
    <w:p w14:paraId="659DC430" w14:textId="77777777" w:rsidR="00B373FE" w:rsidRPr="00C116A5" w:rsidRDefault="00B373FE" w:rsidP="00243586">
      <w:pPr>
        <w:autoSpaceDE w:val="0"/>
        <w:autoSpaceDN w:val="0"/>
        <w:adjustRightInd w:val="0"/>
        <w:jc w:val="both"/>
        <w:rPr>
          <w:rFonts w:cstheme="minorHAnsi"/>
        </w:rPr>
      </w:pPr>
    </w:p>
    <w:p w14:paraId="707C56A7" w14:textId="77777777" w:rsidR="00B373FE" w:rsidRDefault="00B373FE" w:rsidP="00243586">
      <w:pPr>
        <w:ind w:left="720" w:hanging="720"/>
        <w:jc w:val="both"/>
        <w:rPr>
          <w:rFonts w:cstheme="minorHAnsi"/>
        </w:rPr>
      </w:pPr>
      <w:r w:rsidRPr="00C116A5">
        <w:rPr>
          <w:rFonts w:cstheme="minorHAnsi"/>
        </w:rPr>
        <w:t>1</w:t>
      </w:r>
      <w:r>
        <w:rPr>
          <w:rFonts w:cstheme="minorHAnsi"/>
        </w:rPr>
        <w:t>1</w:t>
      </w:r>
      <w:r w:rsidRPr="00C116A5">
        <w:rPr>
          <w:rFonts w:cstheme="minorHAnsi"/>
        </w:rPr>
        <w:t>.2</w:t>
      </w:r>
      <w:r w:rsidRPr="00C116A5">
        <w:rPr>
          <w:rFonts w:cstheme="minorHAnsi"/>
        </w:rPr>
        <w:tab/>
      </w:r>
      <w:r>
        <w:rPr>
          <w:rFonts w:cstheme="minorHAnsi"/>
        </w:rPr>
        <w:t xml:space="preserve">Cash Neutral: </w:t>
      </w:r>
      <w:r w:rsidRPr="00C116A5">
        <w:rPr>
          <w:rFonts w:cstheme="minorHAnsi"/>
        </w:rPr>
        <w:t xml:space="preserve">A cash neutral switch operation involves equal cash value settlement of bonds resulting in zero cashflow for either counterparty (DMO and investor). For this method, the nominal value of either the source or destination bond is adjusted to ensure cash neutrality. </w:t>
      </w:r>
      <w:r>
        <w:rPr>
          <w:rFonts w:cstheme="minorHAnsi"/>
        </w:rPr>
        <w:t>The conversion ratio for this method can be greater than or less than one:</w:t>
      </w:r>
    </w:p>
    <w:p w14:paraId="7616EC88" w14:textId="77777777" w:rsidR="00B373FE" w:rsidRDefault="00B373FE" w:rsidP="00B373FE">
      <w:pPr>
        <w:autoSpaceDE w:val="0"/>
        <w:autoSpaceDN w:val="0"/>
        <w:adjustRightInd w:val="0"/>
        <w:ind w:firstLine="720"/>
        <w:rPr>
          <w:rFonts w:cs="Arial"/>
          <w:sz w:val="21"/>
          <w:szCs w:val="21"/>
        </w:rPr>
      </w:pPr>
    </w:p>
    <w:p w14:paraId="6D15301D" w14:textId="3229510B" w:rsidR="00B373FE" w:rsidRPr="00C116A5" w:rsidRDefault="00B373FE" w:rsidP="00B373FE">
      <w:pPr>
        <w:autoSpaceDE w:val="0"/>
        <w:autoSpaceDN w:val="0"/>
        <w:adjustRightInd w:val="0"/>
        <w:ind w:firstLine="720"/>
        <w:rPr>
          <w:rFonts w:cs="Arial"/>
          <w:sz w:val="21"/>
          <w:szCs w:val="21"/>
        </w:rPr>
      </w:pPr>
      <w:r w:rsidRPr="00C116A5">
        <w:rPr>
          <w:rFonts w:cs="Arial"/>
          <w:sz w:val="21"/>
          <w:szCs w:val="21"/>
        </w:rPr>
        <w:t>Conversion Ratio</w:t>
      </w:r>
      <w:r>
        <w:rPr>
          <w:rFonts w:cs="Arial"/>
          <w:sz w:val="21"/>
          <w:szCs w:val="21"/>
        </w:rPr>
        <w:t xml:space="preserve"> =</w:t>
      </w:r>
      <w:r w:rsidRPr="00C116A5">
        <w:rPr>
          <w:rFonts w:cs="Arial"/>
          <w:sz w:val="21"/>
          <w:szCs w:val="21"/>
        </w:rPr>
        <w:tab/>
      </w:r>
      <w:r>
        <w:rPr>
          <w:rFonts w:cs="Arial"/>
          <w:sz w:val="21"/>
          <w:szCs w:val="21"/>
          <w:u w:val="single"/>
        </w:rPr>
        <w:t xml:space="preserve">Dirty </w:t>
      </w:r>
      <w:r w:rsidRPr="005407E9">
        <w:rPr>
          <w:rFonts w:cs="Arial"/>
          <w:sz w:val="21"/>
          <w:szCs w:val="21"/>
          <w:u w:val="single"/>
        </w:rPr>
        <w:t xml:space="preserve">Price </w:t>
      </w:r>
      <w:r>
        <w:rPr>
          <w:rFonts w:cs="Arial"/>
          <w:sz w:val="21"/>
          <w:szCs w:val="21"/>
          <w:u w:val="single"/>
        </w:rPr>
        <w:t xml:space="preserve">of source bond  </w:t>
      </w:r>
      <w:r w:rsidRPr="00C116A5">
        <w:rPr>
          <w:rFonts w:cs="Arial"/>
          <w:sz w:val="21"/>
          <w:szCs w:val="21"/>
        </w:rPr>
        <w:t xml:space="preserve">   </w:t>
      </w:r>
    </w:p>
    <w:p w14:paraId="60E3B4A8" w14:textId="77777777" w:rsidR="00B373FE" w:rsidRDefault="00B373FE" w:rsidP="00B373FE">
      <w:pPr>
        <w:autoSpaceDE w:val="0"/>
        <w:autoSpaceDN w:val="0"/>
        <w:adjustRightInd w:val="0"/>
        <w:ind w:left="2160" w:firstLine="720"/>
        <w:rPr>
          <w:rFonts w:cs="Arial"/>
          <w:sz w:val="21"/>
          <w:szCs w:val="21"/>
        </w:rPr>
      </w:pPr>
      <w:r>
        <w:rPr>
          <w:rFonts w:cs="Arial"/>
          <w:sz w:val="21"/>
          <w:szCs w:val="21"/>
        </w:rPr>
        <w:t>Dirty Price of destination bond</w:t>
      </w:r>
    </w:p>
    <w:p w14:paraId="1A966F12" w14:textId="77777777" w:rsidR="00B373FE" w:rsidRDefault="00B373FE" w:rsidP="00B373FE">
      <w:pPr>
        <w:autoSpaceDE w:val="0"/>
        <w:autoSpaceDN w:val="0"/>
        <w:adjustRightInd w:val="0"/>
        <w:rPr>
          <w:rFonts w:cstheme="minorHAnsi"/>
        </w:rPr>
      </w:pPr>
    </w:p>
    <w:p w14:paraId="00B0646D" w14:textId="4691C511" w:rsidR="00B373FE" w:rsidRDefault="00302F71" w:rsidP="00243586">
      <w:pPr>
        <w:autoSpaceDE w:val="0"/>
        <w:autoSpaceDN w:val="0"/>
        <w:adjustRightInd w:val="0"/>
        <w:ind w:left="720" w:hanging="720"/>
        <w:jc w:val="both"/>
        <w:rPr>
          <w:rFonts w:cs="Arial"/>
          <w:sz w:val="23"/>
          <w:szCs w:val="23"/>
        </w:rPr>
      </w:pPr>
      <w:r>
        <w:rPr>
          <w:rFonts w:cstheme="minorHAnsi"/>
        </w:rPr>
        <w:t>11.3</w:t>
      </w:r>
      <w:r>
        <w:rPr>
          <w:rFonts w:cstheme="minorHAnsi"/>
        </w:rPr>
        <w:tab/>
      </w:r>
      <w:r>
        <w:rPr>
          <w:rFonts w:cs="Arial"/>
          <w:sz w:val="23"/>
          <w:szCs w:val="23"/>
        </w:rPr>
        <w:t>Net cash proceeds to the investor is the difference between the bond values of source and destination bonds. For cash-neutral switch operations, given the difference in market prices between the source and destination bonds,</w:t>
      </w:r>
      <w:r w:rsidR="00243586">
        <w:rPr>
          <w:rFonts w:cs="Arial"/>
          <w:sz w:val="23"/>
          <w:szCs w:val="23"/>
        </w:rPr>
        <w:t xml:space="preserve"> and the minimum size of bids required, in effect there is always some net cash flow involved. The standard practice is to minimize the net cash flow which the government receives.</w:t>
      </w:r>
      <w:r>
        <w:rPr>
          <w:rFonts w:cs="Arial"/>
          <w:sz w:val="23"/>
          <w:szCs w:val="23"/>
        </w:rPr>
        <w:t xml:space="preserve"> </w:t>
      </w:r>
    </w:p>
    <w:p w14:paraId="4889E888" w14:textId="77777777" w:rsidR="00302F71" w:rsidRDefault="00302F71" w:rsidP="00243586">
      <w:pPr>
        <w:autoSpaceDE w:val="0"/>
        <w:autoSpaceDN w:val="0"/>
        <w:adjustRightInd w:val="0"/>
        <w:jc w:val="both"/>
        <w:rPr>
          <w:rFonts w:cstheme="minorHAnsi"/>
        </w:rPr>
      </w:pPr>
    </w:p>
    <w:p w14:paraId="0A094C38" w14:textId="40A80300" w:rsidR="00B373FE" w:rsidRDefault="00B373FE" w:rsidP="00243586">
      <w:pPr>
        <w:ind w:left="720" w:hanging="720"/>
        <w:jc w:val="both"/>
        <w:rPr>
          <w:rFonts w:cstheme="minorHAnsi"/>
        </w:rPr>
      </w:pPr>
      <w:r>
        <w:rPr>
          <w:rFonts w:cstheme="minorHAnsi"/>
        </w:rPr>
        <w:t>11.</w:t>
      </w:r>
      <w:r w:rsidR="00302F71">
        <w:rPr>
          <w:rFonts w:cstheme="minorHAnsi"/>
        </w:rPr>
        <w:t>4</w:t>
      </w:r>
      <w:r>
        <w:rPr>
          <w:rFonts w:cstheme="minorHAnsi"/>
        </w:rPr>
        <w:tab/>
        <w:t>Duration Neutral: Few countries like Canada and Malaysia undertake switch operation as d</w:t>
      </w:r>
      <w:r w:rsidRPr="00516BB1">
        <w:rPr>
          <w:rFonts w:cstheme="minorHAnsi"/>
        </w:rPr>
        <w:t xml:space="preserve">uration </w:t>
      </w:r>
      <w:r>
        <w:rPr>
          <w:rFonts w:cstheme="minorHAnsi"/>
        </w:rPr>
        <w:t>n</w:t>
      </w:r>
      <w:r w:rsidRPr="00516BB1">
        <w:rPr>
          <w:rFonts w:cstheme="minorHAnsi"/>
        </w:rPr>
        <w:t>eutral</w:t>
      </w:r>
      <w:r>
        <w:rPr>
          <w:rFonts w:cstheme="minorHAnsi"/>
        </w:rPr>
        <w:t xml:space="preserve"> that results in investors’ </w:t>
      </w:r>
      <w:r w:rsidRPr="00516BB1">
        <w:rPr>
          <w:rFonts w:cstheme="minorHAnsi"/>
        </w:rPr>
        <w:t>receiv</w:t>
      </w:r>
      <w:r>
        <w:rPr>
          <w:rFonts w:cstheme="minorHAnsi"/>
        </w:rPr>
        <w:t>ing</w:t>
      </w:r>
      <w:r w:rsidRPr="00516BB1">
        <w:rPr>
          <w:rFonts w:cstheme="minorHAnsi"/>
        </w:rPr>
        <w:t xml:space="preserve"> an amount of </w:t>
      </w:r>
      <w:r>
        <w:rPr>
          <w:rFonts w:cstheme="minorHAnsi"/>
        </w:rPr>
        <w:t xml:space="preserve">the destination bond </w:t>
      </w:r>
      <w:r w:rsidRPr="00516BB1">
        <w:rPr>
          <w:rFonts w:cstheme="minorHAnsi"/>
        </w:rPr>
        <w:t>that will</w:t>
      </w:r>
      <w:r>
        <w:rPr>
          <w:rFonts w:cstheme="minorHAnsi"/>
        </w:rPr>
        <w:t xml:space="preserve"> </w:t>
      </w:r>
      <w:r w:rsidRPr="00516BB1">
        <w:rPr>
          <w:rFonts w:cstheme="minorHAnsi"/>
        </w:rPr>
        <w:t xml:space="preserve">leave the </w:t>
      </w:r>
      <w:r>
        <w:rPr>
          <w:rFonts w:cstheme="minorHAnsi"/>
        </w:rPr>
        <w:t xml:space="preserve">effective </w:t>
      </w:r>
      <w:r w:rsidRPr="00516BB1">
        <w:rPr>
          <w:rFonts w:cstheme="minorHAnsi"/>
        </w:rPr>
        <w:t xml:space="preserve">duration </w:t>
      </w:r>
      <w:r>
        <w:rPr>
          <w:rFonts w:cstheme="minorHAnsi"/>
        </w:rPr>
        <w:t xml:space="preserve">of the </w:t>
      </w:r>
      <w:r w:rsidRPr="00516BB1">
        <w:rPr>
          <w:rFonts w:cstheme="minorHAnsi"/>
        </w:rPr>
        <w:t>unchanged</w:t>
      </w:r>
      <w:r>
        <w:rPr>
          <w:rStyle w:val="FootnoteReference"/>
          <w:rFonts w:cstheme="minorHAnsi"/>
        </w:rPr>
        <w:footnoteReference w:id="5"/>
      </w:r>
      <w:r w:rsidRPr="00516BB1">
        <w:rPr>
          <w:rFonts w:cstheme="minorHAnsi"/>
        </w:rPr>
        <w:t>.</w:t>
      </w:r>
      <w:r>
        <w:rPr>
          <w:rFonts w:cstheme="minorHAnsi"/>
        </w:rPr>
        <w:t xml:space="preserve"> Such transaction may involve cash flow implication for either counterparty. The conversion ratio is computed as:</w:t>
      </w:r>
    </w:p>
    <w:p w14:paraId="233ED77D" w14:textId="77777777" w:rsidR="00B373FE" w:rsidRDefault="00B373FE" w:rsidP="00B373FE">
      <w:pPr>
        <w:autoSpaceDE w:val="0"/>
        <w:autoSpaceDN w:val="0"/>
        <w:adjustRightInd w:val="0"/>
        <w:rPr>
          <w:rFonts w:cs="Arial"/>
          <w:sz w:val="21"/>
          <w:szCs w:val="21"/>
          <w:u w:val="single"/>
        </w:rPr>
      </w:pPr>
    </w:p>
    <w:p w14:paraId="21BDB0AD" w14:textId="687D1FEE" w:rsidR="00B373FE" w:rsidRPr="005407E9" w:rsidRDefault="00B373FE" w:rsidP="00B373FE">
      <w:pPr>
        <w:autoSpaceDE w:val="0"/>
        <w:autoSpaceDN w:val="0"/>
        <w:adjustRightInd w:val="0"/>
        <w:rPr>
          <w:rFonts w:cs="Arial"/>
          <w:sz w:val="21"/>
          <w:szCs w:val="21"/>
          <w:u w:val="single"/>
        </w:rPr>
      </w:pPr>
      <w:r w:rsidRPr="005407E9">
        <w:rPr>
          <w:rFonts w:cs="Arial"/>
          <w:sz w:val="21"/>
          <w:szCs w:val="21"/>
          <w:u w:val="single"/>
        </w:rPr>
        <w:t xml:space="preserve">[(Price </w:t>
      </w:r>
      <w:r>
        <w:rPr>
          <w:rFonts w:cs="Arial"/>
          <w:sz w:val="21"/>
          <w:szCs w:val="21"/>
          <w:u w:val="single"/>
        </w:rPr>
        <w:t>of Source Bond</w:t>
      </w:r>
      <w:r w:rsidRPr="005407E9">
        <w:rPr>
          <w:rFonts w:cs="Arial"/>
          <w:sz w:val="21"/>
          <w:szCs w:val="21"/>
          <w:u w:val="single"/>
        </w:rPr>
        <w:t xml:space="preserve"> </w:t>
      </w:r>
      <w:r w:rsidRPr="005407E9">
        <w:rPr>
          <w:rFonts w:cs="Arial"/>
          <w:sz w:val="14"/>
          <w:szCs w:val="14"/>
          <w:u w:val="single"/>
        </w:rPr>
        <w:t>– 1bp</w:t>
      </w:r>
      <w:r w:rsidRPr="005407E9">
        <w:rPr>
          <w:rFonts w:cs="Arial"/>
          <w:sz w:val="21"/>
          <w:szCs w:val="21"/>
          <w:u w:val="single"/>
        </w:rPr>
        <w:t xml:space="preserve">) – (Price </w:t>
      </w:r>
      <w:r>
        <w:rPr>
          <w:rFonts w:cs="Arial"/>
          <w:sz w:val="21"/>
          <w:szCs w:val="21"/>
          <w:u w:val="single"/>
        </w:rPr>
        <w:t>of Source Bond</w:t>
      </w:r>
      <w:r w:rsidRPr="005407E9">
        <w:rPr>
          <w:rFonts w:cs="Arial"/>
          <w:sz w:val="21"/>
          <w:szCs w:val="21"/>
          <w:u w:val="single"/>
        </w:rPr>
        <w:t xml:space="preserve"> </w:t>
      </w:r>
      <w:r w:rsidRPr="005407E9">
        <w:rPr>
          <w:rFonts w:cs="Arial"/>
          <w:sz w:val="14"/>
          <w:szCs w:val="14"/>
          <w:u w:val="single"/>
        </w:rPr>
        <w:t>+ 1bp</w:t>
      </w:r>
      <w:r w:rsidRPr="005407E9">
        <w:rPr>
          <w:rFonts w:cs="Arial"/>
          <w:sz w:val="21"/>
          <w:szCs w:val="21"/>
          <w:u w:val="single"/>
        </w:rPr>
        <w:t>)]</w:t>
      </w:r>
      <w:r>
        <w:rPr>
          <w:rFonts w:cs="Arial"/>
          <w:sz w:val="21"/>
          <w:szCs w:val="21"/>
          <w:u w:val="single"/>
        </w:rPr>
        <w:t xml:space="preserve"> *</w:t>
      </w:r>
      <w:r w:rsidRPr="005407E9">
        <w:rPr>
          <w:rFonts w:cs="Arial"/>
          <w:sz w:val="21"/>
          <w:szCs w:val="21"/>
          <w:u w:val="single"/>
        </w:rPr>
        <w:t xml:space="preserve"> (Price </w:t>
      </w:r>
      <w:r>
        <w:rPr>
          <w:rFonts w:cs="Arial"/>
          <w:sz w:val="21"/>
          <w:szCs w:val="21"/>
          <w:u w:val="single"/>
        </w:rPr>
        <w:t>of Destination Bond</w:t>
      </w:r>
      <w:r w:rsidRPr="005407E9">
        <w:rPr>
          <w:rFonts w:cs="Arial"/>
          <w:sz w:val="21"/>
          <w:szCs w:val="21"/>
          <w:u w:val="single"/>
        </w:rPr>
        <w:t>)</w:t>
      </w:r>
    </w:p>
    <w:p w14:paraId="052FA1E6" w14:textId="77777777" w:rsidR="00B373FE" w:rsidRDefault="00B373FE" w:rsidP="00B373FE">
      <w:pPr>
        <w:autoSpaceDE w:val="0"/>
        <w:autoSpaceDN w:val="0"/>
        <w:adjustRightInd w:val="0"/>
        <w:rPr>
          <w:rFonts w:cs="Arial"/>
          <w:sz w:val="21"/>
          <w:szCs w:val="21"/>
        </w:rPr>
      </w:pPr>
      <w:r>
        <w:rPr>
          <w:rFonts w:cs="Arial"/>
          <w:sz w:val="21"/>
          <w:szCs w:val="21"/>
        </w:rPr>
        <w:t xml:space="preserve">[Price of Destination Bond </w:t>
      </w:r>
      <w:r>
        <w:rPr>
          <w:rFonts w:cs="Arial"/>
          <w:sz w:val="14"/>
          <w:szCs w:val="14"/>
        </w:rPr>
        <w:t>– 1bp</w:t>
      </w:r>
      <w:r>
        <w:rPr>
          <w:rFonts w:cs="Arial"/>
          <w:sz w:val="21"/>
          <w:szCs w:val="21"/>
        </w:rPr>
        <w:t xml:space="preserve">) – (Price of Destination Bond </w:t>
      </w:r>
      <w:r>
        <w:rPr>
          <w:rFonts w:cs="Arial"/>
          <w:sz w:val="14"/>
          <w:szCs w:val="14"/>
        </w:rPr>
        <w:t>+ 1bp</w:t>
      </w:r>
      <w:r>
        <w:rPr>
          <w:rFonts w:cs="Arial"/>
          <w:sz w:val="21"/>
          <w:szCs w:val="21"/>
        </w:rPr>
        <w:t>)] * (</w:t>
      </w:r>
      <w:r w:rsidRPr="004C4D04">
        <w:rPr>
          <w:rFonts w:cs="Arial"/>
          <w:sz w:val="21"/>
          <w:szCs w:val="21"/>
        </w:rPr>
        <w:t>Price of Source Bond</w:t>
      </w:r>
      <w:r>
        <w:rPr>
          <w:rFonts w:cs="Arial"/>
          <w:sz w:val="21"/>
          <w:szCs w:val="21"/>
        </w:rPr>
        <w:t>)</w:t>
      </w:r>
    </w:p>
    <w:p w14:paraId="0F62A380" w14:textId="77777777" w:rsidR="00B373FE" w:rsidRDefault="00B373FE" w:rsidP="00B373FE">
      <w:pPr>
        <w:autoSpaceDE w:val="0"/>
        <w:autoSpaceDN w:val="0"/>
        <w:adjustRightInd w:val="0"/>
        <w:rPr>
          <w:rFonts w:cs="Arial"/>
          <w:sz w:val="21"/>
          <w:szCs w:val="21"/>
        </w:rPr>
      </w:pPr>
    </w:p>
    <w:p w14:paraId="56272467" w14:textId="77777777" w:rsidR="00B373FE" w:rsidRDefault="00B373FE" w:rsidP="00B373FE">
      <w:pPr>
        <w:autoSpaceDE w:val="0"/>
        <w:autoSpaceDN w:val="0"/>
        <w:adjustRightInd w:val="0"/>
        <w:ind w:firstLine="720"/>
        <w:rPr>
          <w:rFonts w:cs="Arial"/>
          <w:sz w:val="21"/>
          <w:szCs w:val="21"/>
        </w:rPr>
      </w:pPr>
      <w:r>
        <w:rPr>
          <w:rFonts w:cs="Arial"/>
          <w:sz w:val="21"/>
          <w:szCs w:val="21"/>
        </w:rPr>
        <w:t>Where:</w:t>
      </w:r>
    </w:p>
    <w:p w14:paraId="36AC5CC5" w14:textId="77777777" w:rsidR="00B373FE" w:rsidRDefault="00B373FE" w:rsidP="00B373FE">
      <w:pPr>
        <w:autoSpaceDE w:val="0"/>
        <w:autoSpaceDN w:val="0"/>
        <w:adjustRightInd w:val="0"/>
        <w:ind w:firstLine="720"/>
        <w:rPr>
          <w:rFonts w:cs="Arial"/>
          <w:sz w:val="21"/>
          <w:szCs w:val="21"/>
        </w:rPr>
      </w:pPr>
      <w:r>
        <w:rPr>
          <w:rFonts w:cs="Arial"/>
          <w:sz w:val="21"/>
          <w:szCs w:val="21"/>
        </w:rPr>
        <w:t xml:space="preserve">Price of Source Bond </w:t>
      </w:r>
      <w:r>
        <w:rPr>
          <w:rFonts w:cs="Arial"/>
          <w:sz w:val="14"/>
          <w:szCs w:val="14"/>
        </w:rPr>
        <w:t>–</w:t>
      </w:r>
      <w:proofErr w:type="gramStart"/>
      <w:r>
        <w:rPr>
          <w:rFonts w:cs="Arial"/>
          <w:sz w:val="14"/>
          <w:szCs w:val="14"/>
        </w:rPr>
        <w:t xml:space="preserve">1bp </w:t>
      </w:r>
      <w:r>
        <w:rPr>
          <w:rFonts w:cs="Arial"/>
          <w:sz w:val="21"/>
          <w:szCs w:val="21"/>
        </w:rPr>
        <w:t>:</w:t>
      </w:r>
      <w:proofErr w:type="gramEnd"/>
      <w:r>
        <w:rPr>
          <w:rFonts w:cs="Arial"/>
          <w:sz w:val="21"/>
          <w:szCs w:val="21"/>
        </w:rPr>
        <w:t xml:space="preserve"> Price of Source bond when yield decreased by 1 bp</w:t>
      </w:r>
    </w:p>
    <w:p w14:paraId="0D6FCF88" w14:textId="77777777" w:rsidR="00B373FE" w:rsidRDefault="00B373FE" w:rsidP="00B373FE">
      <w:pPr>
        <w:autoSpaceDE w:val="0"/>
        <w:autoSpaceDN w:val="0"/>
        <w:adjustRightInd w:val="0"/>
        <w:ind w:firstLine="720"/>
        <w:rPr>
          <w:rFonts w:cs="Arial"/>
          <w:sz w:val="21"/>
          <w:szCs w:val="21"/>
        </w:rPr>
      </w:pPr>
      <w:r>
        <w:rPr>
          <w:rFonts w:cs="Arial"/>
          <w:sz w:val="21"/>
          <w:szCs w:val="21"/>
        </w:rPr>
        <w:t xml:space="preserve">Price Source Bond </w:t>
      </w:r>
      <w:r>
        <w:rPr>
          <w:rFonts w:cs="Arial"/>
          <w:sz w:val="14"/>
          <w:szCs w:val="14"/>
        </w:rPr>
        <w:t>+ 1bp</w:t>
      </w:r>
      <w:r>
        <w:rPr>
          <w:rFonts w:cs="Arial"/>
          <w:sz w:val="21"/>
          <w:szCs w:val="21"/>
        </w:rPr>
        <w:t>: Price of Source bond when yield increased by 1 bp</w:t>
      </w:r>
    </w:p>
    <w:p w14:paraId="15793F58" w14:textId="77777777" w:rsidR="00B373FE" w:rsidRDefault="00B373FE" w:rsidP="00B373FE">
      <w:pPr>
        <w:autoSpaceDE w:val="0"/>
        <w:autoSpaceDN w:val="0"/>
        <w:adjustRightInd w:val="0"/>
        <w:ind w:firstLine="720"/>
        <w:rPr>
          <w:rFonts w:cs="Arial"/>
          <w:sz w:val="21"/>
          <w:szCs w:val="21"/>
        </w:rPr>
      </w:pPr>
      <w:r>
        <w:rPr>
          <w:rFonts w:cs="Arial"/>
          <w:sz w:val="21"/>
          <w:szCs w:val="21"/>
        </w:rPr>
        <w:t xml:space="preserve">Price of Destination Bond </w:t>
      </w:r>
      <w:r>
        <w:rPr>
          <w:rFonts w:cs="Arial"/>
          <w:sz w:val="14"/>
          <w:szCs w:val="14"/>
        </w:rPr>
        <w:t>–1bp</w:t>
      </w:r>
      <w:r>
        <w:rPr>
          <w:rFonts w:cs="Arial"/>
          <w:sz w:val="21"/>
          <w:szCs w:val="21"/>
        </w:rPr>
        <w:t>: Price of Destination bond when yield decreased by 1 bp</w:t>
      </w:r>
    </w:p>
    <w:p w14:paraId="677FC984" w14:textId="77777777" w:rsidR="00B373FE" w:rsidRDefault="00B373FE" w:rsidP="00B373FE">
      <w:pPr>
        <w:ind w:firstLine="720"/>
        <w:rPr>
          <w:rFonts w:cs="Arial"/>
          <w:sz w:val="21"/>
          <w:szCs w:val="21"/>
        </w:rPr>
      </w:pPr>
      <w:r>
        <w:rPr>
          <w:rFonts w:cs="Arial"/>
          <w:sz w:val="21"/>
          <w:szCs w:val="21"/>
        </w:rPr>
        <w:t xml:space="preserve">Price Destination Bond </w:t>
      </w:r>
      <w:r>
        <w:rPr>
          <w:rFonts w:cs="Arial"/>
          <w:sz w:val="14"/>
          <w:szCs w:val="14"/>
        </w:rPr>
        <w:t>+1bp</w:t>
      </w:r>
      <w:r>
        <w:rPr>
          <w:rFonts w:cs="Arial"/>
          <w:sz w:val="21"/>
          <w:szCs w:val="21"/>
        </w:rPr>
        <w:t>: Price of Destination bond when yield increased by 1bp</w:t>
      </w:r>
    </w:p>
    <w:p w14:paraId="2C62AFC9" w14:textId="77777777" w:rsidR="00B373FE" w:rsidRPr="00516BB1" w:rsidRDefault="00B373FE" w:rsidP="00B373FE">
      <w:pPr>
        <w:ind w:firstLine="720"/>
        <w:rPr>
          <w:rFonts w:cstheme="minorHAnsi"/>
        </w:rPr>
      </w:pPr>
      <w:r>
        <w:rPr>
          <w:rFonts w:cstheme="minorHAnsi"/>
        </w:rPr>
        <w:t>Price refers to Dirty Price</w:t>
      </w:r>
    </w:p>
    <w:p w14:paraId="1A1F39B7" w14:textId="77777777" w:rsidR="00B373FE" w:rsidRDefault="00B373FE" w:rsidP="00B373FE">
      <w:pPr>
        <w:ind w:left="720" w:hanging="720"/>
        <w:jc w:val="both"/>
        <w:rPr>
          <w:rFonts w:cstheme="minorHAnsi"/>
        </w:rPr>
      </w:pPr>
    </w:p>
    <w:p w14:paraId="60FE7BE6" w14:textId="613804E6" w:rsidR="00B373FE" w:rsidRPr="00EA3199" w:rsidRDefault="00B373FE" w:rsidP="00B373FE">
      <w:pPr>
        <w:ind w:left="720" w:hanging="720"/>
        <w:jc w:val="both"/>
        <w:rPr>
          <w:rFonts w:cstheme="minorHAnsi"/>
        </w:rPr>
      </w:pPr>
      <w:r>
        <w:rPr>
          <w:rFonts w:cstheme="minorHAnsi"/>
        </w:rPr>
        <w:t>11.</w:t>
      </w:r>
      <w:r w:rsidR="00302F71">
        <w:rPr>
          <w:rFonts w:cstheme="minorHAnsi"/>
        </w:rPr>
        <w:t>5</w:t>
      </w:r>
      <w:r>
        <w:rPr>
          <w:rFonts w:cstheme="minorHAnsi"/>
        </w:rPr>
        <w:tab/>
      </w:r>
      <w:r w:rsidRPr="00EA3199">
        <w:rPr>
          <w:rFonts w:cstheme="minorHAnsi"/>
        </w:rPr>
        <w:t xml:space="preserve">Canada uses switch operations based on duration neutrality </w:t>
      </w:r>
      <w:r>
        <w:rPr>
          <w:rFonts w:cstheme="minorHAnsi"/>
        </w:rPr>
        <w:t xml:space="preserve">to avoid market risks for investors and therefore </w:t>
      </w:r>
      <w:r w:rsidRPr="00EA3199">
        <w:rPr>
          <w:rFonts w:cstheme="minorHAnsi"/>
        </w:rPr>
        <w:t>have cash flow implications for the government. Duration neutral switches minimi</w:t>
      </w:r>
      <w:r>
        <w:rPr>
          <w:rFonts w:cstheme="minorHAnsi"/>
        </w:rPr>
        <w:t>z</w:t>
      </w:r>
      <w:r w:rsidRPr="00EA3199">
        <w:rPr>
          <w:rFonts w:cstheme="minorHAnsi"/>
        </w:rPr>
        <w:t>e market risk because interest rate changes affect both securities involved similarly. They are also attractive to investors because duration neutral switches allow them to maintain portfolio duration.</w:t>
      </w:r>
    </w:p>
    <w:p w14:paraId="1DE40424" w14:textId="10C95DA0" w:rsidR="00423DE4" w:rsidRDefault="00423DE4">
      <w:pPr>
        <w:rPr>
          <w:b/>
        </w:rPr>
      </w:pPr>
      <w:r>
        <w:rPr>
          <w:b/>
        </w:rPr>
        <w:br w:type="page"/>
      </w:r>
    </w:p>
    <w:p w14:paraId="18196D76" w14:textId="77777777" w:rsidR="00B373FE" w:rsidRDefault="00B373FE" w:rsidP="00B373FE">
      <w:pPr>
        <w:autoSpaceDE w:val="0"/>
        <w:autoSpaceDN w:val="0"/>
        <w:adjustRightInd w:val="0"/>
        <w:rPr>
          <w:b/>
        </w:rPr>
      </w:pPr>
    </w:p>
    <w:p w14:paraId="4F7FADE5" w14:textId="77777777" w:rsidR="00B373FE" w:rsidRPr="00392C7F" w:rsidRDefault="00B373FE" w:rsidP="00B373FE">
      <w:pPr>
        <w:rPr>
          <w:b/>
        </w:rPr>
      </w:pPr>
      <w:r>
        <w:rPr>
          <w:b/>
        </w:rPr>
        <w:t>12</w:t>
      </w:r>
      <w:r w:rsidRPr="00392C7F">
        <w:rPr>
          <w:b/>
        </w:rPr>
        <w:t>.</w:t>
      </w:r>
      <w:r w:rsidRPr="00392C7F">
        <w:rPr>
          <w:b/>
        </w:rPr>
        <w:tab/>
        <w:t>Auction Format</w:t>
      </w:r>
      <w:r w:rsidRPr="00392C7F">
        <w:rPr>
          <w:b/>
        </w:rPr>
        <w:tab/>
      </w:r>
    </w:p>
    <w:p w14:paraId="089AB745" w14:textId="77777777" w:rsidR="00B373FE" w:rsidRDefault="00B373FE" w:rsidP="00B373FE">
      <w:pPr>
        <w:autoSpaceDE w:val="0"/>
        <w:autoSpaceDN w:val="0"/>
        <w:adjustRightInd w:val="0"/>
        <w:ind w:left="720" w:hanging="720"/>
        <w:rPr>
          <w:rFonts w:cstheme="minorHAnsi"/>
        </w:rPr>
      </w:pPr>
    </w:p>
    <w:p w14:paraId="703F1BB5" w14:textId="45C9D4CE" w:rsidR="00B373FE" w:rsidRDefault="00B373FE" w:rsidP="00243586">
      <w:pPr>
        <w:autoSpaceDE w:val="0"/>
        <w:autoSpaceDN w:val="0"/>
        <w:adjustRightInd w:val="0"/>
        <w:ind w:left="720" w:hanging="720"/>
        <w:jc w:val="both"/>
        <w:rPr>
          <w:rFonts w:cstheme="minorHAnsi"/>
        </w:rPr>
      </w:pPr>
      <w:r>
        <w:rPr>
          <w:rFonts w:cstheme="minorHAnsi"/>
        </w:rPr>
        <w:t>12.1</w:t>
      </w:r>
      <w:r>
        <w:rPr>
          <w:rFonts w:cstheme="minorHAnsi"/>
        </w:rPr>
        <w:tab/>
      </w:r>
      <w:r w:rsidRPr="00E8475A">
        <w:rPr>
          <w:rFonts w:cstheme="minorHAnsi"/>
        </w:rPr>
        <w:t>Market practice varies as to whether the auction is a single price or multiple prices</w:t>
      </w:r>
      <w:r>
        <w:rPr>
          <w:rStyle w:val="FootnoteReference"/>
          <w:rFonts w:cstheme="minorHAnsi"/>
        </w:rPr>
        <w:footnoteReference w:id="6"/>
      </w:r>
      <w:r>
        <w:rPr>
          <w:rFonts w:cstheme="minorHAnsi"/>
        </w:rPr>
        <w:t>. Although m</w:t>
      </w:r>
      <w:r w:rsidRPr="00E8475A">
        <w:rPr>
          <w:rFonts w:cstheme="minorHAnsi"/>
        </w:rPr>
        <w:t>ultiple-price auctions</w:t>
      </w:r>
      <w:r>
        <w:rPr>
          <w:rFonts w:cstheme="minorHAnsi"/>
        </w:rPr>
        <w:t xml:space="preserve"> </w:t>
      </w:r>
      <w:r w:rsidRPr="00E8475A">
        <w:rPr>
          <w:rFonts w:cstheme="minorHAnsi"/>
        </w:rPr>
        <w:t>seem to prevail over uniform-price auctions</w:t>
      </w:r>
      <w:r>
        <w:rPr>
          <w:rFonts w:cstheme="minorHAnsi"/>
        </w:rPr>
        <w:t>, t</w:t>
      </w:r>
      <w:r w:rsidRPr="00E8475A">
        <w:rPr>
          <w:rFonts w:cstheme="minorHAnsi"/>
        </w:rPr>
        <w:t xml:space="preserve">he choice </w:t>
      </w:r>
      <w:r>
        <w:rPr>
          <w:rFonts w:cstheme="minorHAnsi"/>
        </w:rPr>
        <w:t>is country specific with respect to the auction format of standard bond issuance. I</w:t>
      </w:r>
      <w:r w:rsidRPr="00E8475A">
        <w:rPr>
          <w:rFonts w:cstheme="minorHAnsi"/>
        </w:rPr>
        <w:t>n countries where</w:t>
      </w:r>
      <w:r>
        <w:rPr>
          <w:rFonts w:cstheme="minorHAnsi"/>
        </w:rPr>
        <w:t xml:space="preserve"> </w:t>
      </w:r>
      <w:r w:rsidRPr="00E8475A">
        <w:rPr>
          <w:rFonts w:cstheme="minorHAnsi"/>
        </w:rPr>
        <w:t>the standard auctions follow the uniform-price system,</w:t>
      </w:r>
      <w:r>
        <w:rPr>
          <w:rFonts w:cstheme="minorHAnsi"/>
        </w:rPr>
        <w:t xml:space="preserve"> </w:t>
      </w:r>
      <w:r w:rsidRPr="00E8475A">
        <w:rPr>
          <w:rFonts w:cstheme="minorHAnsi"/>
        </w:rPr>
        <w:t>DMOs should consult the market about the potential</w:t>
      </w:r>
      <w:r>
        <w:rPr>
          <w:rFonts w:cstheme="minorHAnsi"/>
        </w:rPr>
        <w:t xml:space="preserve"> </w:t>
      </w:r>
      <w:r w:rsidRPr="00E8475A">
        <w:rPr>
          <w:rFonts w:cstheme="minorHAnsi"/>
        </w:rPr>
        <w:t>advantages of standardization.</w:t>
      </w:r>
    </w:p>
    <w:p w14:paraId="6AF5AFDC" w14:textId="556D648F" w:rsidR="00302F71" w:rsidRDefault="00302F71" w:rsidP="00243586">
      <w:pPr>
        <w:autoSpaceDE w:val="0"/>
        <w:autoSpaceDN w:val="0"/>
        <w:adjustRightInd w:val="0"/>
        <w:ind w:left="720" w:hanging="720"/>
        <w:jc w:val="both"/>
        <w:rPr>
          <w:rFonts w:cstheme="minorHAnsi"/>
        </w:rPr>
      </w:pPr>
    </w:p>
    <w:p w14:paraId="029ABB1F" w14:textId="5CC02A1C" w:rsidR="00302F71" w:rsidRDefault="00302F71" w:rsidP="00243586">
      <w:pPr>
        <w:ind w:left="720" w:hanging="720"/>
        <w:jc w:val="both"/>
      </w:pPr>
      <w:r>
        <w:t>12.2</w:t>
      </w:r>
      <w:r>
        <w:tab/>
        <w:t>Most countries bid based on the clean prices while some countries use yield equivalent of clean prices. In Israel, bids are however placed based on the conversion ratios.</w:t>
      </w:r>
    </w:p>
    <w:p w14:paraId="60B7B4AA" w14:textId="77777777" w:rsidR="00302F71" w:rsidRDefault="00302F71" w:rsidP="00243586">
      <w:pPr>
        <w:autoSpaceDE w:val="0"/>
        <w:autoSpaceDN w:val="0"/>
        <w:adjustRightInd w:val="0"/>
        <w:ind w:left="720" w:hanging="720"/>
        <w:jc w:val="both"/>
        <w:rPr>
          <w:rFonts w:cstheme="minorHAnsi"/>
        </w:rPr>
      </w:pPr>
    </w:p>
    <w:p w14:paraId="462B54C1" w14:textId="03D7AD80" w:rsidR="00B373FE" w:rsidRDefault="00B373FE" w:rsidP="00243586">
      <w:pPr>
        <w:autoSpaceDE w:val="0"/>
        <w:autoSpaceDN w:val="0"/>
        <w:adjustRightInd w:val="0"/>
        <w:ind w:left="720" w:hanging="720"/>
        <w:jc w:val="both"/>
        <w:rPr>
          <w:rFonts w:cstheme="minorHAnsi"/>
        </w:rPr>
      </w:pPr>
      <w:r>
        <w:rPr>
          <w:rFonts w:cstheme="minorHAnsi"/>
        </w:rPr>
        <w:t>12.</w:t>
      </w:r>
      <w:r w:rsidR="00302F71">
        <w:rPr>
          <w:rFonts w:cstheme="minorHAnsi"/>
        </w:rPr>
        <w:t>3</w:t>
      </w:r>
      <w:r>
        <w:rPr>
          <w:rFonts w:cstheme="minorHAnsi"/>
        </w:rPr>
        <w:tab/>
        <w:t xml:space="preserve">Some countries </w:t>
      </w:r>
      <w:r w:rsidR="00885FFC">
        <w:rPr>
          <w:rFonts w:cstheme="minorHAnsi"/>
        </w:rPr>
        <w:t xml:space="preserve">like Poland </w:t>
      </w:r>
      <w:r>
        <w:rPr>
          <w:rFonts w:cstheme="minorHAnsi"/>
        </w:rPr>
        <w:t>include non-competitive bids for switch operations. In such cases, the non-competitive bids are priced at the average of the competitive bids that has been accepted by the DMO.</w:t>
      </w:r>
    </w:p>
    <w:p w14:paraId="075F4F93" w14:textId="77777777" w:rsidR="00B373FE" w:rsidRPr="00E8475A" w:rsidRDefault="00B373FE" w:rsidP="00B373FE">
      <w:pPr>
        <w:autoSpaceDE w:val="0"/>
        <w:autoSpaceDN w:val="0"/>
        <w:adjustRightInd w:val="0"/>
        <w:rPr>
          <w:rFonts w:cstheme="minorHAnsi"/>
        </w:rPr>
      </w:pPr>
    </w:p>
    <w:p w14:paraId="6E7C7D9C" w14:textId="77777777" w:rsidR="00B373FE" w:rsidRPr="00392C7F" w:rsidRDefault="00B373FE" w:rsidP="00B373FE">
      <w:pPr>
        <w:rPr>
          <w:b/>
        </w:rPr>
      </w:pPr>
      <w:r w:rsidRPr="00392C7F">
        <w:rPr>
          <w:b/>
        </w:rPr>
        <w:t>1</w:t>
      </w:r>
      <w:r>
        <w:rPr>
          <w:b/>
        </w:rPr>
        <w:t>3</w:t>
      </w:r>
      <w:r w:rsidRPr="00392C7F">
        <w:rPr>
          <w:b/>
        </w:rPr>
        <w:t>.</w:t>
      </w:r>
      <w:r w:rsidRPr="00392C7F">
        <w:rPr>
          <w:b/>
        </w:rPr>
        <w:tab/>
        <w:t>Eligible Participants</w:t>
      </w:r>
    </w:p>
    <w:p w14:paraId="5F663020" w14:textId="77777777" w:rsidR="00B373FE" w:rsidRDefault="00B373FE" w:rsidP="00B373FE">
      <w:pPr>
        <w:ind w:left="720" w:hanging="720"/>
        <w:jc w:val="both"/>
        <w:rPr>
          <w:rFonts w:cstheme="minorHAnsi"/>
        </w:rPr>
      </w:pPr>
    </w:p>
    <w:p w14:paraId="38EBC741" w14:textId="32757715" w:rsidR="00B373FE" w:rsidRPr="00392C7F" w:rsidRDefault="00B373FE" w:rsidP="00B373FE">
      <w:pPr>
        <w:ind w:left="720" w:hanging="720"/>
        <w:jc w:val="both"/>
        <w:rPr>
          <w:rFonts w:cstheme="minorHAnsi"/>
        </w:rPr>
      </w:pPr>
      <w:r w:rsidRPr="00392C7F">
        <w:rPr>
          <w:rFonts w:cstheme="minorHAnsi"/>
        </w:rPr>
        <w:t>1</w:t>
      </w:r>
      <w:r>
        <w:rPr>
          <w:rFonts w:cstheme="minorHAnsi"/>
        </w:rPr>
        <w:t>3</w:t>
      </w:r>
      <w:r w:rsidRPr="00392C7F">
        <w:rPr>
          <w:rFonts w:cstheme="minorHAnsi"/>
        </w:rPr>
        <w:t>.1</w:t>
      </w:r>
      <w:r w:rsidRPr="00392C7F">
        <w:rPr>
          <w:rFonts w:cstheme="minorHAnsi"/>
        </w:rPr>
        <w:tab/>
        <w:t>The most common practice is to limit participation in a buyback or exchange event to the primary dealers (PDs). All holders of bonds must then submit their bids through a PD. However, there are exceptions</w:t>
      </w:r>
      <w:r w:rsidRPr="00392C7F">
        <w:rPr>
          <w:rStyle w:val="FootnoteReference"/>
          <w:rFonts w:cstheme="minorHAnsi"/>
        </w:rPr>
        <w:footnoteReference w:id="7"/>
      </w:r>
      <w:r w:rsidRPr="00392C7F">
        <w:rPr>
          <w:rFonts w:cstheme="minorHAnsi"/>
        </w:rPr>
        <w:t>.</w:t>
      </w:r>
    </w:p>
    <w:p w14:paraId="4847CC93" w14:textId="77777777" w:rsidR="00B373FE" w:rsidRPr="004A0960" w:rsidRDefault="00B373FE" w:rsidP="00B373FE">
      <w:pPr>
        <w:pStyle w:val="ListParagraph"/>
        <w:rPr>
          <w:rFonts w:ascii="AGaramond-Regular" w:hAnsi="AGaramond-Regular" w:cs="AGaramond-Regular"/>
          <w:sz w:val="20"/>
          <w:szCs w:val="20"/>
        </w:rPr>
      </w:pPr>
    </w:p>
    <w:p w14:paraId="057FF394" w14:textId="77777777" w:rsidR="00B373FE" w:rsidRPr="00392C7F" w:rsidRDefault="00B373FE" w:rsidP="00B373FE">
      <w:pPr>
        <w:rPr>
          <w:rFonts w:cstheme="minorHAnsi"/>
          <w:b/>
        </w:rPr>
      </w:pPr>
      <w:r w:rsidRPr="00392C7F">
        <w:rPr>
          <w:rFonts w:cstheme="minorHAnsi"/>
          <w:b/>
        </w:rPr>
        <w:t>1</w:t>
      </w:r>
      <w:r>
        <w:rPr>
          <w:rFonts w:cstheme="minorHAnsi"/>
          <w:b/>
        </w:rPr>
        <w:t>4</w:t>
      </w:r>
      <w:r w:rsidRPr="00392C7F">
        <w:rPr>
          <w:rFonts w:cstheme="minorHAnsi"/>
          <w:b/>
        </w:rPr>
        <w:t>.</w:t>
      </w:r>
      <w:r w:rsidRPr="00392C7F">
        <w:rPr>
          <w:rFonts w:cstheme="minorHAnsi"/>
          <w:b/>
        </w:rPr>
        <w:tab/>
        <w:t>Timing of Announcement</w:t>
      </w:r>
    </w:p>
    <w:p w14:paraId="3BD5F82F" w14:textId="77777777" w:rsidR="00B373FE" w:rsidRDefault="00B373FE" w:rsidP="00B373FE">
      <w:pPr>
        <w:ind w:left="720" w:hanging="720"/>
        <w:rPr>
          <w:rFonts w:cstheme="minorHAnsi"/>
        </w:rPr>
      </w:pPr>
    </w:p>
    <w:p w14:paraId="18B035E2" w14:textId="6E51311C" w:rsidR="00B373FE" w:rsidRPr="00392C7F" w:rsidRDefault="00B373FE" w:rsidP="00243586">
      <w:pPr>
        <w:ind w:left="720" w:hanging="720"/>
        <w:jc w:val="both"/>
        <w:rPr>
          <w:rFonts w:cstheme="minorHAnsi"/>
        </w:rPr>
      </w:pPr>
      <w:r>
        <w:rPr>
          <w:rFonts w:cstheme="minorHAnsi"/>
        </w:rPr>
        <w:t>14.1</w:t>
      </w:r>
      <w:r>
        <w:rPr>
          <w:rFonts w:cstheme="minorHAnsi"/>
        </w:rPr>
        <w:tab/>
      </w:r>
      <w:r w:rsidRPr="00392C7F">
        <w:rPr>
          <w:rFonts w:cstheme="minorHAnsi"/>
        </w:rPr>
        <w:t xml:space="preserve">Practiced procedures </w:t>
      </w:r>
      <w:r>
        <w:rPr>
          <w:rFonts w:cstheme="minorHAnsi"/>
        </w:rPr>
        <w:t xml:space="preserve">for switch operations </w:t>
      </w:r>
      <w:r w:rsidRPr="00392C7F">
        <w:rPr>
          <w:rFonts w:cstheme="minorHAnsi"/>
        </w:rPr>
        <w:t xml:space="preserve">are to provide between 1-3 week’s advance </w:t>
      </w:r>
      <w:proofErr w:type="gramStart"/>
      <w:r w:rsidRPr="00392C7F">
        <w:rPr>
          <w:rFonts w:cstheme="minorHAnsi"/>
        </w:rPr>
        <w:t>notice</w:t>
      </w:r>
      <w:proofErr w:type="gramEnd"/>
      <w:r w:rsidRPr="00392C7F">
        <w:rPr>
          <w:rFonts w:cstheme="minorHAnsi"/>
        </w:rPr>
        <w:t>. Some countries include them within their annual calendar of planned operations. OECD countries typically undertake switch operations as ad-hoc transactions reflecting their mature</w:t>
      </w:r>
      <w:r>
        <w:rPr>
          <w:rFonts w:cstheme="minorHAnsi"/>
        </w:rPr>
        <w:t xml:space="preserve"> </w:t>
      </w:r>
      <w:r w:rsidRPr="00392C7F">
        <w:rPr>
          <w:rFonts w:cstheme="minorHAnsi"/>
        </w:rPr>
        <w:t xml:space="preserve">government securities markets with few illiquid bonds and also adequate technical expertise residing in such DMOs. For frequent transactions on switch auctions, a calendar may be appropriate to streamline the transactions. To benefit from better pricing, for countries fixing the price of a destination bond, it is preferable for the switch auction to take place after a standard benchmark bond auction. </w:t>
      </w:r>
    </w:p>
    <w:p w14:paraId="3B0FCCA9" w14:textId="22891366" w:rsidR="00423DE4" w:rsidRDefault="00423DE4">
      <w:r>
        <w:br w:type="page"/>
      </w:r>
    </w:p>
    <w:p w14:paraId="7FB9E720" w14:textId="77777777" w:rsidR="00B373FE" w:rsidRDefault="00B373FE" w:rsidP="00B373FE">
      <w:pPr>
        <w:autoSpaceDE w:val="0"/>
        <w:autoSpaceDN w:val="0"/>
        <w:adjustRightInd w:val="0"/>
      </w:pPr>
    </w:p>
    <w:p w14:paraId="682B33A7" w14:textId="77777777" w:rsidR="00B373FE" w:rsidRPr="008913FD" w:rsidRDefault="00B373FE" w:rsidP="00B373FE">
      <w:pPr>
        <w:rPr>
          <w:b/>
          <w:sz w:val="26"/>
          <w:szCs w:val="26"/>
        </w:rPr>
      </w:pPr>
      <w:r w:rsidRPr="008913FD">
        <w:rPr>
          <w:b/>
          <w:sz w:val="26"/>
          <w:szCs w:val="26"/>
        </w:rPr>
        <w:t>III. Proposed Framework of Switch Auctions for Armenia</w:t>
      </w:r>
    </w:p>
    <w:p w14:paraId="5C9F199D" w14:textId="77777777" w:rsidR="00B373FE" w:rsidRDefault="00B373FE" w:rsidP="00B373FE">
      <w:pPr>
        <w:autoSpaceDE w:val="0"/>
        <w:autoSpaceDN w:val="0"/>
        <w:adjustRightInd w:val="0"/>
      </w:pPr>
    </w:p>
    <w:p w14:paraId="5C6979B7" w14:textId="1A9EE40A" w:rsidR="00B373FE" w:rsidRDefault="00B373FE" w:rsidP="00B373FE">
      <w:pPr>
        <w:autoSpaceDE w:val="0"/>
        <w:autoSpaceDN w:val="0"/>
        <w:adjustRightInd w:val="0"/>
      </w:pPr>
      <w:r>
        <w:t>Based on the current state of the government securities market in Armenia and the prevalent country practices in switch operations, the following framework is proposed for Armenia.</w:t>
      </w:r>
    </w:p>
    <w:p w14:paraId="4D4AB66A" w14:textId="19E4A3E0" w:rsidR="009C4101" w:rsidRDefault="009C4101">
      <w:pPr>
        <w:rPr>
          <w:rFonts w:cstheme="minorHAnsi"/>
          <w:b/>
        </w:rPr>
      </w:pPr>
    </w:p>
    <w:p w14:paraId="26D64F61" w14:textId="6BF26648" w:rsidR="00B373FE" w:rsidRPr="00AC1B32" w:rsidRDefault="00B373FE" w:rsidP="00B373FE">
      <w:pPr>
        <w:autoSpaceDE w:val="0"/>
        <w:autoSpaceDN w:val="0"/>
        <w:adjustRightInd w:val="0"/>
        <w:rPr>
          <w:rFonts w:cstheme="minorHAnsi"/>
          <w:b/>
        </w:rPr>
      </w:pPr>
      <w:r>
        <w:rPr>
          <w:rFonts w:cstheme="minorHAnsi"/>
          <w:b/>
        </w:rPr>
        <w:t>15</w:t>
      </w:r>
      <w:r w:rsidRPr="00AC1B32">
        <w:rPr>
          <w:rFonts w:cstheme="minorHAnsi"/>
          <w:b/>
        </w:rPr>
        <w:t>.</w:t>
      </w:r>
      <w:r w:rsidRPr="00AC1B32">
        <w:rPr>
          <w:rFonts w:cstheme="minorHAnsi"/>
          <w:b/>
        </w:rPr>
        <w:tab/>
        <w:t>Policy Objective</w:t>
      </w:r>
      <w:r>
        <w:rPr>
          <w:rFonts w:cstheme="minorHAnsi"/>
          <w:b/>
        </w:rPr>
        <w:t>s</w:t>
      </w:r>
    </w:p>
    <w:p w14:paraId="06AFF26A" w14:textId="77777777" w:rsidR="00B373FE" w:rsidRDefault="00B373FE" w:rsidP="00B373FE">
      <w:pPr>
        <w:autoSpaceDE w:val="0"/>
        <w:autoSpaceDN w:val="0"/>
        <w:adjustRightInd w:val="0"/>
        <w:jc w:val="both"/>
      </w:pPr>
    </w:p>
    <w:p w14:paraId="26F38C80" w14:textId="77777777" w:rsidR="00B373FE" w:rsidRDefault="00B373FE" w:rsidP="00B373FE">
      <w:pPr>
        <w:autoSpaceDE w:val="0"/>
        <w:autoSpaceDN w:val="0"/>
        <w:adjustRightInd w:val="0"/>
        <w:ind w:left="720" w:hanging="720"/>
        <w:jc w:val="both"/>
      </w:pPr>
      <w:r>
        <w:t>15.1</w:t>
      </w:r>
      <w:r>
        <w:tab/>
        <w:t>The main objective for using switch operations will be to manage refinancing risk and/or to smooth redemption profile. As a secondary objective, switches can also be used for retiring illiquid bonds from the market. The Public Debt Management Department (PDMD) should therefore device a cogent strategy on the mix of the uses for which the switch operation will be used. It is being proposed to limit the use of switch operation for retiring illiquid securities to 20 percent of the overall annual volume of switch operation.</w:t>
      </w:r>
    </w:p>
    <w:p w14:paraId="6861C29F" w14:textId="77777777" w:rsidR="00B373FE" w:rsidRDefault="00B373FE" w:rsidP="00B373FE">
      <w:pPr>
        <w:autoSpaceDE w:val="0"/>
        <w:autoSpaceDN w:val="0"/>
        <w:adjustRightInd w:val="0"/>
        <w:ind w:left="720" w:hanging="720"/>
        <w:jc w:val="both"/>
      </w:pPr>
    </w:p>
    <w:p w14:paraId="0974297A" w14:textId="77777777" w:rsidR="00B373FE" w:rsidRDefault="00B373FE" w:rsidP="00B373FE">
      <w:pPr>
        <w:autoSpaceDE w:val="0"/>
        <w:autoSpaceDN w:val="0"/>
        <w:adjustRightInd w:val="0"/>
        <w:ind w:left="720" w:hanging="720"/>
        <w:jc w:val="both"/>
      </w:pPr>
      <w:r>
        <w:t>15.2</w:t>
      </w:r>
      <w:r>
        <w:tab/>
        <w:t>Given that PDMD is currently using buyback operations, the strategy should also determine the mix of switch and buyback operation to manage refinancing risks and/or to retire illiquid bonds. The use of switch operations should also be aligned with the cash management policy of the government.</w:t>
      </w:r>
    </w:p>
    <w:p w14:paraId="4867ED62" w14:textId="77777777" w:rsidR="00B373FE" w:rsidRDefault="00B373FE" w:rsidP="00B373FE">
      <w:pPr>
        <w:autoSpaceDE w:val="0"/>
        <w:autoSpaceDN w:val="0"/>
        <w:adjustRightInd w:val="0"/>
        <w:ind w:left="720" w:hanging="720"/>
        <w:jc w:val="both"/>
      </w:pPr>
    </w:p>
    <w:p w14:paraId="560AAE0E" w14:textId="77777777" w:rsidR="00B373FE" w:rsidRPr="00A25972" w:rsidRDefault="00B373FE" w:rsidP="00B373FE">
      <w:pPr>
        <w:autoSpaceDE w:val="0"/>
        <w:autoSpaceDN w:val="0"/>
        <w:adjustRightInd w:val="0"/>
        <w:ind w:left="720" w:hanging="720"/>
        <w:jc w:val="both"/>
        <w:rPr>
          <w:b/>
        </w:rPr>
      </w:pPr>
      <w:r w:rsidRPr="00A25972">
        <w:rPr>
          <w:b/>
        </w:rPr>
        <w:t>16.</w:t>
      </w:r>
      <w:r w:rsidRPr="00A25972">
        <w:rPr>
          <w:b/>
        </w:rPr>
        <w:tab/>
        <w:t>Bond Selection</w:t>
      </w:r>
    </w:p>
    <w:p w14:paraId="72C426AD" w14:textId="77777777" w:rsidR="00B373FE" w:rsidRDefault="00B373FE" w:rsidP="00B373FE">
      <w:pPr>
        <w:autoSpaceDE w:val="0"/>
        <w:autoSpaceDN w:val="0"/>
        <w:adjustRightInd w:val="0"/>
        <w:ind w:left="720" w:hanging="720"/>
        <w:jc w:val="both"/>
      </w:pPr>
    </w:p>
    <w:p w14:paraId="6A0CA1A6" w14:textId="77777777" w:rsidR="00B373FE" w:rsidRDefault="00B373FE" w:rsidP="00B373FE">
      <w:pPr>
        <w:autoSpaceDE w:val="0"/>
        <w:autoSpaceDN w:val="0"/>
        <w:adjustRightInd w:val="0"/>
        <w:ind w:left="720" w:hanging="720"/>
        <w:jc w:val="both"/>
      </w:pPr>
      <w:r>
        <w:t>16.1</w:t>
      </w:r>
      <w:r>
        <w:tab/>
        <w:t>The source bonds that will be used for managing refinancing risks shall be limited to existing bonds with a remaining maturity threshold of 18 months during any year. In case of any operation addressed at smoothening the redemption profile, the source bonds can exceed the threshold of 18 months. However, the annual amount of such switches should be limited to less than 25 percent of the overall switches. For switches to be undertaken for retiring illiquid securities, metrics on turnover ratio and bid-ask spreads should be developed to identify such source bonds qualifying for switches. Consultation with the Primary Dealers should be undertaken on a regular basis to identify the source bonds for liquidity purpose.</w:t>
      </w:r>
    </w:p>
    <w:p w14:paraId="01A23F3D" w14:textId="77777777" w:rsidR="00B373FE" w:rsidRDefault="00B373FE" w:rsidP="00B373FE">
      <w:pPr>
        <w:autoSpaceDE w:val="0"/>
        <w:autoSpaceDN w:val="0"/>
        <w:adjustRightInd w:val="0"/>
        <w:ind w:left="720" w:hanging="720"/>
        <w:jc w:val="both"/>
      </w:pPr>
    </w:p>
    <w:p w14:paraId="4860CA25" w14:textId="77777777" w:rsidR="00B373FE" w:rsidRDefault="00B373FE" w:rsidP="00B373FE">
      <w:pPr>
        <w:autoSpaceDE w:val="0"/>
        <w:autoSpaceDN w:val="0"/>
        <w:adjustRightInd w:val="0"/>
        <w:ind w:left="720" w:hanging="720"/>
        <w:jc w:val="both"/>
      </w:pPr>
      <w:r>
        <w:t>16.2</w:t>
      </w:r>
      <w:r>
        <w:tab/>
        <w:t>A negative list of source bonds should be developed by PDMD that would not be eligible for buying back the bonds as part of switch operations. The negative list for source bonds would include any “on-the-run” bonds and current benchmark bonds during the previous two financial years.</w:t>
      </w:r>
    </w:p>
    <w:p w14:paraId="4437D61E" w14:textId="77777777" w:rsidR="00B373FE" w:rsidRDefault="00B373FE" w:rsidP="00B373FE">
      <w:pPr>
        <w:autoSpaceDE w:val="0"/>
        <w:autoSpaceDN w:val="0"/>
        <w:adjustRightInd w:val="0"/>
        <w:ind w:left="720" w:hanging="720"/>
        <w:jc w:val="both"/>
      </w:pPr>
    </w:p>
    <w:p w14:paraId="2D1E18B0" w14:textId="77777777" w:rsidR="00B373FE" w:rsidRDefault="00B373FE" w:rsidP="00B373FE">
      <w:pPr>
        <w:autoSpaceDE w:val="0"/>
        <w:autoSpaceDN w:val="0"/>
        <w:adjustRightInd w:val="0"/>
        <w:ind w:left="720" w:hanging="720"/>
        <w:jc w:val="both"/>
      </w:pPr>
      <w:r>
        <w:t xml:space="preserve">16.3 </w:t>
      </w:r>
      <w:r>
        <w:tab/>
        <w:t xml:space="preserve">The destination bond to be issued as part of the switch auction should be recent on-the-run bonds which are designated as benchmark bonds and not as a new line of bond series. A series of switch operations can be undertaken to re-open the same destination bond over time and thereby add to its overall stock. Consultation with the Primary Dealers should be undertaken on a regular basis to identify the destination bonds and therefore assess the demand conditions for such bonds. </w:t>
      </w:r>
    </w:p>
    <w:p w14:paraId="76A5DEF7" w14:textId="77777777" w:rsidR="00B373FE" w:rsidRDefault="00B373FE" w:rsidP="00B373FE">
      <w:pPr>
        <w:autoSpaceDE w:val="0"/>
        <w:autoSpaceDN w:val="0"/>
        <w:adjustRightInd w:val="0"/>
        <w:ind w:left="720" w:hanging="720"/>
        <w:jc w:val="both"/>
      </w:pPr>
    </w:p>
    <w:p w14:paraId="5467B16D" w14:textId="77777777" w:rsidR="00B373FE" w:rsidRDefault="00B373FE" w:rsidP="00B373FE">
      <w:pPr>
        <w:autoSpaceDE w:val="0"/>
        <w:autoSpaceDN w:val="0"/>
        <w:adjustRightInd w:val="0"/>
        <w:ind w:left="720" w:hanging="720"/>
        <w:jc w:val="both"/>
      </w:pPr>
      <w:r>
        <w:t>16.4</w:t>
      </w:r>
      <w:r>
        <w:tab/>
        <w:t>The destination bond will not be re-opened when the coupon rate on such bonds exceed the current yield by 100 basis points. The destination bond will also not be re-opened once the bond assumes a threshold stock to limit refinancing risks associated with benchmark bonds.</w:t>
      </w:r>
    </w:p>
    <w:p w14:paraId="2B83A977" w14:textId="736F758E" w:rsidR="00B373FE" w:rsidRDefault="00B373FE" w:rsidP="00B373FE">
      <w:pPr>
        <w:autoSpaceDE w:val="0"/>
        <w:autoSpaceDN w:val="0"/>
        <w:adjustRightInd w:val="0"/>
        <w:ind w:left="720" w:hanging="720"/>
        <w:jc w:val="both"/>
      </w:pPr>
    </w:p>
    <w:p w14:paraId="7509036F" w14:textId="77777777" w:rsidR="00B373FE" w:rsidRDefault="00B373FE" w:rsidP="00B373FE">
      <w:pPr>
        <w:autoSpaceDE w:val="0"/>
        <w:autoSpaceDN w:val="0"/>
        <w:adjustRightInd w:val="0"/>
        <w:ind w:left="720" w:hanging="720"/>
        <w:jc w:val="both"/>
      </w:pPr>
      <w:r>
        <w:lastRenderedPageBreak/>
        <w:t>16.5</w:t>
      </w:r>
      <w:r>
        <w:tab/>
        <w:t>The frequency of switch auctions should be closely aligned to the issuance policy of benchmark bonds to allow greater window for duration of “on-the-run” benchmark bonds based on which the pricing of the destination bonds could be anchored.</w:t>
      </w:r>
    </w:p>
    <w:p w14:paraId="75D5A4EB" w14:textId="77777777" w:rsidR="00B373FE" w:rsidRDefault="00B373FE" w:rsidP="00B373FE">
      <w:pPr>
        <w:autoSpaceDE w:val="0"/>
        <w:autoSpaceDN w:val="0"/>
        <w:adjustRightInd w:val="0"/>
        <w:ind w:left="720" w:hanging="720"/>
        <w:jc w:val="both"/>
      </w:pPr>
      <w:r>
        <w:t xml:space="preserve"> </w:t>
      </w:r>
    </w:p>
    <w:p w14:paraId="2024C548" w14:textId="77777777" w:rsidR="00B373FE" w:rsidRDefault="00B373FE" w:rsidP="00B373FE">
      <w:pPr>
        <w:autoSpaceDE w:val="0"/>
        <w:autoSpaceDN w:val="0"/>
        <w:adjustRightInd w:val="0"/>
        <w:ind w:left="720" w:hanging="720"/>
        <w:jc w:val="both"/>
        <w:rPr>
          <w:rFonts w:cstheme="minorHAnsi"/>
        </w:rPr>
      </w:pPr>
      <w:r>
        <w:t>16.6</w:t>
      </w:r>
      <w:r>
        <w:tab/>
        <w:t>The s</w:t>
      </w:r>
      <w:r w:rsidRPr="00516BB1">
        <w:rPr>
          <w:rFonts w:cstheme="minorHAnsi"/>
        </w:rPr>
        <w:t xml:space="preserve">ource </w:t>
      </w:r>
      <w:r>
        <w:rPr>
          <w:rFonts w:cstheme="minorHAnsi"/>
        </w:rPr>
        <w:t>b</w:t>
      </w:r>
      <w:r w:rsidRPr="00516BB1">
        <w:rPr>
          <w:rFonts w:cstheme="minorHAnsi"/>
        </w:rPr>
        <w:t xml:space="preserve">onds repurchased through switches </w:t>
      </w:r>
      <w:r>
        <w:rPr>
          <w:rFonts w:cstheme="minorHAnsi"/>
        </w:rPr>
        <w:t xml:space="preserve">will be </w:t>
      </w:r>
      <w:r w:rsidRPr="00516BB1">
        <w:rPr>
          <w:rFonts w:cstheme="minorHAnsi"/>
        </w:rPr>
        <w:t>cancelled</w:t>
      </w:r>
      <w:r>
        <w:rPr>
          <w:rFonts w:cstheme="minorHAnsi"/>
        </w:rPr>
        <w:t xml:space="preserve"> by the government. However, once the government’s cash management capacity strengthens and progress towards active cash management framework</w:t>
      </w:r>
      <w:r w:rsidRPr="00516BB1">
        <w:rPr>
          <w:rFonts w:cstheme="minorHAnsi"/>
        </w:rPr>
        <w:t xml:space="preserve">, it may be useful to retain the flexibility of keeping the entire portion or a part of it in the books of PDMD, for future </w:t>
      </w:r>
      <w:r>
        <w:rPr>
          <w:rFonts w:cstheme="minorHAnsi"/>
        </w:rPr>
        <w:t xml:space="preserve">cash management </w:t>
      </w:r>
      <w:r w:rsidRPr="00516BB1">
        <w:rPr>
          <w:rFonts w:cstheme="minorHAnsi"/>
        </w:rPr>
        <w:t xml:space="preserve">purpose </w:t>
      </w:r>
      <w:r>
        <w:rPr>
          <w:rFonts w:cstheme="minorHAnsi"/>
        </w:rPr>
        <w:t xml:space="preserve">by the PDMD. </w:t>
      </w:r>
    </w:p>
    <w:p w14:paraId="3DB12303" w14:textId="77777777" w:rsidR="00B373FE" w:rsidRDefault="00B373FE" w:rsidP="00B373FE">
      <w:pPr>
        <w:autoSpaceDE w:val="0"/>
        <w:autoSpaceDN w:val="0"/>
        <w:adjustRightInd w:val="0"/>
        <w:ind w:left="720" w:hanging="720"/>
        <w:jc w:val="both"/>
      </w:pPr>
    </w:p>
    <w:p w14:paraId="4F990B59" w14:textId="77777777" w:rsidR="00B373FE" w:rsidRDefault="00B373FE" w:rsidP="00B373FE">
      <w:pPr>
        <w:autoSpaceDE w:val="0"/>
        <w:autoSpaceDN w:val="0"/>
        <w:adjustRightInd w:val="0"/>
        <w:ind w:left="720" w:hanging="720"/>
        <w:jc w:val="both"/>
        <w:rPr>
          <w:rFonts w:cstheme="minorHAnsi"/>
          <w:b/>
        </w:rPr>
      </w:pPr>
      <w:r w:rsidRPr="007750BA">
        <w:rPr>
          <w:b/>
        </w:rPr>
        <w:t>17.</w:t>
      </w:r>
      <w:r>
        <w:tab/>
      </w:r>
      <w:r w:rsidRPr="00FF0D12">
        <w:rPr>
          <w:rFonts w:cstheme="minorHAnsi"/>
          <w:b/>
        </w:rPr>
        <w:t>Format of Switch Auctions</w:t>
      </w:r>
    </w:p>
    <w:p w14:paraId="3D552654" w14:textId="77777777" w:rsidR="00B373FE" w:rsidRDefault="00B373FE" w:rsidP="00B373FE">
      <w:pPr>
        <w:autoSpaceDE w:val="0"/>
        <w:autoSpaceDN w:val="0"/>
        <w:adjustRightInd w:val="0"/>
        <w:ind w:left="720" w:hanging="720"/>
        <w:jc w:val="both"/>
      </w:pPr>
    </w:p>
    <w:p w14:paraId="06AC4BEC" w14:textId="77777777" w:rsidR="00B373FE" w:rsidRDefault="00B373FE" w:rsidP="00B373FE">
      <w:pPr>
        <w:autoSpaceDE w:val="0"/>
        <w:autoSpaceDN w:val="0"/>
        <w:adjustRightInd w:val="0"/>
        <w:ind w:left="720" w:hanging="720"/>
        <w:jc w:val="both"/>
      </w:pPr>
      <w:r>
        <w:t>17.1</w:t>
      </w:r>
      <w:r>
        <w:tab/>
        <w:t xml:space="preserve">Given the low level of secondary market activity on government bond market in Armenia, it is proposed to conduct switch operations by fixing the price of the destination bond. Given that the destination bonds will be “on-the-run” benchmark bonds, it will be relatively easier to value the destination bond. Investors will be required to bid on the source bonds. </w:t>
      </w:r>
    </w:p>
    <w:p w14:paraId="1AE94353" w14:textId="77777777" w:rsidR="00B373FE" w:rsidRDefault="00B373FE" w:rsidP="00B373FE">
      <w:pPr>
        <w:autoSpaceDE w:val="0"/>
        <w:autoSpaceDN w:val="0"/>
        <w:adjustRightInd w:val="0"/>
        <w:ind w:left="720" w:hanging="720"/>
        <w:jc w:val="both"/>
      </w:pPr>
    </w:p>
    <w:p w14:paraId="01C88F8A" w14:textId="77777777" w:rsidR="00B373FE" w:rsidRDefault="00B373FE" w:rsidP="00B373FE">
      <w:pPr>
        <w:autoSpaceDE w:val="0"/>
        <w:autoSpaceDN w:val="0"/>
        <w:adjustRightInd w:val="0"/>
        <w:ind w:left="720" w:hanging="720"/>
        <w:jc w:val="both"/>
      </w:pPr>
      <w:r>
        <w:t>17.2</w:t>
      </w:r>
      <w:r>
        <w:tab/>
        <w:t>The initial switch auctions are proposed to be undertaken based on exchange of one source bond with one destination bond. Once the market adjusts to such operations and adequate demand for such operations are generated from investors, the auction framework can be broadened to provide switching from one source bond to multiple source bonds and subsequently from multiple source bonds to multiple destination bonds.</w:t>
      </w:r>
    </w:p>
    <w:p w14:paraId="06374015" w14:textId="77777777" w:rsidR="00B373FE" w:rsidRDefault="00B373FE" w:rsidP="00B373FE">
      <w:pPr>
        <w:autoSpaceDE w:val="0"/>
        <w:autoSpaceDN w:val="0"/>
        <w:adjustRightInd w:val="0"/>
        <w:ind w:left="720" w:hanging="720"/>
        <w:jc w:val="both"/>
      </w:pPr>
      <w:r>
        <w:t xml:space="preserve"> </w:t>
      </w:r>
    </w:p>
    <w:p w14:paraId="10A219C9" w14:textId="77777777" w:rsidR="00B373FE" w:rsidRDefault="00B373FE" w:rsidP="00B373FE">
      <w:r>
        <w:rPr>
          <w:b/>
        </w:rPr>
        <w:t>18</w:t>
      </w:r>
      <w:r w:rsidRPr="001E783A">
        <w:rPr>
          <w:b/>
        </w:rPr>
        <w:t>.</w:t>
      </w:r>
      <w:r w:rsidRPr="001E783A">
        <w:rPr>
          <w:b/>
        </w:rPr>
        <w:tab/>
        <w:t>Setting of Price</w:t>
      </w:r>
      <w:r>
        <w:t xml:space="preserve"> </w:t>
      </w:r>
    </w:p>
    <w:p w14:paraId="35C3E850" w14:textId="77777777" w:rsidR="00B373FE" w:rsidRDefault="00B373FE" w:rsidP="00243586">
      <w:pPr>
        <w:autoSpaceDE w:val="0"/>
        <w:autoSpaceDN w:val="0"/>
        <w:adjustRightInd w:val="0"/>
        <w:ind w:left="360"/>
        <w:jc w:val="both"/>
      </w:pPr>
    </w:p>
    <w:p w14:paraId="37B4076A" w14:textId="77777777" w:rsidR="00B373FE" w:rsidRDefault="00B373FE" w:rsidP="00243586">
      <w:pPr>
        <w:ind w:left="720" w:hanging="720"/>
        <w:jc w:val="both"/>
      </w:pPr>
      <w:r>
        <w:t>18.1</w:t>
      </w:r>
      <w:r>
        <w:tab/>
        <w:t xml:space="preserve">As used globally, clean price will the basis for fixing price of the source bond and for bidding by investors.  Given that the current market practice in Armenia is for investors to submit bids in terms of yields based on clean price equivalent, the same convention will be adopted for investors to submit their bids on source bonds. Existing conventions on bond pricing will be adopted for day count conventions and number of decimal places used for pricing. In case of source bonds with a remaining maturity of less than year, the valuation will be based on T-Bills valuation. The yield-based bids for source bonds will be converted to clean price for auction processing purpose. </w:t>
      </w:r>
    </w:p>
    <w:p w14:paraId="36C4F8DA" w14:textId="77777777" w:rsidR="00B373FE" w:rsidRDefault="00B373FE" w:rsidP="00243586">
      <w:pPr>
        <w:jc w:val="both"/>
      </w:pPr>
    </w:p>
    <w:p w14:paraId="108D2E19" w14:textId="5EA68EE6" w:rsidR="00B373FE" w:rsidRDefault="00B373FE" w:rsidP="00243586">
      <w:pPr>
        <w:ind w:left="720" w:hanging="720"/>
        <w:jc w:val="both"/>
      </w:pPr>
      <w:r>
        <w:t>18.2</w:t>
      </w:r>
      <w:r>
        <w:tab/>
        <w:t xml:space="preserve">In the absence of a critical mass of secondary market trades, an alternative option for fixing the price of source bonds could be to use the relative price of the above methodology in relation to the median price </w:t>
      </w:r>
      <w:r>
        <w:rPr>
          <w:rFonts w:cstheme="minorHAnsi"/>
        </w:rPr>
        <w:t xml:space="preserve">obtained from the </w:t>
      </w:r>
      <w:r w:rsidRPr="00CD0037">
        <w:rPr>
          <w:rFonts w:cstheme="minorHAnsi"/>
        </w:rPr>
        <w:t>two-way price</w:t>
      </w:r>
      <w:r>
        <w:rPr>
          <w:rFonts w:cstheme="minorHAnsi"/>
        </w:rPr>
        <w:t xml:space="preserve"> quotes provided by the PDs. </w:t>
      </w:r>
      <w:r w:rsidRPr="00CD0037">
        <w:rPr>
          <w:rFonts w:cstheme="minorHAnsi"/>
        </w:rPr>
        <w:t xml:space="preserve"> </w:t>
      </w:r>
      <w:r>
        <w:t xml:space="preserve"> </w:t>
      </w:r>
    </w:p>
    <w:p w14:paraId="30B52CB3" w14:textId="77777777" w:rsidR="00B373FE" w:rsidRDefault="00B373FE" w:rsidP="00243586">
      <w:pPr>
        <w:jc w:val="both"/>
      </w:pPr>
    </w:p>
    <w:p w14:paraId="132E3E97" w14:textId="3D8BA13B" w:rsidR="00B373FE" w:rsidRDefault="00B373FE" w:rsidP="00243586">
      <w:pPr>
        <w:ind w:left="720" w:hanging="720"/>
        <w:jc w:val="both"/>
      </w:pPr>
      <w:r>
        <w:t>18.3</w:t>
      </w:r>
      <w:r>
        <w:tab/>
        <w:t xml:space="preserve">For internal operations purpose, </w:t>
      </w:r>
      <w:r>
        <w:rPr>
          <w:rFonts w:cstheme="minorHAnsi"/>
        </w:rPr>
        <w:t xml:space="preserve">PDAMD will be required to arrive at an indicative cut-off price on the source bond based on the secondary market prices, quotes offered by PDs and market consultation before the announcement of the switch operations. </w:t>
      </w:r>
    </w:p>
    <w:p w14:paraId="2FB2E022" w14:textId="77777777" w:rsidR="00B373FE" w:rsidRDefault="00B373FE" w:rsidP="00243586">
      <w:pPr>
        <w:jc w:val="both"/>
      </w:pPr>
    </w:p>
    <w:p w14:paraId="7023E199" w14:textId="3180A7D2" w:rsidR="00B373FE" w:rsidRDefault="00B373FE" w:rsidP="00243586">
      <w:pPr>
        <w:ind w:left="720" w:hanging="720"/>
        <w:jc w:val="both"/>
      </w:pPr>
      <w:r>
        <w:t>18.4</w:t>
      </w:r>
      <w:r>
        <w:tab/>
        <w:t>For settlement purposes, dirty prices will be used based on the existing bond valuation convention.</w:t>
      </w:r>
    </w:p>
    <w:p w14:paraId="3A6B9519" w14:textId="77777777" w:rsidR="00B373FE" w:rsidRDefault="00B373FE" w:rsidP="00243586">
      <w:pPr>
        <w:autoSpaceDE w:val="0"/>
        <w:autoSpaceDN w:val="0"/>
        <w:adjustRightInd w:val="0"/>
        <w:jc w:val="both"/>
        <w:rPr>
          <w:rFonts w:cstheme="minorHAnsi"/>
        </w:rPr>
      </w:pPr>
    </w:p>
    <w:p w14:paraId="2B929402" w14:textId="7C4D3EB5" w:rsidR="00B373FE" w:rsidRDefault="00B373FE" w:rsidP="00243586">
      <w:pPr>
        <w:autoSpaceDE w:val="0"/>
        <w:autoSpaceDN w:val="0"/>
        <w:adjustRightInd w:val="0"/>
        <w:ind w:left="720" w:hanging="720"/>
        <w:jc w:val="both"/>
        <w:rPr>
          <w:rFonts w:cstheme="minorHAnsi"/>
        </w:rPr>
      </w:pPr>
      <w:r>
        <w:rPr>
          <w:rFonts w:cstheme="minorHAnsi"/>
        </w:rPr>
        <w:t>18</w:t>
      </w:r>
      <w:r w:rsidRPr="00392C7F">
        <w:rPr>
          <w:rFonts w:cstheme="minorHAnsi"/>
        </w:rPr>
        <w:t>.</w:t>
      </w:r>
      <w:r>
        <w:rPr>
          <w:rFonts w:cstheme="minorHAnsi"/>
        </w:rPr>
        <w:t>5</w:t>
      </w:r>
      <w:r w:rsidRPr="00392C7F">
        <w:rPr>
          <w:rFonts w:cstheme="minorHAnsi"/>
        </w:rPr>
        <w:tab/>
        <w:t xml:space="preserve">Reference Price: </w:t>
      </w:r>
      <w:r>
        <w:rPr>
          <w:rFonts w:cstheme="minorHAnsi"/>
        </w:rPr>
        <w:t xml:space="preserve">Price of destination bonds will be fixed based on the weighted average price of the auction on the most recent “on-the-run” issuance of such bond and average price in the secondary market post issuance. If the “on-the-run” </w:t>
      </w:r>
      <w:proofErr w:type="gramStart"/>
      <w:r>
        <w:rPr>
          <w:rFonts w:cstheme="minorHAnsi"/>
        </w:rPr>
        <w:t>bonds has</w:t>
      </w:r>
      <w:proofErr w:type="gramEnd"/>
      <w:r>
        <w:rPr>
          <w:rFonts w:cstheme="minorHAnsi"/>
        </w:rPr>
        <w:t xml:space="preserve"> been issued </w:t>
      </w:r>
      <w:r>
        <w:rPr>
          <w:rFonts w:cstheme="minorHAnsi"/>
        </w:rPr>
        <w:lastRenderedPageBreak/>
        <w:t xml:space="preserve">within two weeks of the switch auction, a weight of 90 percent will be applied to the price of the “on-the-run” issuance and 10 percent on the secondary market prices. For every week beyond the two week issuance window, an additional 10 percent weight will be applied on the secondary market prices and reduced from the “on-the-run” issuance price. </w:t>
      </w:r>
    </w:p>
    <w:p w14:paraId="3144DA15" w14:textId="77777777" w:rsidR="00B373FE" w:rsidRDefault="00B373FE" w:rsidP="00243586">
      <w:pPr>
        <w:autoSpaceDE w:val="0"/>
        <w:autoSpaceDN w:val="0"/>
        <w:adjustRightInd w:val="0"/>
        <w:jc w:val="both"/>
        <w:rPr>
          <w:rFonts w:cstheme="minorHAnsi"/>
        </w:rPr>
      </w:pPr>
    </w:p>
    <w:p w14:paraId="396F2ACD" w14:textId="77777777" w:rsidR="00B373FE" w:rsidRDefault="00B373FE" w:rsidP="00243586">
      <w:pPr>
        <w:autoSpaceDE w:val="0"/>
        <w:autoSpaceDN w:val="0"/>
        <w:adjustRightInd w:val="0"/>
        <w:ind w:left="720" w:hanging="720"/>
        <w:jc w:val="both"/>
        <w:rPr>
          <w:rFonts w:cstheme="minorHAnsi"/>
        </w:rPr>
      </w:pPr>
      <w:r>
        <w:rPr>
          <w:rFonts w:cstheme="minorHAnsi"/>
        </w:rPr>
        <w:t>18.6</w:t>
      </w:r>
      <w:r>
        <w:rPr>
          <w:rFonts w:cstheme="minorHAnsi"/>
        </w:rPr>
        <w:tab/>
        <w:t xml:space="preserve">In case of significant price movements on either source or destination bonds following the announcement of switch auctions which cannot be justified by recent economic development, PDMD will retain the right </w:t>
      </w:r>
      <w:proofErr w:type="gramStart"/>
      <w:r>
        <w:rPr>
          <w:rFonts w:cstheme="minorHAnsi"/>
        </w:rPr>
        <w:t>to  cancel</w:t>
      </w:r>
      <w:proofErr w:type="gramEnd"/>
      <w:r>
        <w:rPr>
          <w:rFonts w:cstheme="minorHAnsi"/>
        </w:rPr>
        <w:t xml:space="preserve"> the offers either partially or fully in case its indicative cut-off price varies significantly from the bid prices. </w:t>
      </w:r>
    </w:p>
    <w:p w14:paraId="78C9C5C6" w14:textId="77777777" w:rsidR="00B373FE" w:rsidRDefault="00B373FE" w:rsidP="00243586">
      <w:pPr>
        <w:autoSpaceDE w:val="0"/>
        <w:autoSpaceDN w:val="0"/>
        <w:adjustRightInd w:val="0"/>
        <w:jc w:val="both"/>
        <w:rPr>
          <w:rFonts w:cstheme="minorHAnsi"/>
        </w:rPr>
      </w:pPr>
    </w:p>
    <w:p w14:paraId="6FB52BD2" w14:textId="77777777" w:rsidR="00B373FE" w:rsidRPr="00392C7F" w:rsidRDefault="00B373FE" w:rsidP="00243586">
      <w:pPr>
        <w:autoSpaceDE w:val="0"/>
        <w:autoSpaceDN w:val="0"/>
        <w:adjustRightInd w:val="0"/>
        <w:ind w:left="720" w:hanging="720"/>
        <w:jc w:val="both"/>
        <w:rPr>
          <w:rFonts w:cstheme="minorHAnsi"/>
        </w:rPr>
      </w:pPr>
      <w:r>
        <w:rPr>
          <w:rFonts w:cstheme="minorHAnsi"/>
        </w:rPr>
        <w:t>18.7</w:t>
      </w:r>
      <w:r>
        <w:rPr>
          <w:rFonts w:cstheme="minorHAnsi"/>
        </w:rPr>
        <w:tab/>
        <w:t xml:space="preserve">Over time, as technical expertise on executing LMO strengthens within PDMD and secondary market trading improves, the pricing mechanism by PDMD should incorporate </w:t>
      </w:r>
      <w:r w:rsidRPr="00392C7F">
        <w:rPr>
          <w:rFonts w:cstheme="minorHAnsi"/>
        </w:rPr>
        <w:t>refinancing cost for short dated bonds</w:t>
      </w:r>
      <w:r>
        <w:rPr>
          <w:rFonts w:cstheme="minorHAnsi"/>
        </w:rPr>
        <w:t xml:space="preserve"> </w:t>
      </w:r>
      <w:r w:rsidRPr="00392C7F">
        <w:rPr>
          <w:rFonts w:cstheme="minorHAnsi"/>
        </w:rPr>
        <w:t>and/or cheap/dear analysis.</w:t>
      </w:r>
    </w:p>
    <w:p w14:paraId="145F10E7" w14:textId="77777777" w:rsidR="00B373FE" w:rsidRDefault="00B373FE" w:rsidP="00B373FE"/>
    <w:p w14:paraId="1E1819E7" w14:textId="77777777" w:rsidR="00B373FE" w:rsidRPr="0002474A" w:rsidRDefault="00B373FE" w:rsidP="00B373FE">
      <w:pPr>
        <w:rPr>
          <w:b/>
        </w:rPr>
      </w:pPr>
      <w:r>
        <w:rPr>
          <w:b/>
        </w:rPr>
        <w:t>19</w:t>
      </w:r>
      <w:r w:rsidRPr="0002474A">
        <w:rPr>
          <w:b/>
        </w:rPr>
        <w:t>.</w:t>
      </w:r>
      <w:r w:rsidRPr="0002474A">
        <w:rPr>
          <w:b/>
        </w:rPr>
        <w:tab/>
        <w:t>Bid Amount</w:t>
      </w:r>
    </w:p>
    <w:p w14:paraId="5CCD6994" w14:textId="77777777" w:rsidR="00B373FE" w:rsidRDefault="00B373FE" w:rsidP="00B373FE"/>
    <w:p w14:paraId="1DA67E4C" w14:textId="4C43B6EC" w:rsidR="00B373FE" w:rsidRPr="00CD0037" w:rsidRDefault="00B373FE" w:rsidP="00B373FE">
      <w:pPr>
        <w:ind w:left="720" w:hanging="720"/>
      </w:pPr>
      <w:r>
        <w:t>19.1</w:t>
      </w:r>
      <w:r>
        <w:tab/>
        <w:t xml:space="preserve">Investors will be required to tender their offer of the volume of source bonds based on the face value.  </w:t>
      </w:r>
    </w:p>
    <w:p w14:paraId="0657B51A" w14:textId="77777777" w:rsidR="00B373FE" w:rsidRDefault="00B373FE" w:rsidP="00B373FE">
      <w:pPr>
        <w:rPr>
          <w:b/>
        </w:rPr>
      </w:pPr>
    </w:p>
    <w:p w14:paraId="1747F91C" w14:textId="4F58378B" w:rsidR="00B373FE" w:rsidRDefault="00B373FE" w:rsidP="00B373FE">
      <w:pPr>
        <w:rPr>
          <w:b/>
        </w:rPr>
      </w:pPr>
      <w:r>
        <w:rPr>
          <w:b/>
        </w:rPr>
        <w:t>20.</w:t>
      </w:r>
      <w:r>
        <w:rPr>
          <w:b/>
        </w:rPr>
        <w:tab/>
        <w:t>Basis of Neutrality and Conversion Ratio</w:t>
      </w:r>
    </w:p>
    <w:p w14:paraId="2F05F03C" w14:textId="77777777" w:rsidR="00B373FE" w:rsidRDefault="00B373FE" w:rsidP="00B373FE">
      <w:pPr>
        <w:autoSpaceDE w:val="0"/>
        <w:autoSpaceDN w:val="0"/>
        <w:adjustRightInd w:val="0"/>
        <w:jc w:val="both"/>
        <w:rPr>
          <w:rFonts w:cstheme="minorHAnsi"/>
        </w:rPr>
      </w:pPr>
    </w:p>
    <w:p w14:paraId="3F2C764C" w14:textId="6DCB659B" w:rsidR="00B373FE" w:rsidRDefault="00B373FE" w:rsidP="00B373FE">
      <w:pPr>
        <w:autoSpaceDE w:val="0"/>
        <w:autoSpaceDN w:val="0"/>
        <w:adjustRightInd w:val="0"/>
        <w:ind w:left="720" w:hanging="720"/>
        <w:jc w:val="both"/>
        <w:rPr>
          <w:rFonts w:cstheme="minorHAnsi"/>
        </w:rPr>
      </w:pPr>
      <w:r>
        <w:rPr>
          <w:rFonts w:cstheme="minorHAnsi"/>
        </w:rPr>
        <w:t>20.1</w:t>
      </w:r>
      <w:r>
        <w:rPr>
          <w:rFonts w:cstheme="minorHAnsi"/>
        </w:rPr>
        <w:tab/>
        <w:t xml:space="preserve">The switch operation is proposed to be conducted based on cash neutral basis. This will ensure that </w:t>
      </w:r>
      <w:r w:rsidRPr="00C116A5">
        <w:rPr>
          <w:rFonts w:cstheme="minorHAnsi"/>
        </w:rPr>
        <w:t xml:space="preserve">equal cash value settlement of bonds </w:t>
      </w:r>
      <w:r>
        <w:rPr>
          <w:rFonts w:cstheme="minorHAnsi"/>
        </w:rPr>
        <w:t xml:space="preserve">will </w:t>
      </w:r>
      <w:r w:rsidRPr="00C116A5">
        <w:rPr>
          <w:rFonts w:cstheme="minorHAnsi"/>
        </w:rPr>
        <w:t xml:space="preserve">result in zero cashflow for either counterparty </w:t>
      </w:r>
      <w:r>
        <w:rPr>
          <w:rFonts w:cstheme="minorHAnsi"/>
        </w:rPr>
        <w:t>PDMD</w:t>
      </w:r>
      <w:r w:rsidRPr="00C116A5">
        <w:rPr>
          <w:rFonts w:cstheme="minorHAnsi"/>
        </w:rPr>
        <w:t xml:space="preserve"> and investor). For this method, the nominal value of </w:t>
      </w:r>
      <w:r>
        <w:rPr>
          <w:rFonts w:cstheme="minorHAnsi"/>
        </w:rPr>
        <w:t xml:space="preserve">the </w:t>
      </w:r>
      <w:r w:rsidRPr="00C116A5">
        <w:rPr>
          <w:rFonts w:cstheme="minorHAnsi"/>
        </w:rPr>
        <w:t xml:space="preserve">destination bond </w:t>
      </w:r>
      <w:r>
        <w:rPr>
          <w:rFonts w:cstheme="minorHAnsi"/>
        </w:rPr>
        <w:t xml:space="preserve">will be </w:t>
      </w:r>
      <w:r w:rsidRPr="00C116A5">
        <w:rPr>
          <w:rFonts w:cstheme="minorHAnsi"/>
        </w:rPr>
        <w:t xml:space="preserve">adjusted to ensure cash neutrality. </w:t>
      </w:r>
      <w:r>
        <w:rPr>
          <w:rFonts w:cstheme="minorHAnsi"/>
        </w:rPr>
        <w:t>The conversion ratio for this method can be greater than or less than one:</w:t>
      </w:r>
    </w:p>
    <w:p w14:paraId="27C31442" w14:textId="77777777" w:rsidR="00B373FE" w:rsidRDefault="00B373FE" w:rsidP="00B373FE">
      <w:pPr>
        <w:autoSpaceDE w:val="0"/>
        <w:autoSpaceDN w:val="0"/>
        <w:adjustRightInd w:val="0"/>
        <w:rPr>
          <w:rFonts w:cs="Arial"/>
          <w:sz w:val="21"/>
          <w:szCs w:val="21"/>
        </w:rPr>
      </w:pPr>
    </w:p>
    <w:p w14:paraId="01ECE8DE" w14:textId="77777777" w:rsidR="00B373FE" w:rsidRPr="00C116A5" w:rsidRDefault="00B373FE" w:rsidP="00B373FE">
      <w:pPr>
        <w:autoSpaceDE w:val="0"/>
        <w:autoSpaceDN w:val="0"/>
        <w:adjustRightInd w:val="0"/>
        <w:rPr>
          <w:rFonts w:cs="Arial"/>
          <w:sz w:val="21"/>
          <w:szCs w:val="21"/>
        </w:rPr>
      </w:pPr>
      <w:r w:rsidRPr="00C116A5">
        <w:rPr>
          <w:rFonts w:cs="Arial"/>
          <w:sz w:val="21"/>
          <w:szCs w:val="21"/>
        </w:rPr>
        <w:t>Conversion Ratio</w:t>
      </w:r>
      <w:r>
        <w:rPr>
          <w:rFonts w:cs="Arial"/>
          <w:sz w:val="21"/>
          <w:szCs w:val="21"/>
        </w:rPr>
        <w:t xml:space="preserve"> =</w:t>
      </w:r>
      <w:r w:rsidRPr="00C116A5">
        <w:rPr>
          <w:rFonts w:cs="Arial"/>
          <w:sz w:val="21"/>
          <w:szCs w:val="21"/>
        </w:rPr>
        <w:tab/>
      </w:r>
      <w:r>
        <w:rPr>
          <w:rFonts w:cs="Arial"/>
          <w:sz w:val="21"/>
          <w:szCs w:val="21"/>
          <w:u w:val="single"/>
        </w:rPr>
        <w:t xml:space="preserve">Dirty </w:t>
      </w:r>
      <w:r w:rsidRPr="005407E9">
        <w:rPr>
          <w:rFonts w:cs="Arial"/>
          <w:sz w:val="21"/>
          <w:szCs w:val="21"/>
          <w:u w:val="single"/>
        </w:rPr>
        <w:t xml:space="preserve">Price </w:t>
      </w:r>
      <w:r>
        <w:rPr>
          <w:rFonts w:cs="Arial"/>
          <w:sz w:val="21"/>
          <w:szCs w:val="21"/>
          <w:u w:val="single"/>
        </w:rPr>
        <w:t xml:space="preserve">of source bond  </w:t>
      </w:r>
      <w:r w:rsidRPr="00C116A5">
        <w:rPr>
          <w:rFonts w:cs="Arial"/>
          <w:sz w:val="21"/>
          <w:szCs w:val="21"/>
        </w:rPr>
        <w:t xml:space="preserve">   </w:t>
      </w:r>
    </w:p>
    <w:p w14:paraId="78AE4BA9" w14:textId="77777777" w:rsidR="00B373FE" w:rsidRDefault="00B373FE" w:rsidP="00B373FE">
      <w:pPr>
        <w:autoSpaceDE w:val="0"/>
        <w:autoSpaceDN w:val="0"/>
        <w:adjustRightInd w:val="0"/>
        <w:ind w:left="1440" w:firstLine="720"/>
        <w:rPr>
          <w:rFonts w:cs="Arial"/>
          <w:sz w:val="21"/>
          <w:szCs w:val="21"/>
        </w:rPr>
      </w:pPr>
      <w:r>
        <w:rPr>
          <w:rFonts w:cs="Arial"/>
          <w:sz w:val="21"/>
          <w:szCs w:val="21"/>
        </w:rPr>
        <w:t>Dirty Price of destination bond</w:t>
      </w:r>
    </w:p>
    <w:p w14:paraId="51998962" w14:textId="77777777" w:rsidR="00B373FE" w:rsidRDefault="00B373FE" w:rsidP="00B373FE">
      <w:pPr>
        <w:autoSpaceDE w:val="0"/>
        <w:autoSpaceDN w:val="0"/>
        <w:adjustRightInd w:val="0"/>
        <w:ind w:left="720" w:hanging="720"/>
        <w:jc w:val="both"/>
      </w:pPr>
    </w:p>
    <w:p w14:paraId="0A38503E" w14:textId="77777777" w:rsidR="00B373FE" w:rsidRPr="00392C7F" w:rsidRDefault="00B373FE" w:rsidP="00B373FE">
      <w:pPr>
        <w:rPr>
          <w:b/>
        </w:rPr>
      </w:pPr>
      <w:r>
        <w:rPr>
          <w:b/>
        </w:rPr>
        <w:t>21</w:t>
      </w:r>
      <w:r w:rsidRPr="00392C7F">
        <w:rPr>
          <w:b/>
        </w:rPr>
        <w:t>.</w:t>
      </w:r>
      <w:r w:rsidRPr="00392C7F">
        <w:rPr>
          <w:b/>
        </w:rPr>
        <w:tab/>
        <w:t>Auction Format</w:t>
      </w:r>
      <w:r w:rsidRPr="00392C7F">
        <w:rPr>
          <w:b/>
        </w:rPr>
        <w:tab/>
      </w:r>
    </w:p>
    <w:p w14:paraId="0970FC96" w14:textId="77777777" w:rsidR="00B373FE" w:rsidRDefault="00B373FE" w:rsidP="00B373FE">
      <w:pPr>
        <w:autoSpaceDE w:val="0"/>
        <w:autoSpaceDN w:val="0"/>
        <w:adjustRightInd w:val="0"/>
        <w:ind w:left="720" w:hanging="720"/>
        <w:rPr>
          <w:rFonts w:cstheme="minorHAnsi"/>
        </w:rPr>
      </w:pPr>
    </w:p>
    <w:p w14:paraId="2D6B139F" w14:textId="701C9068" w:rsidR="00B373FE" w:rsidRDefault="00B373FE" w:rsidP="00B373FE">
      <w:pPr>
        <w:autoSpaceDE w:val="0"/>
        <w:autoSpaceDN w:val="0"/>
        <w:adjustRightInd w:val="0"/>
        <w:ind w:left="720" w:hanging="720"/>
        <w:rPr>
          <w:rFonts w:cstheme="minorHAnsi"/>
        </w:rPr>
      </w:pPr>
      <w:r>
        <w:rPr>
          <w:rFonts w:cstheme="minorHAnsi"/>
        </w:rPr>
        <w:t>21.1</w:t>
      </w:r>
      <w:r>
        <w:rPr>
          <w:rFonts w:cstheme="minorHAnsi"/>
        </w:rPr>
        <w:tab/>
        <w:t>In continuity with market convention in Armenia, it is proposed to adopt multiple price auction for switch auctions.</w:t>
      </w:r>
      <w:r w:rsidR="00885FFC">
        <w:rPr>
          <w:rFonts w:cstheme="minorHAnsi"/>
        </w:rPr>
        <w:t xml:space="preserve"> Allowing non-competitive bids for switch auctions </w:t>
      </w:r>
      <w:r>
        <w:rPr>
          <w:rFonts w:cstheme="minorHAnsi"/>
        </w:rPr>
        <w:t xml:space="preserve"> </w:t>
      </w:r>
    </w:p>
    <w:p w14:paraId="7FDC7DF8" w14:textId="77777777" w:rsidR="00B373FE" w:rsidRDefault="00B373FE" w:rsidP="00B373FE">
      <w:pPr>
        <w:autoSpaceDE w:val="0"/>
        <w:autoSpaceDN w:val="0"/>
        <w:adjustRightInd w:val="0"/>
        <w:rPr>
          <w:rFonts w:cstheme="minorHAnsi"/>
        </w:rPr>
      </w:pPr>
    </w:p>
    <w:p w14:paraId="48D990AC" w14:textId="77777777" w:rsidR="00B373FE" w:rsidRPr="00141FE7" w:rsidRDefault="00B373FE" w:rsidP="00B373FE">
      <w:pPr>
        <w:autoSpaceDE w:val="0"/>
        <w:autoSpaceDN w:val="0"/>
        <w:adjustRightInd w:val="0"/>
        <w:rPr>
          <w:rFonts w:cstheme="minorHAnsi"/>
          <w:b/>
        </w:rPr>
      </w:pPr>
      <w:r w:rsidRPr="00141FE7">
        <w:rPr>
          <w:rFonts w:cstheme="minorHAnsi"/>
          <w:b/>
        </w:rPr>
        <w:t>22.</w:t>
      </w:r>
      <w:r w:rsidRPr="00141FE7">
        <w:rPr>
          <w:rFonts w:cstheme="minorHAnsi"/>
          <w:b/>
        </w:rPr>
        <w:tab/>
        <w:t>Submission of Bids</w:t>
      </w:r>
    </w:p>
    <w:p w14:paraId="5D9000CE" w14:textId="77777777" w:rsidR="00B373FE" w:rsidRDefault="00B373FE" w:rsidP="00B373FE">
      <w:pPr>
        <w:autoSpaceDE w:val="0"/>
        <w:autoSpaceDN w:val="0"/>
        <w:adjustRightInd w:val="0"/>
        <w:rPr>
          <w:rFonts w:cstheme="minorHAnsi"/>
        </w:rPr>
      </w:pPr>
    </w:p>
    <w:p w14:paraId="787BD55F" w14:textId="4F068329" w:rsidR="00B373FE" w:rsidRDefault="00B373FE" w:rsidP="00B373FE">
      <w:pPr>
        <w:autoSpaceDE w:val="0"/>
        <w:autoSpaceDN w:val="0"/>
        <w:adjustRightInd w:val="0"/>
        <w:rPr>
          <w:rFonts w:cstheme="minorHAnsi"/>
        </w:rPr>
      </w:pPr>
      <w:r>
        <w:rPr>
          <w:rFonts w:cstheme="minorHAnsi"/>
        </w:rPr>
        <w:t>22.1</w:t>
      </w:r>
      <w:r>
        <w:rPr>
          <w:rFonts w:cstheme="minorHAnsi"/>
        </w:rPr>
        <w:tab/>
        <w:t>Bids on switch auctions from investors will cover the following information:</w:t>
      </w:r>
    </w:p>
    <w:p w14:paraId="36A1267C" w14:textId="77777777" w:rsidR="003C3069" w:rsidRDefault="003C3069" w:rsidP="00AF7D80">
      <w:pPr>
        <w:pStyle w:val="ListParagraph"/>
        <w:numPr>
          <w:ilvl w:val="0"/>
          <w:numId w:val="14"/>
        </w:numPr>
        <w:autoSpaceDE w:val="0"/>
        <w:autoSpaceDN w:val="0"/>
        <w:adjustRightInd w:val="0"/>
        <w:rPr>
          <w:rFonts w:cstheme="minorHAnsi"/>
        </w:rPr>
      </w:pPr>
      <w:r>
        <w:rPr>
          <w:rFonts w:cstheme="minorHAnsi"/>
        </w:rPr>
        <w:t>Bid amount for a specific source bond (with break-down on various destination bonds on offer in case of multiple switch auctions)</w:t>
      </w:r>
    </w:p>
    <w:p w14:paraId="47E288EC" w14:textId="4629BAD7" w:rsidR="003C3069" w:rsidRPr="003C3069" w:rsidRDefault="003C3069" w:rsidP="00AF7D80">
      <w:pPr>
        <w:pStyle w:val="ListParagraph"/>
        <w:numPr>
          <w:ilvl w:val="0"/>
          <w:numId w:val="14"/>
        </w:numPr>
        <w:autoSpaceDE w:val="0"/>
        <w:autoSpaceDN w:val="0"/>
        <w:adjustRightInd w:val="0"/>
        <w:rPr>
          <w:rFonts w:cstheme="minorHAnsi"/>
        </w:rPr>
      </w:pPr>
      <w:r>
        <w:rPr>
          <w:rFonts w:cstheme="minorHAnsi"/>
        </w:rPr>
        <w:t>Bid yield</w:t>
      </w:r>
      <w:r w:rsidRPr="003C3069">
        <w:rPr>
          <w:rFonts w:cstheme="minorHAnsi"/>
        </w:rPr>
        <w:t xml:space="preserve"> </w:t>
      </w:r>
    </w:p>
    <w:p w14:paraId="41B584FD" w14:textId="77777777" w:rsidR="00B373FE" w:rsidRPr="00E8475A" w:rsidRDefault="00B373FE" w:rsidP="00B373FE">
      <w:pPr>
        <w:autoSpaceDE w:val="0"/>
        <w:autoSpaceDN w:val="0"/>
        <w:adjustRightInd w:val="0"/>
        <w:rPr>
          <w:rFonts w:cstheme="minorHAnsi"/>
        </w:rPr>
      </w:pPr>
    </w:p>
    <w:p w14:paraId="6BBBB1E7" w14:textId="77777777" w:rsidR="00B373FE" w:rsidRPr="00392C7F" w:rsidRDefault="00B373FE" w:rsidP="00B373FE">
      <w:pPr>
        <w:rPr>
          <w:b/>
        </w:rPr>
      </w:pPr>
      <w:r>
        <w:rPr>
          <w:b/>
        </w:rPr>
        <w:t>23</w:t>
      </w:r>
      <w:r w:rsidRPr="00392C7F">
        <w:rPr>
          <w:b/>
        </w:rPr>
        <w:t>.</w:t>
      </w:r>
      <w:r w:rsidRPr="00392C7F">
        <w:rPr>
          <w:b/>
        </w:rPr>
        <w:tab/>
        <w:t>Eligible Participants</w:t>
      </w:r>
    </w:p>
    <w:p w14:paraId="07F8EA4E" w14:textId="77777777" w:rsidR="00B373FE" w:rsidRDefault="00B373FE" w:rsidP="00B373FE">
      <w:pPr>
        <w:jc w:val="both"/>
        <w:rPr>
          <w:rFonts w:cstheme="minorHAnsi"/>
        </w:rPr>
      </w:pPr>
    </w:p>
    <w:p w14:paraId="1AA4DC83" w14:textId="1836453E" w:rsidR="00B373FE" w:rsidRPr="00392C7F" w:rsidRDefault="00B373FE" w:rsidP="00B373FE">
      <w:pPr>
        <w:ind w:left="660" w:hanging="660"/>
        <w:jc w:val="both"/>
        <w:rPr>
          <w:rFonts w:cstheme="minorHAnsi"/>
        </w:rPr>
      </w:pPr>
      <w:r>
        <w:rPr>
          <w:rFonts w:cstheme="minorHAnsi"/>
        </w:rPr>
        <w:t>23</w:t>
      </w:r>
      <w:r w:rsidRPr="00392C7F">
        <w:rPr>
          <w:rFonts w:cstheme="minorHAnsi"/>
        </w:rPr>
        <w:t>.1</w:t>
      </w:r>
      <w:r w:rsidRPr="00392C7F">
        <w:rPr>
          <w:rFonts w:cstheme="minorHAnsi"/>
        </w:rPr>
        <w:tab/>
      </w:r>
      <w:r>
        <w:rPr>
          <w:rFonts w:cstheme="minorHAnsi"/>
        </w:rPr>
        <w:t xml:space="preserve">As for buybacks, switch auctions in Armenia will be </w:t>
      </w:r>
      <w:r w:rsidRPr="00392C7F">
        <w:rPr>
          <w:rFonts w:cstheme="minorHAnsi"/>
        </w:rPr>
        <w:t>limit</w:t>
      </w:r>
      <w:r>
        <w:rPr>
          <w:rFonts w:cstheme="minorHAnsi"/>
        </w:rPr>
        <w:t>ed</w:t>
      </w:r>
      <w:r w:rsidRPr="00392C7F">
        <w:rPr>
          <w:rFonts w:cstheme="minorHAnsi"/>
        </w:rPr>
        <w:t xml:space="preserve"> to the primary dealers. </w:t>
      </w:r>
      <w:r>
        <w:rPr>
          <w:rFonts w:cstheme="minorHAnsi"/>
        </w:rPr>
        <w:t xml:space="preserve">However, other </w:t>
      </w:r>
      <w:r w:rsidRPr="00392C7F">
        <w:rPr>
          <w:rFonts w:cstheme="minorHAnsi"/>
        </w:rPr>
        <w:t xml:space="preserve">holders of </w:t>
      </w:r>
      <w:r>
        <w:rPr>
          <w:rFonts w:cstheme="minorHAnsi"/>
        </w:rPr>
        <w:t xml:space="preserve">source </w:t>
      </w:r>
      <w:r w:rsidRPr="00392C7F">
        <w:rPr>
          <w:rFonts w:cstheme="minorHAnsi"/>
        </w:rPr>
        <w:t xml:space="preserve">bonds </w:t>
      </w:r>
      <w:r>
        <w:rPr>
          <w:rFonts w:cstheme="minorHAnsi"/>
        </w:rPr>
        <w:t xml:space="preserve">outside the PD system will be eligible to </w:t>
      </w:r>
      <w:r w:rsidRPr="00392C7F">
        <w:rPr>
          <w:rFonts w:cstheme="minorHAnsi"/>
        </w:rPr>
        <w:t xml:space="preserve">submit their bids through a PD. </w:t>
      </w:r>
      <w:r>
        <w:rPr>
          <w:rFonts w:cstheme="minorHAnsi"/>
        </w:rPr>
        <w:t>It will be necessary to amend the regulatory framework for PD system for setting out the rights and obligations of the PDs for participating in switch auctions.</w:t>
      </w:r>
      <w:r w:rsidR="009C4101">
        <w:rPr>
          <w:rFonts w:cstheme="minorHAnsi"/>
        </w:rPr>
        <w:t xml:space="preserve"> Inclusion of non-competitive bidding although not recommended at this stage could be allowed for Central Bank of Armenia for its open market operation requirements. </w:t>
      </w:r>
    </w:p>
    <w:p w14:paraId="41AC4F27" w14:textId="77777777" w:rsidR="00B373FE" w:rsidRPr="004A0960" w:rsidRDefault="00B373FE" w:rsidP="00B373FE">
      <w:pPr>
        <w:pStyle w:val="ListParagraph"/>
        <w:rPr>
          <w:rFonts w:ascii="AGaramond-Regular" w:hAnsi="AGaramond-Regular" w:cs="AGaramond-Regular"/>
          <w:sz w:val="20"/>
          <w:szCs w:val="20"/>
        </w:rPr>
      </w:pPr>
    </w:p>
    <w:p w14:paraId="0A65628A" w14:textId="77777777" w:rsidR="00B373FE" w:rsidRPr="00392C7F" w:rsidRDefault="00B373FE" w:rsidP="00B373FE">
      <w:pPr>
        <w:rPr>
          <w:rFonts w:cstheme="minorHAnsi"/>
          <w:b/>
        </w:rPr>
      </w:pPr>
      <w:r>
        <w:rPr>
          <w:rFonts w:cstheme="minorHAnsi"/>
          <w:b/>
        </w:rPr>
        <w:t>24</w:t>
      </w:r>
      <w:r w:rsidRPr="00392C7F">
        <w:rPr>
          <w:rFonts w:cstheme="minorHAnsi"/>
          <w:b/>
        </w:rPr>
        <w:t>.</w:t>
      </w:r>
      <w:r w:rsidRPr="00392C7F">
        <w:rPr>
          <w:rFonts w:cstheme="minorHAnsi"/>
          <w:b/>
        </w:rPr>
        <w:tab/>
        <w:t>Timing of Announcement</w:t>
      </w:r>
    </w:p>
    <w:p w14:paraId="2CB84795" w14:textId="77777777" w:rsidR="00B373FE" w:rsidRDefault="00B373FE" w:rsidP="009C4101">
      <w:pPr>
        <w:ind w:left="720" w:hanging="720"/>
        <w:jc w:val="both"/>
        <w:rPr>
          <w:rFonts w:cstheme="minorHAnsi"/>
        </w:rPr>
      </w:pPr>
    </w:p>
    <w:p w14:paraId="6E81F3AA" w14:textId="7341571F" w:rsidR="00B373FE" w:rsidRDefault="00B373FE" w:rsidP="009C4101">
      <w:pPr>
        <w:ind w:left="720" w:hanging="720"/>
        <w:jc w:val="both"/>
        <w:rPr>
          <w:rFonts w:cstheme="minorHAnsi"/>
        </w:rPr>
      </w:pPr>
      <w:r>
        <w:rPr>
          <w:rFonts w:cstheme="minorHAnsi"/>
        </w:rPr>
        <w:t>24.1</w:t>
      </w:r>
      <w:r>
        <w:rPr>
          <w:rFonts w:cstheme="minorHAnsi"/>
        </w:rPr>
        <w:tab/>
        <w:t>PDMD will be required to provide at least 5 working days’</w:t>
      </w:r>
      <w:r w:rsidRPr="00392C7F">
        <w:rPr>
          <w:rFonts w:cstheme="minorHAnsi"/>
        </w:rPr>
        <w:t xml:space="preserve"> advance notice</w:t>
      </w:r>
      <w:r>
        <w:rPr>
          <w:rFonts w:cstheme="minorHAnsi"/>
        </w:rPr>
        <w:t xml:space="preserve"> on the switch operations disclosing the destination bond/s; the indicative amounts on offer in terms of face value; the auction date and the settlement date</w:t>
      </w:r>
      <w:r w:rsidRPr="00392C7F">
        <w:rPr>
          <w:rFonts w:cstheme="minorHAnsi"/>
        </w:rPr>
        <w:t>.</w:t>
      </w:r>
      <w:r>
        <w:rPr>
          <w:rFonts w:cstheme="minorHAnsi"/>
        </w:rPr>
        <w:t xml:space="preserve"> The settlement date is in tune with the current T+n period for standard bond auction. </w:t>
      </w:r>
      <w:r w:rsidRPr="00392C7F">
        <w:rPr>
          <w:rFonts w:cstheme="minorHAnsi"/>
        </w:rPr>
        <w:t xml:space="preserve"> </w:t>
      </w:r>
    </w:p>
    <w:p w14:paraId="520710A9" w14:textId="77777777" w:rsidR="00B373FE" w:rsidRDefault="00B373FE" w:rsidP="009C4101">
      <w:pPr>
        <w:ind w:left="720" w:hanging="720"/>
        <w:jc w:val="both"/>
        <w:rPr>
          <w:rFonts w:cstheme="minorHAnsi"/>
        </w:rPr>
      </w:pPr>
    </w:p>
    <w:p w14:paraId="0A6DAF0E" w14:textId="349EFAC4" w:rsidR="00B373FE" w:rsidRDefault="00B373FE" w:rsidP="009C4101">
      <w:pPr>
        <w:ind w:left="720" w:hanging="720"/>
        <w:jc w:val="both"/>
        <w:rPr>
          <w:rFonts w:cstheme="minorHAnsi"/>
        </w:rPr>
      </w:pPr>
      <w:r>
        <w:rPr>
          <w:rFonts w:cstheme="minorHAnsi"/>
        </w:rPr>
        <w:t>24.2</w:t>
      </w:r>
      <w:r>
        <w:rPr>
          <w:rFonts w:cstheme="minorHAnsi"/>
        </w:rPr>
        <w:tab/>
        <w:t xml:space="preserve">Over time, as switch operations gain currency in terms of frequency and expertise within PDMD as well as market acceptance, PDMD can include them </w:t>
      </w:r>
      <w:r w:rsidRPr="00392C7F">
        <w:rPr>
          <w:rFonts w:cstheme="minorHAnsi"/>
        </w:rPr>
        <w:t>within their annual calendar of planned operations.</w:t>
      </w:r>
      <w:r>
        <w:rPr>
          <w:rFonts w:cstheme="minorHAnsi"/>
        </w:rPr>
        <w:t xml:space="preserve"> The planning of switch operations could also be gradually included in its quarterly issuance plan. For planning the timing of switch operations, it should be held within four weeks</w:t>
      </w:r>
      <w:r w:rsidRPr="00392C7F">
        <w:rPr>
          <w:rFonts w:cstheme="minorHAnsi"/>
        </w:rPr>
        <w:t xml:space="preserve"> </w:t>
      </w:r>
      <w:r>
        <w:rPr>
          <w:rFonts w:cstheme="minorHAnsi"/>
        </w:rPr>
        <w:t>of</w:t>
      </w:r>
      <w:r w:rsidRPr="00392C7F">
        <w:rPr>
          <w:rFonts w:cstheme="minorHAnsi"/>
        </w:rPr>
        <w:t xml:space="preserve"> a standard benchmark bond auction. </w:t>
      </w:r>
    </w:p>
    <w:p w14:paraId="33595D50" w14:textId="77777777" w:rsidR="00B373FE" w:rsidRDefault="00B373FE" w:rsidP="009C4101">
      <w:pPr>
        <w:ind w:left="720" w:hanging="720"/>
        <w:jc w:val="both"/>
        <w:rPr>
          <w:rFonts w:cstheme="minorHAnsi"/>
        </w:rPr>
      </w:pPr>
    </w:p>
    <w:p w14:paraId="2CE16DF3" w14:textId="2D8BF249" w:rsidR="00B373FE" w:rsidRPr="00392C7F" w:rsidRDefault="00B373FE" w:rsidP="009C4101">
      <w:pPr>
        <w:ind w:left="720" w:hanging="720"/>
        <w:jc w:val="both"/>
        <w:rPr>
          <w:rFonts w:cstheme="minorHAnsi"/>
        </w:rPr>
      </w:pPr>
      <w:r>
        <w:rPr>
          <w:rFonts w:cstheme="minorHAnsi"/>
        </w:rPr>
        <w:t>24.3</w:t>
      </w:r>
      <w:r>
        <w:rPr>
          <w:rFonts w:cstheme="minorHAnsi"/>
        </w:rPr>
        <w:tab/>
        <w:t>PDMD should announce one business day before the switch auction the source bond/s on offer. The announcement should be made one hour prior to the closing of the business day. Pricing of the destination bonds will be disclosed one hour before the commencement of the switch auction on the same day</w:t>
      </w:r>
      <w:r w:rsidR="009C4101">
        <w:rPr>
          <w:rFonts w:cstheme="minorHAnsi"/>
        </w:rPr>
        <w:t xml:space="preserve"> of the auction</w:t>
      </w:r>
      <w:r>
        <w:rPr>
          <w:rFonts w:cstheme="minorHAnsi"/>
        </w:rPr>
        <w:t>.</w:t>
      </w:r>
      <w:r w:rsidR="009C4101">
        <w:rPr>
          <w:rFonts w:cstheme="minorHAnsi"/>
        </w:rPr>
        <w:t xml:space="preserve"> </w:t>
      </w:r>
      <w:r>
        <w:rPr>
          <w:rFonts w:cstheme="minorHAnsi"/>
        </w:rPr>
        <w:t xml:space="preserve">    </w:t>
      </w:r>
    </w:p>
    <w:p w14:paraId="4D84D85A" w14:textId="77777777" w:rsidR="00B373FE" w:rsidRDefault="00B373FE" w:rsidP="00B373FE">
      <w:pPr>
        <w:autoSpaceDE w:val="0"/>
        <w:autoSpaceDN w:val="0"/>
        <w:adjustRightInd w:val="0"/>
        <w:ind w:left="720" w:hanging="720"/>
        <w:jc w:val="both"/>
        <w:rPr>
          <w:b/>
        </w:rPr>
      </w:pPr>
    </w:p>
    <w:p w14:paraId="5F43D027" w14:textId="065D8A07" w:rsidR="00B373FE" w:rsidRPr="00412B25" w:rsidRDefault="00B373FE" w:rsidP="00B373FE">
      <w:pPr>
        <w:autoSpaceDE w:val="0"/>
        <w:autoSpaceDN w:val="0"/>
        <w:adjustRightInd w:val="0"/>
        <w:ind w:left="720" w:hanging="720"/>
        <w:jc w:val="both"/>
        <w:rPr>
          <w:b/>
        </w:rPr>
      </w:pPr>
      <w:r w:rsidRPr="00412B25">
        <w:rPr>
          <w:b/>
        </w:rPr>
        <w:t>25.</w:t>
      </w:r>
      <w:r w:rsidRPr="00412B25">
        <w:rPr>
          <w:b/>
        </w:rPr>
        <w:tab/>
        <w:t>Announcement of Results</w:t>
      </w:r>
    </w:p>
    <w:p w14:paraId="47954FF2" w14:textId="77777777" w:rsidR="00B373FE" w:rsidRDefault="00B373FE" w:rsidP="00B373FE">
      <w:pPr>
        <w:autoSpaceDE w:val="0"/>
        <w:autoSpaceDN w:val="0"/>
        <w:adjustRightInd w:val="0"/>
        <w:ind w:left="720" w:hanging="720"/>
        <w:jc w:val="both"/>
      </w:pPr>
    </w:p>
    <w:p w14:paraId="4628C058" w14:textId="77777777" w:rsidR="00B373FE" w:rsidRDefault="00B373FE" w:rsidP="00B373FE">
      <w:pPr>
        <w:autoSpaceDE w:val="0"/>
        <w:autoSpaceDN w:val="0"/>
        <w:adjustRightInd w:val="0"/>
        <w:ind w:left="720" w:hanging="720"/>
        <w:jc w:val="both"/>
      </w:pPr>
      <w:r>
        <w:t>25.1</w:t>
      </w:r>
      <w:r>
        <w:tab/>
        <w:t xml:space="preserve">PDMD will be required to announce the results of the switch auction within 2 hours of </w:t>
      </w:r>
      <w:proofErr w:type="gramStart"/>
      <w:r>
        <w:t>its  commencement</w:t>
      </w:r>
      <w:proofErr w:type="gramEnd"/>
      <w:r>
        <w:t xml:space="preserve"> the same day. The results will be publicly announced in PDMD website and should include the following information:</w:t>
      </w:r>
    </w:p>
    <w:p w14:paraId="2467CA1C" w14:textId="77777777" w:rsidR="00B373FE"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Total amount offered</w:t>
      </w:r>
    </w:p>
    <w:p w14:paraId="3CC15B5B" w14:textId="77777777" w:rsidR="00B373FE"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Total number of bids received</w:t>
      </w:r>
    </w:p>
    <w:p w14:paraId="60DA7AF6" w14:textId="77777777" w:rsidR="00B373FE"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Total amount of bid received</w:t>
      </w:r>
    </w:p>
    <w:p w14:paraId="38AC2574" w14:textId="77777777" w:rsidR="00B373FE"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Total number of successful bids</w:t>
      </w:r>
    </w:p>
    <w:p w14:paraId="3F25B72C" w14:textId="77777777" w:rsidR="00B373FE"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Nominal amount of source bond/s switched</w:t>
      </w:r>
    </w:p>
    <w:p w14:paraId="24F0D945" w14:textId="77777777" w:rsidR="00B373FE"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Nominal amount of destination bond/s switched</w:t>
      </w:r>
    </w:p>
    <w:p w14:paraId="46CBEE14" w14:textId="5FBC8C5F" w:rsidR="00B373FE" w:rsidRDefault="00B373FE" w:rsidP="00AF7D80">
      <w:pPr>
        <w:pStyle w:val="ListParagraph"/>
        <w:numPr>
          <w:ilvl w:val="0"/>
          <w:numId w:val="13"/>
        </w:numPr>
        <w:autoSpaceDE w:val="0"/>
        <w:autoSpaceDN w:val="0"/>
        <w:adjustRightInd w:val="0"/>
        <w:spacing w:after="160" w:line="259" w:lineRule="auto"/>
        <w:rPr>
          <w:rFonts w:cstheme="minorHAnsi"/>
        </w:rPr>
      </w:pPr>
      <w:r w:rsidRPr="00434A17">
        <w:rPr>
          <w:rFonts w:cstheme="minorHAnsi"/>
        </w:rPr>
        <w:t xml:space="preserve">Clean prices </w:t>
      </w:r>
      <w:r>
        <w:rPr>
          <w:rFonts w:cstheme="minorHAnsi"/>
        </w:rPr>
        <w:t xml:space="preserve">/ yield </w:t>
      </w:r>
      <w:r w:rsidRPr="00434A17">
        <w:rPr>
          <w:rFonts w:cstheme="minorHAnsi"/>
        </w:rPr>
        <w:t>(highest, lowest and average) of successful</w:t>
      </w:r>
      <w:r w:rsidR="00423DE4">
        <w:rPr>
          <w:rFonts w:cstheme="minorHAnsi"/>
        </w:rPr>
        <w:t xml:space="preserve"> bids on source bond</w:t>
      </w:r>
      <w:r w:rsidRPr="00434A17">
        <w:rPr>
          <w:rFonts w:cstheme="minorHAnsi"/>
        </w:rPr>
        <w:t>.</w:t>
      </w:r>
    </w:p>
    <w:p w14:paraId="18795015" w14:textId="77777777" w:rsidR="00B373FE"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Value of net cash settlement</w:t>
      </w:r>
      <w:r w:rsidRPr="00434A17">
        <w:rPr>
          <w:rFonts w:cstheme="minorHAnsi"/>
        </w:rPr>
        <w:t xml:space="preserve"> </w:t>
      </w:r>
    </w:p>
    <w:p w14:paraId="0101EECE" w14:textId="77777777" w:rsidR="00B373FE" w:rsidRPr="005E1121" w:rsidRDefault="00B373FE" w:rsidP="00AF7D80">
      <w:pPr>
        <w:pStyle w:val="ListParagraph"/>
        <w:numPr>
          <w:ilvl w:val="0"/>
          <w:numId w:val="13"/>
        </w:numPr>
        <w:autoSpaceDE w:val="0"/>
        <w:autoSpaceDN w:val="0"/>
        <w:adjustRightInd w:val="0"/>
        <w:spacing w:after="160" w:line="259" w:lineRule="auto"/>
        <w:rPr>
          <w:rFonts w:cstheme="minorHAnsi"/>
        </w:rPr>
      </w:pPr>
      <w:r>
        <w:rPr>
          <w:rFonts w:cstheme="minorHAnsi"/>
        </w:rPr>
        <w:t xml:space="preserve">Conversion ratio </w:t>
      </w:r>
    </w:p>
    <w:p w14:paraId="3879F1C4" w14:textId="5113E912" w:rsidR="001F41EC" w:rsidRDefault="001F41EC">
      <w:r>
        <w:br w:type="page"/>
      </w:r>
    </w:p>
    <w:p w14:paraId="03E128B1" w14:textId="77777777" w:rsidR="00B373FE" w:rsidRDefault="00B373FE" w:rsidP="00B373FE">
      <w:pPr>
        <w:autoSpaceDE w:val="0"/>
        <w:autoSpaceDN w:val="0"/>
        <w:adjustRightInd w:val="0"/>
        <w:ind w:left="720" w:hanging="720"/>
        <w:jc w:val="both"/>
      </w:pPr>
    </w:p>
    <w:p w14:paraId="5253D841" w14:textId="108EAA4D" w:rsidR="00B56AF6" w:rsidRPr="008913FD" w:rsidRDefault="00B56AF6" w:rsidP="00B56AF6">
      <w:pPr>
        <w:rPr>
          <w:b/>
          <w:sz w:val="26"/>
          <w:szCs w:val="26"/>
        </w:rPr>
      </w:pPr>
      <w:r w:rsidRPr="008913FD">
        <w:rPr>
          <w:b/>
          <w:sz w:val="26"/>
          <w:szCs w:val="26"/>
        </w:rPr>
        <w:t>I</w:t>
      </w:r>
      <w:r>
        <w:rPr>
          <w:b/>
          <w:sz w:val="26"/>
          <w:szCs w:val="26"/>
        </w:rPr>
        <w:t>V</w:t>
      </w:r>
      <w:r w:rsidRPr="008913FD">
        <w:rPr>
          <w:b/>
          <w:sz w:val="26"/>
          <w:szCs w:val="26"/>
        </w:rPr>
        <w:t xml:space="preserve">. </w:t>
      </w:r>
      <w:r>
        <w:rPr>
          <w:b/>
          <w:sz w:val="26"/>
          <w:szCs w:val="26"/>
        </w:rPr>
        <w:t>Analytical</w:t>
      </w:r>
      <w:r w:rsidRPr="008913FD">
        <w:rPr>
          <w:b/>
          <w:sz w:val="26"/>
          <w:szCs w:val="26"/>
        </w:rPr>
        <w:t xml:space="preserve"> Framework of Switch Auctions for Armenia</w:t>
      </w:r>
    </w:p>
    <w:p w14:paraId="15F0CF77" w14:textId="77777777" w:rsidR="00B56AF6" w:rsidRDefault="00B56AF6" w:rsidP="00B373FE">
      <w:pPr>
        <w:autoSpaceDE w:val="0"/>
        <w:autoSpaceDN w:val="0"/>
        <w:adjustRightInd w:val="0"/>
        <w:ind w:left="720" w:hanging="720"/>
        <w:jc w:val="both"/>
      </w:pPr>
    </w:p>
    <w:p w14:paraId="1048B573" w14:textId="04057FE9" w:rsidR="00007228" w:rsidRDefault="00B373FE" w:rsidP="00B373FE">
      <w:pPr>
        <w:autoSpaceDE w:val="0"/>
        <w:autoSpaceDN w:val="0"/>
        <w:adjustRightInd w:val="0"/>
        <w:ind w:left="720" w:hanging="720"/>
        <w:jc w:val="both"/>
      </w:pPr>
      <w:r>
        <w:t>2</w:t>
      </w:r>
      <w:r w:rsidR="00B56AF6">
        <w:t>6</w:t>
      </w:r>
      <w:r>
        <w:t>.</w:t>
      </w:r>
      <w:r w:rsidR="00B56AF6">
        <w:t>1</w:t>
      </w:r>
      <w:r>
        <w:tab/>
        <w:t xml:space="preserve">The analytical framework for switch auction based on </w:t>
      </w:r>
      <w:r w:rsidR="00771A21">
        <w:t>two</w:t>
      </w:r>
      <w:r>
        <w:t xml:space="preserve"> source bond</w:t>
      </w:r>
      <w:r w:rsidR="00771A21">
        <w:t>s</w:t>
      </w:r>
      <w:r>
        <w:t xml:space="preserve"> to </w:t>
      </w:r>
      <w:r w:rsidR="00771A21">
        <w:t>two</w:t>
      </w:r>
      <w:r>
        <w:t xml:space="preserve"> destination bond</w:t>
      </w:r>
      <w:r w:rsidR="00771A21">
        <w:t>s</w:t>
      </w:r>
      <w:r>
        <w:t xml:space="preserve"> are depicted in Table 2</w:t>
      </w:r>
      <w:r w:rsidR="00007228">
        <w:t>-4. Price fixing is done on the destination bonds. The switch operation adopts a cash neutral mechanism whereby face value is rounded up to ten thousand ARM. The settlement date of the switch auction is on 11 June 2018.</w:t>
      </w:r>
    </w:p>
    <w:p w14:paraId="68277F48" w14:textId="77777777" w:rsidR="00007228" w:rsidRDefault="00007228" w:rsidP="00B373FE">
      <w:pPr>
        <w:autoSpaceDE w:val="0"/>
        <w:autoSpaceDN w:val="0"/>
        <w:adjustRightInd w:val="0"/>
        <w:ind w:left="720" w:hanging="720"/>
        <w:jc w:val="both"/>
      </w:pPr>
    </w:p>
    <w:p w14:paraId="393CBC01" w14:textId="48E40221" w:rsidR="00B373FE" w:rsidRDefault="00007228" w:rsidP="00B373FE">
      <w:pPr>
        <w:autoSpaceDE w:val="0"/>
        <w:autoSpaceDN w:val="0"/>
        <w:adjustRightInd w:val="0"/>
        <w:ind w:left="720" w:hanging="720"/>
        <w:jc w:val="both"/>
      </w:pPr>
      <w:r>
        <w:t>2</w:t>
      </w:r>
      <w:r w:rsidR="00B56AF6">
        <w:t>6</w:t>
      </w:r>
      <w:r>
        <w:t>.</w:t>
      </w:r>
      <w:r w:rsidR="00B56AF6">
        <w:t>2</w:t>
      </w:r>
      <w:r>
        <w:tab/>
        <w:t xml:space="preserve">Table 2 provides the terms of the switch auctions targeting retirement of 2 source bonds both maturing on 29 April 2019 for indicative amount of ARM 60 million each. </w:t>
      </w:r>
      <w:r w:rsidR="008B7A79">
        <w:t>In exchange, three destination bonds are offered, maturing on 29 April 2023, 7 February 2028 and 16 March 2047.</w:t>
      </w:r>
      <w:r>
        <w:t xml:space="preserve"> </w:t>
      </w:r>
    </w:p>
    <w:p w14:paraId="6A0536FF" w14:textId="28BEB44F" w:rsidR="00B373FE" w:rsidRDefault="00B373FE" w:rsidP="00B373FE">
      <w:pPr>
        <w:autoSpaceDE w:val="0"/>
        <w:autoSpaceDN w:val="0"/>
        <w:adjustRightInd w:val="0"/>
        <w:ind w:left="720" w:hanging="720"/>
        <w:jc w:val="both"/>
      </w:pPr>
    </w:p>
    <w:tbl>
      <w:tblPr>
        <w:tblW w:w="7819" w:type="dxa"/>
        <w:tblLook w:val="04A0" w:firstRow="1" w:lastRow="0" w:firstColumn="1" w:lastColumn="0" w:noHBand="0" w:noVBand="1"/>
      </w:tblPr>
      <w:tblGrid>
        <w:gridCol w:w="2636"/>
        <w:gridCol w:w="1796"/>
        <w:gridCol w:w="1705"/>
        <w:gridCol w:w="1682"/>
      </w:tblGrid>
      <w:tr w:rsidR="00771A21" w:rsidRPr="00F72F6C" w14:paraId="5FBA3465" w14:textId="77777777" w:rsidTr="00771A21">
        <w:trPr>
          <w:trHeight w:val="300"/>
        </w:trPr>
        <w:tc>
          <w:tcPr>
            <w:tcW w:w="7819" w:type="dxa"/>
            <w:gridSpan w:val="4"/>
            <w:tcBorders>
              <w:top w:val="nil"/>
              <w:left w:val="nil"/>
              <w:bottom w:val="single" w:sz="4" w:space="0" w:color="auto"/>
              <w:right w:val="nil"/>
            </w:tcBorders>
            <w:shd w:val="clear" w:color="auto" w:fill="auto"/>
            <w:noWrap/>
            <w:vAlign w:val="bottom"/>
          </w:tcPr>
          <w:p w14:paraId="1DE7C696" w14:textId="5C14541B" w:rsidR="00771A21" w:rsidRPr="00771A21" w:rsidRDefault="00771A21" w:rsidP="00771A21">
            <w:pPr>
              <w:autoSpaceDE w:val="0"/>
              <w:autoSpaceDN w:val="0"/>
              <w:adjustRightInd w:val="0"/>
              <w:ind w:left="720" w:hanging="720"/>
              <w:jc w:val="both"/>
            </w:pPr>
            <w:r>
              <w:t>Table 2: Terms of Switching for Settlement Date on 11 June 2018</w:t>
            </w:r>
          </w:p>
        </w:tc>
      </w:tr>
      <w:tr w:rsidR="00771A21" w:rsidRPr="00F72F6C" w14:paraId="614B85C7" w14:textId="77777777" w:rsidTr="00771A21">
        <w:trPr>
          <w:trHeight w:val="300"/>
        </w:trPr>
        <w:tc>
          <w:tcPr>
            <w:tcW w:w="2636" w:type="dxa"/>
            <w:tcBorders>
              <w:top w:val="single" w:sz="4" w:space="0" w:color="auto"/>
              <w:left w:val="single" w:sz="4" w:space="0" w:color="auto"/>
              <w:bottom w:val="nil"/>
              <w:right w:val="single" w:sz="4" w:space="0" w:color="auto"/>
            </w:tcBorders>
            <w:shd w:val="clear" w:color="auto" w:fill="FBD4B4" w:themeFill="accent6" w:themeFillTint="66"/>
            <w:noWrap/>
            <w:vAlign w:val="bottom"/>
          </w:tcPr>
          <w:p w14:paraId="5138CCCB" w14:textId="3A51BD72" w:rsidR="00771A21" w:rsidRPr="00F72F6C" w:rsidRDefault="00771A21" w:rsidP="00F72F6C">
            <w:pPr>
              <w:rPr>
                <w:rFonts w:ascii="Calibri" w:eastAsia="Times New Roman" w:hAnsi="Calibri" w:cs="Calibri"/>
                <w:color w:val="000000"/>
                <w:lang w:eastAsia="en-US"/>
              </w:rPr>
            </w:pPr>
            <w:r w:rsidRPr="00F72F6C">
              <w:rPr>
                <w:rFonts w:ascii="Calibri" w:eastAsia="Times New Roman" w:hAnsi="Calibri" w:cs="Calibri"/>
                <w:color w:val="000000"/>
                <w:lang w:eastAsia="en-US"/>
              </w:rPr>
              <w:t>Source Bonds</w:t>
            </w:r>
            <w:r>
              <w:rPr>
                <w:rFonts w:ascii="Calibri" w:eastAsia="Times New Roman" w:hAnsi="Calibri" w:cs="Calibri"/>
                <w:color w:val="000000"/>
                <w:lang w:eastAsia="en-US"/>
              </w:rPr>
              <w:t xml:space="preserve">: </w:t>
            </w:r>
          </w:p>
        </w:tc>
        <w:tc>
          <w:tcPr>
            <w:tcW w:w="1796" w:type="dxa"/>
            <w:tcBorders>
              <w:top w:val="single" w:sz="4" w:space="0" w:color="auto"/>
              <w:left w:val="single" w:sz="4" w:space="0" w:color="auto"/>
              <w:bottom w:val="nil"/>
              <w:right w:val="single" w:sz="4" w:space="0" w:color="auto"/>
            </w:tcBorders>
            <w:shd w:val="clear" w:color="auto" w:fill="FBD4B4" w:themeFill="accent6" w:themeFillTint="66"/>
            <w:noWrap/>
            <w:vAlign w:val="bottom"/>
          </w:tcPr>
          <w:p w14:paraId="0B156855" w14:textId="25413BA4" w:rsidR="00771A21" w:rsidRPr="00F72F6C" w:rsidRDefault="00771A21" w:rsidP="00F72F6C">
            <w:pPr>
              <w:jc w:val="center"/>
              <w:rPr>
                <w:rFonts w:ascii="Calibri" w:eastAsia="Times New Roman" w:hAnsi="Calibri" w:cs="Calibri"/>
                <w:color w:val="000000"/>
                <w:lang w:eastAsia="en-US"/>
              </w:rPr>
            </w:pPr>
          </w:p>
        </w:tc>
        <w:tc>
          <w:tcPr>
            <w:tcW w:w="1705" w:type="dxa"/>
            <w:tcBorders>
              <w:top w:val="single" w:sz="4" w:space="0" w:color="auto"/>
              <w:left w:val="single" w:sz="4" w:space="0" w:color="auto"/>
              <w:bottom w:val="nil"/>
              <w:right w:val="single" w:sz="4" w:space="0" w:color="auto"/>
            </w:tcBorders>
            <w:shd w:val="clear" w:color="auto" w:fill="FBD4B4" w:themeFill="accent6" w:themeFillTint="66"/>
            <w:noWrap/>
            <w:vAlign w:val="bottom"/>
          </w:tcPr>
          <w:p w14:paraId="4F503D86" w14:textId="77777777" w:rsidR="00771A21" w:rsidRPr="00F72F6C" w:rsidRDefault="00771A21" w:rsidP="00F72F6C">
            <w:pPr>
              <w:jc w:val="center"/>
              <w:rPr>
                <w:rFonts w:ascii="Calibri" w:eastAsia="Times New Roman" w:hAnsi="Calibri" w:cs="Calibri"/>
                <w:color w:val="000000"/>
                <w:lang w:eastAsia="en-US"/>
              </w:rPr>
            </w:pPr>
          </w:p>
        </w:tc>
        <w:tc>
          <w:tcPr>
            <w:tcW w:w="1682" w:type="dxa"/>
            <w:tcBorders>
              <w:top w:val="single" w:sz="4" w:space="0" w:color="auto"/>
              <w:left w:val="single" w:sz="4" w:space="0" w:color="auto"/>
              <w:bottom w:val="nil"/>
              <w:right w:val="single" w:sz="4" w:space="0" w:color="auto"/>
            </w:tcBorders>
            <w:shd w:val="clear" w:color="auto" w:fill="FBD4B4" w:themeFill="accent6" w:themeFillTint="66"/>
            <w:noWrap/>
            <w:vAlign w:val="bottom"/>
          </w:tcPr>
          <w:p w14:paraId="545523CE" w14:textId="77777777" w:rsidR="00771A21" w:rsidRPr="00F72F6C" w:rsidRDefault="00771A21" w:rsidP="00F72F6C">
            <w:pPr>
              <w:jc w:val="center"/>
              <w:rPr>
                <w:rFonts w:ascii="Calibri" w:eastAsia="Times New Roman" w:hAnsi="Calibri" w:cs="Calibri"/>
                <w:color w:val="000000"/>
                <w:lang w:eastAsia="en-US"/>
              </w:rPr>
            </w:pPr>
          </w:p>
        </w:tc>
      </w:tr>
      <w:tr w:rsidR="00771A21" w:rsidRPr="00F72F6C" w14:paraId="33312C93" w14:textId="77777777" w:rsidTr="00771A21">
        <w:trPr>
          <w:trHeight w:val="300"/>
        </w:trPr>
        <w:tc>
          <w:tcPr>
            <w:tcW w:w="2636" w:type="dxa"/>
            <w:tcBorders>
              <w:top w:val="nil"/>
              <w:left w:val="single" w:sz="4" w:space="0" w:color="auto"/>
              <w:bottom w:val="nil"/>
              <w:right w:val="single" w:sz="4" w:space="0" w:color="auto"/>
            </w:tcBorders>
            <w:shd w:val="clear" w:color="auto" w:fill="FBD4B4" w:themeFill="accent6" w:themeFillTint="66"/>
            <w:noWrap/>
            <w:vAlign w:val="bottom"/>
            <w:hideMark/>
          </w:tcPr>
          <w:p w14:paraId="716E0244" w14:textId="0B4F7100" w:rsidR="00F72F6C" w:rsidRPr="00F72F6C" w:rsidRDefault="00F72F6C" w:rsidP="00F72F6C">
            <w:pPr>
              <w:rPr>
                <w:rFonts w:ascii="Calibri" w:eastAsia="Times New Roman" w:hAnsi="Calibri" w:cs="Calibri"/>
                <w:color w:val="000000"/>
                <w:lang w:eastAsia="en-US"/>
              </w:rPr>
            </w:pPr>
            <w:r w:rsidRPr="00F72F6C">
              <w:rPr>
                <w:rFonts w:ascii="Calibri" w:eastAsia="Times New Roman" w:hAnsi="Calibri" w:cs="Calibri"/>
                <w:color w:val="000000"/>
                <w:lang w:eastAsia="en-US"/>
              </w:rPr>
              <w:t>Bond</w:t>
            </w:r>
            <w:r w:rsidR="00771A21">
              <w:rPr>
                <w:rFonts w:ascii="Calibri" w:eastAsia="Times New Roman" w:hAnsi="Calibri" w:cs="Calibri"/>
                <w:color w:val="000000"/>
                <w:lang w:eastAsia="en-US"/>
              </w:rPr>
              <w:t xml:space="preserve"> ISIN</w:t>
            </w:r>
          </w:p>
        </w:tc>
        <w:tc>
          <w:tcPr>
            <w:tcW w:w="1796" w:type="dxa"/>
            <w:tcBorders>
              <w:top w:val="nil"/>
              <w:left w:val="single" w:sz="4" w:space="0" w:color="auto"/>
              <w:bottom w:val="nil"/>
              <w:right w:val="single" w:sz="4" w:space="0" w:color="auto"/>
            </w:tcBorders>
            <w:shd w:val="clear" w:color="auto" w:fill="FBD4B4" w:themeFill="accent6" w:themeFillTint="66"/>
            <w:noWrap/>
            <w:vAlign w:val="bottom"/>
            <w:hideMark/>
          </w:tcPr>
          <w:p w14:paraId="2459D960" w14:textId="77777777" w:rsidR="00F72F6C" w:rsidRPr="00F72F6C" w:rsidRDefault="00F72F6C" w:rsidP="00F72F6C">
            <w:pPr>
              <w:jc w:val="center"/>
              <w:rPr>
                <w:rFonts w:ascii="Calibri" w:eastAsia="Times New Roman" w:hAnsi="Calibri" w:cs="Calibri"/>
                <w:color w:val="000000"/>
                <w:lang w:eastAsia="en-US"/>
              </w:rPr>
            </w:pPr>
            <w:r w:rsidRPr="00F72F6C">
              <w:rPr>
                <w:rFonts w:ascii="Calibri" w:eastAsia="Times New Roman" w:hAnsi="Calibri" w:cs="Calibri"/>
                <w:color w:val="000000"/>
                <w:lang w:eastAsia="en-US"/>
              </w:rPr>
              <w:t>AMGN60294193</w:t>
            </w:r>
          </w:p>
        </w:tc>
        <w:tc>
          <w:tcPr>
            <w:tcW w:w="1705" w:type="dxa"/>
            <w:tcBorders>
              <w:top w:val="nil"/>
              <w:left w:val="single" w:sz="4" w:space="0" w:color="auto"/>
              <w:bottom w:val="nil"/>
              <w:right w:val="single" w:sz="4" w:space="0" w:color="auto"/>
            </w:tcBorders>
            <w:shd w:val="clear" w:color="auto" w:fill="FBD4B4" w:themeFill="accent6" w:themeFillTint="66"/>
            <w:noWrap/>
            <w:vAlign w:val="bottom"/>
            <w:hideMark/>
          </w:tcPr>
          <w:p w14:paraId="25F4F64B" w14:textId="77777777" w:rsidR="00F72F6C" w:rsidRPr="00F72F6C" w:rsidRDefault="00F72F6C" w:rsidP="00F72F6C">
            <w:pPr>
              <w:jc w:val="center"/>
              <w:rPr>
                <w:rFonts w:ascii="Calibri" w:eastAsia="Times New Roman" w:hAnsi="Calibri" w:cs="Calibri"/>
                <w:color w:val="000000"/>
                <w:lang w:eastAsia="en-US"/>
              </w:rPr>
            </w:pPr>
            <w:r w:rsidRPr="00F72F6C">
              <w:rPr>
                <w:rFonts w:ascii="Calibri" w:eastAsia="Times New Roman" w:hAnsi="Calibri" w:cs="Calibri"/>
                <w:color w:val="000000"/>
                <w:lang w:eastAsia="en-US"/>
              </w:rPr>
              <w:t>AMGN36294194</w:t>
            </w:r>
          </w:p>
        </w:tc>
        <w:tc>
          <w:tcPr>
            <w:tcW w:w="1682" w:type="dxa"/>
            <w:tcBorders>
              <w:top w:val="nil"/>
              <w:left w:val="single" w:sz="4" w:space="0" w:color="auto"/>
              <w:bottom w:val="nil"/>
              <w:right w:val="single" w:sz="4" w:space="0" w:color="auto"/>
            </w:tcBorders>
            <w:shd w:val="clear" w:color="auto" w:fill="FBD4B4" w:themeFill="accent6" w:themeFillTint="66"/>
            <w:noWrap/>
            <w:vAlign w:val="bottom"/>
            <w:hideMark/>
          </w:tcPr>
          <w:p w14:paraId="41995A7C" w14:textId="77777777" w:rsidR="00F72F6C" w:rsidRPr="00F72F6C" w:rsidRDefault="00F72F6C" w:rsidP="00F72F6C">
            <w:pPr>
              <w:jc w:val="center"/>
              <w:rPr>
                <w:rFonts w:ascii="Calibri" w:eastAsia="Times New Roman" w:hAnsi="Calibri" w:cs="Calibri"/>
                <w:color w:val="000000"/>
                <w:lang w:eastAsia="en-US"/>
              </w:rPr>
            </w:pPr>
          </w:p>
        </w:tc>
      </w:tr>
      <w:tr w:rsidR="008B7A79" w:rsidRPr="00F72F6C" w14:paraId="21AA96EE" w14:textId="77777777" w:rsidTr="00771A21">
        <w:trPr>
          <w:trHeight w:val="300"/>
        </w:trPr>
        <w:tc>
          <w:tcPr>
            <w:tcW w:w="2636"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14:paraId="1CCECD9E" w14:textId="480FDF43" w:rsidR="008B7A79" w:rsidRPr="00F72F6C" w:rsidRDefault="008B7A79" w:rsidP="00771A21">
            <w:pPr>
              <w:rPr>
                <w:rFonts w:ascii="Calibri" w:eastAsia="Times New Roman" w:hAnsi="Calibri" w:cs="Calibri"/>
                <w:color w:val="000000"/>
                <w:lang w:eastAsia="en-US"/>
              </w:rPr>
            </w:pPr>
            <w:r>
              <w:rPr>
                <w:rFonts w:ascii="Calibri" w:eastAsia="Times New Roman" w:hAnsi="Calibri" w:cs="Calibri"/>
                <w:color w:val="000000"/>
                <w:lang w:eastAsia="en-US"/>
              </w:rPr>
              <w:t>Maturity Date</w:t>
            </w:r>
          </w:p>
        </w:tc>
        <w:tc>
          <w:tcPr>
            <w:tcW w:w="1796"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14:paraId="44B2E377" w14:textId="1EB46FB2" w:rsidR="008B7A79" w:rsidRPr="008B7A79" w:rsidRDefault="008B7A79" w:rsidP="00771A21">
            <w:pPr>
              <w:rPr>
                <w:rFonts w:ascii="Calibri" w:hAnsi="Calibri" w:cs="Calibri"/>
                <w:color w:val="000000"/>
              </w:rPr>
            </w:pPr>
            <w:r>
              <w:rPr>
                <w:rFonts w:ascii="Calibri" w:hAnsi="Calibri" w:cs="Calibri"/>
                <w:color w:val="000000"/>
              </w:rPr>
              <w:t>29-Apr-2019</w:t>
            </w:r>
          </w:p>
        </w:tc>
        <w:tc>
          <w:tcPr>
            <w:tcW w:w="1705"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14:paraId="1DCD277F" w14:textId="73A5B917" w:rsidR="008B7A79" w:rsidRPr="008B7A79" w:rsidRDefault="008B7A79" w:rsidP="008B7A79">
            <w:pPr>
              <w:jc w:val="center"/>
              <w:rPr>
                <w:rFonts w:ascii="Calibri" w:hAnsi="Calibri" w:cs="Calibri"/>
                <w:color w:val="000000"/>
              </w:rPr>
            </w:pPr>
            <w:r>
              <w:rPr>
                <w:rFonts w:ascii="Calibri" w:hAnsi="Calibri" w:cs="Calibri"/>
                <w:color w:val="000000"/>
              </w:rPr>
              <w:t>29-Apr-2019</w:t>
            </w:r>
          </w:p>
        </w:tc>
        <w:tc>
          <w:tcPr>
            <w:tcW w:w="1682"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14:paraId="6270EFC0" w14:textId="77777777" w:rsidR="008B7A79" w:rsidRPr="00F72F6C" w:rsidRDefault="008B7A79" w:rsidP="00771A21">
            <w:pPr>
              <w:rPr>
                <w:rFonts w:ascii="Times New Roman" w:eastAsia="Times New Roman" w:hAnsi="Times New Roman" w:cs="Times New Roman"/>
                <w:sz w:val="20"/>
                <w:szCs w:val="20"/>
                <w:lang w:eastAsia="en-US"/>
              </w:rPr>
            </w:pPr>
          </w:p>
        </w:tc>
      </w:tr>
      <w:tr w:rsidR="00771A21" w:rsidRPr="00F72F6C" w14:paraId="73538CB8" w14:textId="77777777" w:rsidTr="00771A21">
        <w:trPr>
          <w:trHeight w:val="300"/>
        </w:trPr>
        <w:tc>
          <w:tcPr>
            <w:tcW w:w="263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0087E1F7" w14:textId="13FE8B71" w:rsidR="00771A21" w:rsidRPr="00F72F6C" w:rsidRDefault="00771A21" w:rsidP="00771A21">
            <w:pPr>
              <w:rPr>
                <w:rFonts w:ascii="Times New Roman" w:eastAsia="Times New Roman" w:hAnsi="Times New Roman" w:cs="Times New Roman"/>
                <w:sz w:val="20"/>
                <w:szCs w:val="20"/>
                <w:lang w:eastAsia="en-US"/>
              </w:rPr>
            </w:pPr>
            <w:r w:rsidRPr="00F72F6C">
              <w:rPr>
                <w:rFonts w:ascii="Calibri" w:eastAsia="Times New Roman" w:hAnsi="Calibri" w:cs="Calibri"/>
                <w:color w:val="000000"/>
                <w:lang w:eastAsia="en-US"/>
              </w:rPr>
              <w:t>Source Bond Offer Amount</w:t>
            </w:r>
          </w:p>
        </w:tc>
        <w:tc>
          <w:tcPr>
            <w:tcW w:w="179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77F47D0B" w14:textId="650B4F1A" w:rsidR="00771A21" w:rsidRPr="00F72F6C" w:rsidRDefault="00771A21" w:rsidP="00771A21">
            <w:pPr>
              <w:rPr>
                <w:rFonts w:ascii="Times New Roman" w:eastAsia="Times New Roman" w:hAnsi="Times New Roman" w:cs="Times New Roman"/>
                <w:sz w:val="20"/>
                <w:szCs w:val="20"/>
                <w:lang w:eastAsia="en-US"/>
              </w:rPr>
            </w:pPr>
            <w:r w:rsidRPr="00F72F6C">
              <w:rPr>
                <w:rFonts w:ascii="Calibri" w:eastAsia="Times New Roman" w:hAnsi="Calibri" w:cs="Calibri"/>
                <w:color w:val="000000"/>
                <w:lang w:eastAsia="en-US"/>
              </w:rPr>
              <w:t xml:space="preserve">         60,000,000 </w:t>
            </w:r>
          </w:p>
        </w:tc>
        <w:tc>
          <w:tcPr>
            <w:tcW w:w="170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796E17AA" w14:textId="134EC248" w:rsidR="00771A21" w:rsidRPr="00F72F6C" w:rsidRDefault="00771A21" w:rsidP="00771A21">
            <w:pPr>
              <w:jc w:val="center"/>
              <w:rPr>
                <w:rFonts w:ascii="Times New Roman" w:eastAsia="Times New Roman" w:hAnsi="Times New Roman" w:cs="Times New Roman"/>
                <w:sz w:val="20"/>
                <w:szCs w:val="20"/>
                <w:lang w:eastAsia="en-US"/>
              </w:rPr>
            </w:pPr>
            <w:r w:rsidRPr="00F72F6C">
              <w:rPr>
                <w:rFonts w:ascii="Calibri" w:eastAsia="Times New Roman" w:hAnsi="Calibri" w:cs="Calibri"/>
                <w:color w:val="000000"/>
                <w:lang w:eastAsia="en-US"/>
              </w:rPr>
              <w:t xml:space="preserve">   60,000,000 </w:t>
            </w:r>
          </w:p>
        </w:tc>
        <w:tc>
          <w:tcPr>
            <w:tcW w:w="1682"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0F8EC621" w14:textId="77777777" w:rsidR="00771A21" w:rsidRPr="00F72F6C" w:rsidRDefault="00771A21" w:rsidP="00771A21">
            <w:pPr>
              <w:rPr>
                <w:rFonts w:ascii="Times New Roman" w:eastAsia="Times New Roman" w:hAnsi="Times New Roman" w:cs="Times New Roman"/>
                <w:sz w:val="20"/>
                <w:szCs w:val="20"/>
                <w:lang w:eastAsia="en-US"/>
              </w:rPr>
            </w:pPr>
          </w:p>
        </w:tc>
      </w:tr>
      <w:tr w:rsidR="00771A21" w:rsidRPr="00F72F6C" w14:paraId="61D5B0BC" w14:textId="77777777" w:rsidTr="00771A21">
        <w:trPr>
          <w:trHeight w:val="300"/>
        </w:trPr>
        <w:tc>
          <w:tcPr>
            <w:tcW w:w="2636" w:type="dxa"/>
            <w:tcBorders>
              <w:top w:val="single" w:sz="4" w:space="0" w:color="auto"/>
              <w:left w:val="single" w:sz="4" w:space="0" w:color="auto"/>
              <w:bottom w:val="nil"/>
              <w:right w:val="single" w:sz="4" w:space="0" w:color="auto"/>
            </w:tcBorders>
            <w:shd w:val="clear" w:color="auto" w:fill="92CDDC" w:themeFill="accent5" w:themeFillTint="99"/>
            <w:noWrap/>
            <w:vAlign w:val="bottom"/>
          </w:tcPr>
          <w:p w14:paraId="671F840D" w14:textId="6CDD82BF" w:rsidR="00771A21" w:rsidRPr="00F72F6C" w:rsidRDefault="00771A21" w:rsidP="00771A21">
            <w:pPr>
              <w:rPr>
                <w:rFonts w:ascii="Calibri" w:eastAsia="Times New Roman" w:hAnsi="Calibri" w:cs="Calibri"/>
                <w:color w:val="000000"/>
                <w:lang w:eastAsia="en-US"/>
              </w:rPr>
            </w:pPr>
            <w:r w:rsidRPr="00F72F6C">
              <w:rPr>
                <w:rFonts w:ascii="Calibri" w:eastAsia="Times New Roman" w:hAnsi="Calibri" w:cs="Calibri"/>
                <w:color w:val="000000"/>
                <w:lang w:eastAsia="en-US"/>
              </w:rPr>
              <w:t>Destination Bond</w:t>
            </w:r>
            <w:r>
              <w:rPr>
                <w:rFonts w:ascii="Calibri" w:eastAsia="Times New Roman" w:hAnsi="Calibri" w:cs="Calibri"/>
                <w:color w:val="000000"/>
                <w:lang w:eastAsia="en-US"/>
              </w:rPr>
              <w:t>s:</w:t>
            </w:r>
          </w:p>
        </w:tc>
        <w:tc>
          <w:tcPr>
            <w:tcW w:w="1796" w:type="dxa"/>
            <w:tcBorders>
              <w:top w:val="single" w:sz="4" w:space="0" w:color="auto"/>
              <w:left w:val="single" w:sz="4" w:space="0" w:color="auto"/>
              <w:bottom w:val="nil"/>
              <w:right w:val="single" w:sz="4" w:space="0" w:color="auto"/>
            </w:tcBorders>
            <w:shd w:val="clear" w:color="auto" w:fill="92CDDC" w:themeFill="accent5" w:themeFillTint="99"/>
            <w:noWrap/>
            <w:vAlign w:val="bottom"/>
          </w:tcPr>
          <w:p w14:paraId="3F19DEFC" w14:textId="77777777" w:rsidR="00771A21" w:rsidRPr="00F72F6C" w:rsidRDefault="00771A21" w:rsidP="00771A21">
            <w:pPr>
              <w:jc w:val="center"/>
              <w:rPr>
                <w:rFonts w:ascii="Calibri" w:eastAsia="Times New Roman" w:hAnsi="Calibri" w:cs="Calibri"/>
                <w:color w:val="000000"/>
                <w:lang w:eastAsia="en-US"/>
              </w:rPr>
            </w:pPr>
          </w:p>
        </w:tc>
        <w:tc>
          <w:tcPr>
            <w:tcW w:w="1705" w:type="dxa"/>
            <w:tcBorders>
              <w:top w:val="single" w:sz="4" w:space="0" w:color="auto"/>
              <w:left w:val="single" w:sz="4" w:space="0" w:color="auto"/>
              <w:bottom w:val="nil"/>
              <w:right w:val="single" w:sz="4" w:space="0" w:color="auto"/>
            </w:tcBorders>
            <w:shd w:val="clear" w:color="auto" w:fill="92CDDC" w:themeFill="accent5" w:themeFillTint="99"/>
            <w:noWrap/>
            <w:vAlign w:val="bottom"/>
          </w:tcPr>
          <w:p w14:paraId="5E8C317A" w14:textId="77777777" w:rsidR="00771A21" w:rsidRPr="00F72F6C" w:rsidRDefault="00771A21" w:rsidP="00771A21">
            <w:pPr>
              <w:jc w:val="center"/>
              <w:rPr>
                <w:rFonts w:ascii="Calibri" w:eastAsia="Times New Roman" w:hAnsi="Calibri" w:cs="Calibri"/>
                <w:color w:val="000000"/>
                <w:lang w:eastAsia="en-US"/>
              </w:rPr>
            </w:pPr>
          </w:p>
        </w:tc>
        <w:tc>
          <w:tcPr>
            <w:tcW w:w="1682" w:type="dxa"/>
            <w:tcBorders>
              <w:top w:val="single" w:sz="4" w:space="0" w:color="auto"/>
              <w:left w:val="single" w:sz="4" w:space="0" w:color="auto"/>
              <w:bottom w:val="nil"/>
              <w:right w:val="single" w:sz="4" w:space="0" w:color="auto"/>
            </w:tcBorders>
            <w:shd w:val="clear" w:color="auto" w:fill="92CDDC" w:themeFill="accent5" w:themeFillTint="99"/>
            <w:noWrap/>
            <w:vAlign w:val="bottom"/>
          </w:tcPr>
          <w:p w14:paraId="4352FD8C" w14:textId="77777777" w:rsidR="00771A21" w:rsidRPr="00F72F6C" w:rsidRDefault="00771A21" w:rsidP="00771A21">
            <w:pPr>
              <w:jc w:val="center"/>
              <w:rPr>
                <w:rFonts w:ascii="Calibri" w:eastAsia="Times New Roman" w:hAnsi="Calibri" w:cs="Calibri"/>
                <w:color w:val="000000"/>
                <w:lang w:eastAsia="en-US"/>
              </w:rPr>
            </w:pPr>
          </w:p>
        </w:tc>
      </w:tr>
      <w:tr w:rsidR="00771A21" w:rsidRPr="00F72F6C" w14:paraId="7FF55897" w14:textId="77777777" w:rsidTr="00771A21">
        <w:trPr>
          <w:trHeight w:val="300"/>
        </w:trPr>
        <w:tc>
          <w:tcPr>
            <w:tcW w:w="2636" w:type="dxa"/>
            <w:tcBorders>
              <w:top w:val="nil"/>
              <w:left w:val="single" w:sz="4" w:space="0" w:color="auto"/>
              <w:bottom w:val="nil"/>
              <w:right w:val="single" w:sz="4" w:space="0" w:color="auto"/>
            </w:tcBorders>
            <w:shd w:val="clear" w:color="auto" w:fill="92CDDC" w:themeFill="accent5" w:themeFillTint="99"/>
            <w:noWrap/>
            <w:vAlign w:val="bottom"/>
            <w:hideMark/>
          </w:tcPr>
          <w:p w14:paraId="674A598A" w14:textId="6D529F07" w:rsidR="00771A21" w:rsidRPr="00F72F6C" w:rsidRDefault="00771A21" w:rsidP="00771A21">
            <w:pPr>
              <w:rPr>
                <w:rFonts w:ascii="Calibri" w:eastAsia="Times New Roman" w:hAnsi="Calibri" w:cs="Calibri"/>
                <w:color w:val="000000"/>
                <w:lang w:eastAsia="en-US"/>
              </w:rPr>
            </w:pPr>
            <w:r w:rsidRPr="00F72F6C">
              <w:rPr>
                <w:rFonts w:ascii="Calibri" w:eastAsia="Times New Roman" w:hAnsi="Calibri" w:cs="Calibri"/>
                <w:color w:val="000000"/>
                <w:lang w:eastAsia="en-US"/>
              </w:rPr>
              <w:t>Bond</w:t>
            </w:r>
            <w:r>
              <w:rPr>
                <w:rFonts w:ascii="Calibri" w:eastAsia="Times New Roman" w:hAnsi="Calibri" w:cs="Calibri"/>
                <w:color w:val="000000"/>
                <w:lang w:eastAsia="en-US"/>
              </w:rPr>
              <w:t xml:space="preserve"> ISIN</w:t>
            </w:r>
          </w:p>
        </w:tc>
        <w:tc>
          <w:tcPr>
            <w:tcW w:w="1796" w:type="dxa"/>
            <w:tcBorders>
              <w:top w:val="nil"/>
              <w:left w:val="single" w:sz="4" w:space="0" w:color="auto"/>
              <w:bottom w:val="nil"/>
              <w:right w:val="single" w:sz="4" w:space="0" w:color="auto"/>
            </w:tcBorders>
            <w:shd w:val="clear" w:color="auto" w:fill="92CDDC" w:themeFill="accent5" w:themeFillTint="99"/>
            <w:noWrap/>
            <w:vAlign w:val="bottom"/>
            <w:hideMark/>
          </w:tcPr>
          <w:p w14:paraId="2A59F626" w14:textId="77777777" w:rsidR="00771A21" w:rsidRPr="00F72F6C" w:rsidRDefault="00771A21" w:rsidP="00771A21">
            <w:pPr>
              <w:jc w:val="center"/>
              <w:rPr>
                <w:rFonts w:ascii="Calibri" w:eastAsia="Times New Roman" w:hAnsi="Calibri" w:cs="Calibri"/>
                <w:color w:val="000000"/>
                <w:lang w:eastAsia="en-US"/>
              </w:rPr>
            </w:pPr>
            <w:r w:rsidRPr="00F72F6C">
              <w:rPr>
                <w:rFonts w:ascii="Calibri" w:eastAsia="Times New Roman" w:hAnsi="Calibri" w:cs="Calibri"/>
                <w:color w:val="000000"/>
                <w:lang w:eastAsia="en-US"/>
              </w:rPr>
              <w:t>AMGN60294235</w:t>
            </w:r>
          </w:p>
        </w:tc>
        <w:tc>
          <w:tcPr>
            <w:tcW w:w="1705" w:type="dxa"/>
            <w:tcBorders>
              <w:top w:val="nil"/>
              <w:left w:val="single" w:sz="4" w:space="0" w:color="auto"/>
              <w:bottom w:val="nil"/>
              <w:right w:val="single" w:sz="4" w:space="0" w:color="auto"/>
            </w:tcBorders>
            <w:shd w:val="clear" w:color="auto" w:fill="92CDDC" w:themeFill="accent5" w:themeFillTint="99"/>
            <w:noWrap/>
            <w:vAlign w:val="bottom"/>
            <w:hideMark/>
          </w:tcPr>
          <w:p w14:paraId="5844E2AD" w14:textId="77777777" w:rsidR="00771A21" w:rsidRPr="00F72F6C" w:rsidRDefault="00771A21" w:rsidP="00771A21">
            <w:pPr>
              <w:jc w:val="center"/>
              <w:rPr>
                <w:rFonts w:ascii="Calibri" w:eastAsia="Times New Roman" w:hAnsi="Calibri" w:cs="Calibri"/>
                <w:color w:val="000000"/>
                <w:lang w:eastAsia="en-US"/>
              </w:rPr>
            </w:pPr>
            <w:r w:rsidRPr="00F72F6C">
              <w:rPr>
                <w:rFonts w:ascii="Calibri" w:eastAsia="Times New Roman" w:hAnsi="Calibri" w:cs="Calibri"/>
                <w:color w:val="000000"/>
                <w:lang w:eastAsia="en-US"/>
              </w:rPr>
              <w:t>AMGB30163472</w:t>
            </w:r>
          </w:p>
        </w:tc>
        <w:tc>
          <w:tcPr>
            <w:tcW w:w="1682" w:type="dxa"/>
            <w:tcBorders>
              <w:top w:val="nil"/>
              <w:left w:val="single" w:sz="4" w:space="0" w:color="auto"/>
              <w:bottom w:val="nil"/>
              <w:right w:val="single" w:sz="4" w:space="0" w:color="auto"/>
            </w:tcBorders>
            <w:shd w:val="clear" w:color="auto" w:fill="92CDDC" w:themeFill="accent5" w:themeFillTint="99"/>
            <w:noWrap/>
            <w:vAlign w:val="bottom"/>
            <w:hideMark/>
          </w:tcPr>
          <w:p w14:paraId="65B8DCA3" w14:textId="77777777" w:rsidR="00771A21" w:rsidRPr="00F72F6C" w:rsidRDefault="00771A21" w:rsidP="00771A21">
            <w:pPr>
              <w:jc w:val="center"/>
              <w:rPr>
                <w:rFonts w:ascii="Calibri" w:eastAsia="Times New Roman" w:hAnsi="Calibri" w:cs="Calibri"/>
                <w:color w:val="000000"/>
                <w:lang w:eastAsia="en-US"/>
              </w:rPr>
            </w:pPr>
            <w:r w:rsidRPr="00F72F6C">
              <w:rPr>
                <w:rFonts w:ascii="Calibri" w:eastAsia="Times New Roman" w:hAnsi="Calibri" w:cs="Calibri"/>
                <w:color w:val="000000"/>
                <w:lang w:eastAsia="en-US"/>
              </w:rPr>
              <w:t>AMGB20072287</w:t>
            </w:r>
          </w:p>
        </w:tc>
      </w:tr>
      <w:tr w:rsidR="008B7A79" w:rsidRPr="00F72F6C" w14:paraId="75D34196" w14:textId="77777777" w:rsidTr="00771A21">
        <w:trPr>
          <w:trHeight w:val="300"/>
        </w:trPr>
        <w:tc>
          <w:tcPr>
            <w:tcW w:w="2636" w:type="dxa"/>
            <w:tcBorders>
              <w:top w:val="nil"/>
              <w:left w:val="single" w:sz="4" w:space="0" w:color="auto"/>
              <w:bottom w:val="nil"/>
              <w:right w:val="single" w:sz="4" w:space="0" w:color="auto"/>
            </w:tcBorders>
            <w:shd w:val="clear" w:color="auto" w:fill="92CDDC" w:themeFill="accent5" w:themeFillTint="99"/>
            <w:noWrap/>
            <w:vAlign w:val="bottom"/>
          </w:tcPr>
          <w:p w14:paraId="13042090" w14:textId="095E1609" w:rsidR="008B7A79" w:rsidRPr="00F72F6C" w:rsidRDefault="008B7A79" w:rsidP="00771A21">
            <w:pPr>
              <w:rPr>
                <w:rFonts w:ascii="Calibri" w:eastAsia="Times New Roman" w:hAnsi="Calibri" w:cs="Calibri"/>
                <w:color w:val="000000"/>
                <w:lang w:eastAsia="en-US"/>
              </w:rPr>
            </w:pPr>
            <w:r>
              <w:rPr>
                <w:rFonts w:ascii="Calibri" w:eastAsia="Times New Roman" w:hAnsi="Calibri" w:cs="Calibri"/>
                <w:color w:val="000000"/>
                <w:lang w:eastAsia="en-US"/>
              </w:rPr>
              <w:t>Maturity Date</w:t>
            </w:r>
          </w:p>
        </w:tc>
        <w:tc>
          <w:tcPr>
            <w:tcW w:w="1796" w:type="dxa"/>
            <w:tcBorders>
              <w:top w:val="nil"/>
              <w:left w:val="single" w:sz="4" w:space="0" w:color="auto"/>
              <w:bottom w:val="nil"/>
              <w:right w:val="single" w:sz="4" w:space="0" w:color="auto"/>
            </w:tcBorders>
            <w:shd w:val="clear" w:color="auto" w:fill="92CDDC" w:themeFill="accent5" w:themeFillTint="99"/>
            <w:noWrap/>
            <w:vAlign w:val="bottom"/>
          </w:tcPr>
          <w:p w14:paraId="2061F92D" w14:textId="0F6D22AE" w:rsidR="008B7A79" w:rsidRPr="008B7A79" w:rsidRDefault="008B7A79" w:rsidP="008B7A79">
            <w:pPr>
              <w:jc w:val="right"/>
              <w:rPr>
                <w:rFonts w:ascii="Calibri" w:hAnsi="Calibri" w:cs="Calibri"/>
                <w:color w:val="000000"/>
              </w:rPr>
            </w:pPr>
            <w:r>
              <w:rPr>
                <w:rFonts w:ascii="Calibri" w:hAnsi="Calibri" w:cs="Calibri"/>
                <w:color w:val="000000"/>
              </w:rPr>
              <w:t>29-Apr-2023</w:t>
            </w:r>
          </w:p>
        </w:tc>
        <w:tc>
          <w:tcPr>
            <w:tcW w:w="1705" w:type="dxa"/>
            <w:tcBorders>
              <w:top w:val="nil"/>
              <w:left w:val="single" w:sz="4" w:space="0" w:color="auto"/>
              <w:bottom w:val="nil"/>
              <w:right w:val="single" w:sz="4" w:space="0" w:color="auto"/>
            </w:tcBorders>
            <w:shd w:val="clear" w:color="auto" w:fill="92CDDC" w:themeFill="accent5" w:themeFillTint="99"/>
            <w:noWrap/>
            <w:vAlign w:val="bottom"/>
          </w:tcPr>
          <w:p w14:paraId="69A0E40D" w14:textId="1487EBA3" w:rsidR="008B7A79" w:rsidRPr="008B7A79" w:rsidRDefault="008B7A79" w:rsidP="008B7A79">
            <w:pPr>
              <w:jc w:val="right"/>
              <w:rPr>
                <w:rFonts w:ascii="Calibri" w:hAnsi="Calibri" w:cs="Calibri"/>
                <w:color w:val="000000"/>
              </w:rPr>
            </w:pPr>
            <w:r>
              <w:rPr>
                <w:rFonts w:ascii="Calibri" w:hAnsi="Calibri" w:cs="Calibri"/>
                <w:color w:val="000000"/>
              </w:rPr>
              <w:t>16-Mar-2047</w:t>
            </w:r>
          </w:p>
        </w:tc>
        <w:tc>
          <w:tcPr>
            <w:tcW w:w="1682" w:type="dxa"/>
            <w:tcBorders>
              <w:top w:val="nil"/>
              <w:left w:val="single" w:sz="4" w:space="0" w:color="auto"/>
              <w:bottom w:val="nil"/>
              <w:right w:val="single" w:sz="4" w:space="0" w:color="auto"/>
            </w:tcBorders>
            <w:shd w:val="clear" w:color="auto" w:fill="92CDDC" w:themeFill="accent5" w:themeFillTint="99"/>
            <w:noWrap/>
            <w:vAlign w:val="bottom"/>
          </w:tcPr>
          <w:p w14:paraId="5C59A31C" w14:textId="23AB9981" w:rsidR="008B7A79" w:rsidRPr="008B7A79" w:rsidRDefault="008B7A79" w:rsidP="008B7A79">
            <w:pPr>
              <w:jc w:val="right"/>
              <w:rPr>
                <w:rFonts w:ascii="Calibri" w:hAnsi="Calibri" w:cs="Calibri"/>
                <w:color w:val="000000"/>
              </w:rPr>
            </w:pPr>
            <w:r>
              <w:rPr>
                <w:rFonts w:ascii="Calibri" w:hAnsi="Calibri" w:cs="Calibri"/>
                <w:color w:val="000000"/>
              </w:rPr>
              <w:t>7-Feb-2028</w:t>
            </w:r>
          </w:p>
        </w:tc>
      </w:tr>
      <w:tr w:rsidR="00771A21" w:rsidRPr="00F72F6C" w14:paraId="58E9FA90" w14:textId="77777777" w:rsidTr="00771A21">
        <w:trPr>
          <w:trHeight w:val="300"/>
        </w:trPr>
        <w:tc>
          <w:tcPr>
            <w:tcW w:w="2636" w:type="dxa"/>
            <w:tcBorders>
              <w:top w:val="nil"/>
              <w:left w:val="single" w:sz="4" w:space="0" w:color="auto"/>
              <w:bottom w:val="nil"/>
              <w:right w:val="single" w:sz="4" w:space="0" w:color="auto"/>
            </w:tcBorders>
            <w:shd w:val="clear" w:color="auto" w:fill="92CDDC" w:themeFill="accent5" w:themeFillTint="99"/>
            <w:noWrap/>
            <w:vAlign w:val="bottom"/>
            <w:hideMark/>
          </w:tcPr>
          <w:p w14:paraId="2E96D10B" w14:textId="7AA8AFD8" w:rsidR="00771A21" w:rsidRPr="00F72F6C" w:rsidRDefault="00771A21" w:rsidP="00771A21">
            <w:pPr>
              <w:rPr>
                <w:rFonts w:ascii="Calibri" w:eastAsia="Times New Roman" w:hAnsi="Calibri" w:cs="Calibri"/>
                <w:color w:val="000000"/>
                <w:lang w:eastAsia="en-US"/>
              </w:rPr>
            </w:pPr>
            <w:r w:rsidRPr="00F72F6C">
              <w:rPr>
                <w:rFonts w:ascii="Calibri" w:eastAsia="Times New Roman" w:hAnsi="Calibri" w:cs="Calibri"/>
                <w:color w:val="000000"/>
                <w:lang w:eastAsia="en-US"/>
              </w:rPr>
              <w:t>Bond Yield</w:t>
            </w:r>
            <w:r>
              <w:rPr>
                <w:rFonts w:ascii="Calibri" w:eastAsia="Times New Roman" w:hAnsi="Calibri" w:cs="Calibri"/>
                <w:color w:val="000000"/>
                <w:lang w:eastAsia="en-US"/>
              </w:rPr>
              <w:t xml:space="preserve"> Fixed</w:t>
            </w:r>
          </w:p>
        </w:tc>
        <w:tc>
          <w:tcPr>
            <w:tcW w:w="1796" w:type="dxa"/>
            <w:tcBorders>
              <w:top w:val="nil"/>
              <w:left w:val="single" w:sz="4" w:space="0" w:color="auto"/>
              <w:bottom w:val="nil"/>
              <w:right w:val="single" w:sz="4" w:space="0" w:color="auto"/>
            </w:tcBorders>
            <w:shd w:val="clear" w:color="auto" w:fill="92CDDC" w:themeFill="accent5" w:themeFillTint="99"/>
            <w:noWrap/>
            <w:vAlign w:val="bottom"/>
            <w:hideMark/>
          </w:tcPr>
          <w:p w14:paraId="6ADE668A"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7.2500%</w:t>
            </w:r>
          </w:p>
        </w:tc>
        <w:tc>
          <w:tcPr>
            <w:tcW w:w="1705" w:type="dxa"/>
            <w:tcBorders>
              <w:top w:val="nil"/>
              <w:left w:val="single" w:sz="4" w:space="0" w:color="auto"/>
              <w:bottom w:val="nil"/>
              <w:right w:val="single" w:sz="4" w:space="0" w:color="auto"/>
            </w:tcBorders>
            <w:shd w:val="clear" w:color="auto" w:fill="92CDDC" w:themeFill="accent5" w:themeFillTint="99"/>
            <w:noWrap/>
            <w:vAlign w:val="bottom"/>
            <w:hideMark/>
          </w:tcPr>
          <w:p w14:paraId="7110AA46"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11.5800%</w:t>
            </w:r>
          </w:p>
        </w:tc>
        <w:tc>
          <w:tcPr>
            <w:tcW w:w="1682" w:type="dxa"/>
            <w:tcBorders>
              <w:top w:val="nil"/>
              <w:left w:val="single" w:sz="4" w:space="0" w:color="auto"/>
              <w:bottom w:val="nil"/>
              <w:right w:val="single" w:sz="4" w:space="0" w:color="auto"/>
            </w:tcBorders>
            <w:shd w:val="clear" w:color="auto" w:fill="92CDDC" w:themeFill="accent5" w:themeFillTint="99"/>
            <w:noWrap/>
            <w:vAlign w:val="bottom"/>
            <w:hideMark/>
          </w:tcPr>
          <w:p w14:paraId="2761403C"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9.1800%</w:t>
            </w:r>
          </w:p>
        </w:tc>
      </w:tr>
      <w:tr w:rsidR="00771A21" w:rsidRPr="00F72F6C" w14:paraId="503C2335" w14:textId="77777777" w:rsidTr="00771A21">
        <w:trPr>
          <w:trHeight w:val="300"/>
        </w:trPr>
        <w:tc>
          <w:tcPr>
            <w:tcW w:w="2636" w:type="dxa"/>
            <w:tcBorders>
              <w:top w:val="nil"/>
              <w:left w:val="single" w:sz="4" w:space="0" w:color="auto"/>
              <w:bottom w:val="nil"/>
              <w:right w:val="single" w:sz="4" w:space="0" w:color="auto"/>
            </w:tcBorders>
            <w:shd w:val="clear" w:color="auto" w:fill="92CDDC" w:themeFill="accent5" w:themeFillTint="99"/>
            <w:noWrap/>
            <w:vAlign w:val="bottom"/>
            <w:hideMark/>
          </w:tcPr>
          <w:p w14:paraId="233E4C11" w14:textId="3BF5B9E8" w:rsidR="00771A21" w:rsidRPr="00F72F6C" w:rsidRDefault="00771A21" w:rsidP="00771A21">
            <w:pPr>
              <w:rPr>
                <w:rFonts w:ascii="Calibri" w:eastAsia="Times New Roman" w:hAnsi="Calibri" w:cs="Calibri"/>
                <w:color w:val="000000"/>
                <w:lang w:eastAsia="en-US"/>
              </w:rPr>
            </w:pPr>
            <w:r>
              <w:rPr>
                <w:rFonts w:ascii="Calibri" w:eastAsia="Times New Roman" w:hAnsi="Calibri" w:cs="Calibri"/>
                <w:color w:val="000000"/>
                <w:lang w:eastAsia="en-US"/>
              </w:rPr>
              <w:t xml:space="preserve">Equivalent </w:t>
            </w:r>
            <w:r w:rsidRPr="00F72F6C">
              <w:rPr>
                <w:rFonts w:ascii="Calibri" w:eastAsia="Times New Roman" w:hAnsi="Calibri" w:cs="Calibri"/>
                <w:color w:val="000000"/>
                <w:lang w:eastAsia="en-US"/>
              </w:rPr>
              <w:t>Clean Price</w:t>
            </w:r>
          </w:p>
        </w:tc>
        <w:tc>
          <w:tcPr>
            <w:tcW w:w="1796" w:type="dxa"/>
            <w:tcBorders>
              <w:top w:val="nil"/>
              <w:left w:val="single" w:sz="4" w:space="0" w:color="auto"/>
              <w:bottom w:val="nil"/>
              <w:right w:val="single" w:sz="4" w:space="0" w:color="auto"/>
            </w:tcBorders>
            <w:shd w:val="clear" w:color="auto" w:fill="92CDDC" w:themeFill="accent5" w:themeFillTint="99"/>
            <w:noWrap/>
            <w:vAlign w:val="bottom"/>
            <w:hideMark/>
          </w:tcPr>
          <w:p w14:paraId="27F8F547"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103.0255%</w:t>
            </w:r>
          </w:p>
        </w:tc>
        <w:tc>
          <w:tcPr>
            <w:tcW w:w="1705" w:type="dxa"/>
            <w:tcBorders>
              <w:top w:val="nil"/>
              <w:left w:val="single" w:sz="4" w:space="0" w:color="auto"/>
              <w:bottom w:val="nil"/>
              <w:right w:val="single" w:sz="4" w:space="0" w:color="auto"/>
            </w:tcBorders>
            <w:shd w:val="clear" w:color="auto" w:fill="92CDDC" w:themeFill="accent5" w:themeFillTint="99"/>
            <w:noWrap/>
            <w:vAlign w:val="bottom"/>
            <w:hideMark/>
          </w:tcPr>
          <w:p w14:paraId="14E67B1D"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111.7357%</w:t>
            </w:r>
          </w:p>
        </w:tc>
        <w:tc>
          <w:tcPr>
            <w:tcW w:w="1682" w:type="dxa"/>
            <w:tcBorders>
              <w:top w:val="nil"/>
              <w:left w:val="single" w:sz="4" w:space="0" w:color="auto"/>
              <w:bottom w:val="nil"/>
              <w:right w:val="single" w:sz="4" w:space="0" w:color="auto"/>
            </w:tcBorders>
            <w:shd w:val="clear" w:color="auto" w:fill="92CDDC" w:themeFill="accent5" w:themeFillTint="99"/>
            <w:noWrap/>
            <w:vAlign w:val="bottom"/>
            <w:hideMark/>
          </w:tcPr>
          <w:p w14:paraId="690DC499"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111.4665%</w:t>
            </w:r>
          </w:p>
        </w:tc>
      </w:tr>
      <w:tr w:rsidR="00771A21" w:rsidRPr="00F72F6C" w14:paraId="2D0BCF4F" w14:textId="77777777" w:rsidTr="00771A21">
        <w:trPr>
          <w:trHeight w:val="300"/>
        </w:trPr>
        <w:tc>
          <w:tcPr>
            <w:tcW w:w="2636"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2E1F8B3C" w14:textId="64D40F28" w:rsidR="00771A21" w:rsidRPr="00F72F6C" w:rsidRDefault="00771A21" w:rsidP="00771A21">
            <w:pPr>
              <w:rPr>
                <w:rFonts w:ascii="Calibri" w:eastAsia="Times New Roman" w:hAnsi="Calibri" w:cs="Calibri"/>
                <w:color w:val="000000"/>
                <w:lang w:eastAsia="en-US"/>
              </w:rPr>
            </w:pPr>
            <w:r w:rsidRPr="00F72F6C">
              <w:rPr>
                <w:rFonts w:ascii="Calibri" w:eastAsia="Times New Roman" w:hAnsi="Calibri" w:cs="Calibri"/>
                <w:color w:val="000000"/>
                <w:lang w:eastAsia="en-US"/>
              </w:rPr>
              <w:t>Dirty Price</w:t>
            </w:r>
          </w:p>
        </w:tc>
        <w:tc>
          <w:tcPr>
            <w:tcW w:w="1796"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0B2D549E"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103.9654%</w:t>
            </w:r>
          </w:p>
        </w:tc>
        <w:tc>
          <w:tcPr>
            <w:tcW w:w="1705"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6513E060"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114.8091%</w:t>
            </w:r>
          </w:p>
        </w:tc>
        <w:tc>
          <w:tcPr>
            <w:tcW w:w="168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4693BECE" w14:textId="77777777" w:rsidR="00771A21" w:rsidRPr="00F72F6C" w:rsidRDefault="00771A21" w:rsidP="00771A21">
            <w:pPr>
              <w:jc w:val="right"/>
              <w:rPr>
                <w:rFonts w:ascii="Calibri" w:eastAsia="Times New Roman" w:hAnsi="Calibri" w:cs="Calibri"/>
                <w:color w:val="000000"/>
                <w:lang w:eastAsia="en-US"/>
              </w:rPr>
            </w:pPr>
            <w:r w:rsidRPr="00F72F6C">
              <w:rPr>
                <w:rFonts w:ascii="Calibri" w:eastAsia="Times New Roman" w:hAnsi="Calibri" w:cs="Calibri"/>
                <w:color w:val="000000"/>
                <w:lang w:eastAsia="en-US"/>
              </w:rPr>
              <w:t>115.2345%</w:t>
            </w:r>
          </w:p>
        </w:tc>
      </w:tr>
    </w:tbl>
    <w:p w14:paraId="478F20C0" w14:textId="77777777" w:rsidR="00F72F6C" w:rsidRDefault="00F72F6C" w:rsidP="00B373FE">
      <w:pPr>
        <w:autoSpaceDE w:val="0"/>
        <w:autoSpaceDN w:val="0"/>
        <w:adjustRightInd w:val="0"/>
        <w:ind w:left="720" w:hanging="720"/>
        <w:jc w:val="both"/>
      </w:pPr>
    </w:p>
    <w:p w14:paraId="5B288208" w14:textId="1C2F38A6" w:rsidR="00641E7A" w:rsidRDefault="00641E7A" w:rsidP="00B373FE">
      <w:pPr>
        <w:autoSpaceDE w:val="0"/>
        <w:autoSpaceDN w:val="0"/>
        <w:adjustRightInd w:val="0"/>
        <w:ind w:left="720" w:hanging="720"/>
        <w:jc w:val="both"/>
      </w:pPr>
      <w:r>
        <w:t>2</w:t>
      </w:r>
      <w:r w:rsidR="00305D0F">
        <w:t>6</w:t>
      </w:r>
      <w:r>
        <w:t>.</w:t>
      </w:r>
      <w:r w:rsidR="00305D0F">
        <w:t>3</w:t>
      </w:r>
      <w:r>
        <w:tab/>
      </w:r>
      <w:r w:rsidR="00007228">
        <w:t>Table</w:t>
      </w:r>
      <w:r>
        <w:t>s</w:t>
      </w:r>
      <w:r w:rsidR="00007228">
        <w:t xml:space="preserve"> 3</w:t>
      </w:r>
      <w:r>
        <w:t xml:space="preserve"> (a) and (b)</w:t>
      </w:r>
      <w:r w:rsidR="00007228">
        <w:t xml:space="preserve"> provid</w:t>
      </w:r>
      <w:r>
        <w:t xml:space="preserve">es bid </w:t>
      </w:r>
      <w:r w:rsidR="00745799">
        <w:t>details</w:t>
      </w:r>
      <w:r>
        <w:t xml:space="preserve"> on the switch auctions based on bids placed by </w:t>
      </w:r>
      <w:r w:rsidR="003F011A">
        <w:t>5</w:t>
      </w:r>
      <w:r>
        <w:t xml:space="preserve"> PDs for the two source bonds AMGN60294193 and AMGN. </w:t>
      </w:r>
      <w:r w:rsidR="008B7A79">
        <w:t xml:space="preserve">For the first source bond, a total amount of ARM 77 million is bid </w:t>
      </w:r>
      <w:r w:rsidR="00096979">
        <w:t>on</w:t>
      </w:r>
      <w:r w:rsidR="008B7A79">
        <w:t xml:space="preserve"> which</w:t>
      </w:r>
      <w:r w:rsidR="00096979">
        <w:t>:</w:t>
      </w:r>
      <w:r w:rsidR="008B7A79">
        <w:t xml:space="preserve"> </w:t>
      </w:r>
      <w:r w:rsidR="00096979">
        <w:t>the 5 year, 10 year and 30 year destination bonds is bid for ARM 27 million, ARM 16 million and ARM 34 million. For the second source bond, a total amount of ARM 58 million is bid on which: the 5 year, 10 year and 30 year destination bonds is bid for ARM 13 million, ARM 26 million and ARM 19 million.</w:t>
      </w:r>
    </w:p>
    <w:p w14:paraId="5A9CEBEE" w14:textId="4157FE5F" w:rsidR="00423DE4" w:rsidRDefault="00423DE4">
      <w:r>
        <w:br w:type="page"/>
      </w:r>
    </w:p>
    <w:p w14:paraId="67C66591" w14:textId="77777777" w:rsidR="001F41EC" w:rsidRDefault="001F41EC" w:rsidP="00B373FE">
      <w:pPr>
        <w:autoSpaceDE w:val="0"/>
        <w:autoSpaceDN w:val="0"/>
        <w:adjustRightInd w:val="0"/>
        <w:ind w:left="720" w:hanging="720"/>
        <w:jc w:val="both"/>
      </w:pPr>
    </w:p>
    <w:tbl>
      <w:tblPr>
        <w:tblW w:w="7668" w:type="dxa"/>
        <w:tblLook w:val="04A0" w:firstRow="1" w:lastRow="0" w:firstColumn="1" w:lastColumn="0" w:noHBand="0" w:noVBand="1"/>
      </w:tblPr>
      <w:tblGrid>
        <w:gridCol w:w="720"/>
        <w:gridCol w:w="804"/>
        <w:gridCol w:w="1180"/>
        <w:gridCol w:w="1540"/>
        <w:gridCol w:w="1719"/>
        <w:gridCol w:w="1705"/>
      </w:tblGrid>
      <w:tr w:rsidR="008B7A79" w:rsidRPr="00641E7A" w14:paraId="6AB78C48" w14:textId="77777777" w:rsidTr="008B7A79">
        <w:trPr>
          <w:trHeight w:val="300"/>
        </w:trPr>
        <w:tc>
          <w:tcPr>
            <w:tcW w:w="7668" w:type="dxa"/>
            <w:gridSpan w:val="6"/>
            <w:tcBorders>
              <w:top w:val="nil"/>
              <w:left w:val="nil"/>
              <w:bottom w:val="nil"/>
              <w:right w:val="nil"/>
            </w:tcBorders>
            <w:shd w:val="clear" w:color="auto" w:fill="auto"/>
            <w:noWrap/>
            <w:vAlign w:val="bottom"/>
            <w:hideMark/>
          </w:tcPr>
          <w:p w14:paraId="4D6304AF" w14:textId="7AD017D5" w:rsidR="008B7A79" w:rsidRPr="00641E7A" w:rsidRDefault="00096979" w:rsidP="008B7A79">
            <w:pPr>
              <w:rPr>
                <w:rFonts w:ascii="Calibri" w:eastAsia="Times New Roman" w:hAnsi="Calibri" w:cs="Calibri"/>
                <w:bCs/>
                <w:color w:val="000000"/>
                <w:lang w:eastAsia="en-US"/>
              </w:rPr>
            </w:pPr>
            <w:r>
              <w:br w:type="page"/>
            </w:r>
            <w:r w:rsidR="008B7A79" w:rsidRPr="008B7A79">
              <w:rPr>
                <w:rFonts w:ascii="Calibri" w:eastAsia="Times New Roman" w:hAnsi="Calibri" w:cs="Calibri"/>
                <w:bCs/>
                <w:color w:val="000000"/>
                <w:lang w:eastAsia="en-US"/>
              </w:rPr>
              <w:t xml:space="preserve">Table 3(a): Bid for </w:t>
            </w:r>
            <w:r w:rsidR="008B7A79" w:rsidRPr="00641E7A">
              <w:rPr>
                <w:rFonts w:ascii="Calibri" w:eastAsia="Times New Roman" w:hAnsi="Calibri" w:cs="Calibri"/>
                <w:bCs/>
                <w:color w:val="000000"/>
                <w:lang w:eastAsia="en-US"/>
              </w:rPr>
              <w:t>Source Bond AMGN60294193</w:t>
            </w:r>
          </w:p>
        </w:tc>
      </w:tr>
      <w:tr w:rsidR="00641E7A" w:rsidRPr="00641E7A" w14:paraId="7BC2E719" w14:textId="77777777" w:rsidTr="008B7A79">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E8D96C7" w14:textId="29211D82" w:rsidR="00641E7A" w:rsidRPr="00641E7A" w:rsidRDefault="00B478B7" w:rsidP="00641E7A">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Bids</w:t>
            </w:r>
            <w:r w:rsidR="00641E7A" w:rsidRPr="00641E7A">
              <w:rPr>
                <w:rFonts w:ascii="Times New Roman" w:eastAsia="Times New Roman" w:hAnsi="Times New Roman" w:cs="Times New Roman"/>
                <w:color w:val="000000"/>
                <w:sz w:val="20"/>
                <w:szCs w:val="20"/>
                <w:lang w:eastAsia="en-US"/>
              </w:rPr>
              <w:t> </w:t>
            </w:r>
          </w:p>
        </w:tc>
        <w:tc>
          <w:tcPr>
            <w:tcW w:w="804" w:type="dxa"/>
            <w:tcBorders>
              <w:top w:val="single" w:sz="4" w:space="0" w:color="auto"/>
              <w:left w:val="nil"/>
              <w:bottom w:val="single" w:sz="4" w:space="0" w:color="auto"/>
              <w:right w:val="single" w:sz="4" w:space="0" w:color="auto"/>
            </w:tcBorders>
            <w:shd w:val="clear" w:color="000000" w:fill="F8CBAD"/>
            <w:noWrap/>
            <w:vAlign w:val="center"/>
            <w:hideMark/>
          </w:tcPr>
          <w:p w14:paraId="38DE03FF"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Bidder</w:t>
            </w:r>
          </w:p>
        </w:tc>
        <w:tc>
          <w:tcPr>
            <w:tcW w:w="1180" w:type="dxa"/>
            <w:tcBorders>
              <w:top w:val="single" w:sz="4" w:space="0" w:color="auto"/>
              <w:left w:val="nil"/>
              <w:bottom w:val="single" w:sz="4" w:space="0" w:color="auto"/>
              <w:right w:val="single" w:sz="4" w:space="0" w:color="auto"/>
            </w:tcBorders>
            <w:shd w:val="clear" w:color="000000" w:fill="F8CBAD"/>
            <w:noWrap/>
            <w:vAlign w:val="center"/>
            <w:hideMark/>
          </w:tcPr>
          <w:p w14:paraId="384C0DDA"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Bid Yield</w:t>
            </w:r>
          </w:p>
        </w:tc>
        <w:tc>
          <w:tcPr>
            <w:tcW w:w="1540" w:type="dxa"/>
            <w:tcBorders>
              <w:top w:val="single" w:sz="4" w:space="0" w:color="auto"/>
              <w:left w:val="nil"/>
              <w:bottom w:val="single" w:sz="4" w:space="0" w:color="auto"/>
              <w:right w:val="single" w:sz="4" w:space="0" w:color="auto"/>
            </w:tcBorders>
            <w:shd w:val="clear" w:color="000000" w:fill="F8CBAD"/>
            <w:vAlign w:val="center"/>
            <w:hideMark/>
          </w:tcPr>
          <w:p w14:paraId="58BC3138"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Face Value</w:t>
            </w:r>
          </w:p>
        </w:tc>
        <w:tc>
          <w:tcPr>
            <w:tcW w:w="1719" w:type="dxa"/>
            <w:tcBorders>
              <w:top w:val="single" w:sz="4" w:space="0" w:color="auto"/>
              <w:left w:val="nil"/>
              <w:bottom w:val="single" w:sz="4" w:space="0" w:color="auto"/>
              <w:right w:val="single" w:sz="4" w:space="0" w:color="auto"/>
            </w:tcBorders>
            <w:shd w:val="clear" w:color="000000" w:fill="F8CBAD"/>
            <w:vAlign w:val="center"/>
            <w:hideMark/>
          </w:tcPr>
          <w:p w14:paraId="46B9270E"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Cumulative FV </w:t>
            </w:r>
          </w:p>
        </w:tc>
        <w:tc>
          <w:tcPr>
            <w:tcW w:w="1705" w:type="dxa"/>
            <w:tcBorders>
              <w:top w:val="single" w:sz="4" w:space="0" w:color="auto"/>
              <w:left w:val="nil"/>
              <w:bottom w:val="single" w:sz="4" w:space="0" w:color="auto"/>
              <w:right w:val="single" w:sz="4" w:space="0" w:color="auto"/>
            </w:tcBorders>
            <w:shd w:val="clear" w:color="000000" w:fill="F8CBAD"/>
            <w:vAlign w:val="center"/>
            <w:hideMark/>
          </w:tcPr>
          <w:p w14:paraId="481C2BA3" w14:textId="3258CB2A" w:rsidR="00641E7A" w:rsidRPr="00641E7A" w:rsidRDefault="00641E7A" w:rsidP="00641E7A">
            <w:pPr>
              <w:jc w:val="center"/>
              <w:rPr>
                <w:rFonts w:ascii="Times New Roman" w:eastAsia="Times New Roman" w:hAnsi="Times New Roman" w:cs="Times New Roman"/>
                <w:color w:val="000000"/>
                <w:sz w:val="20"/>
                <w:szCs w:val="20"/>
                <w:lang w:eastAsia="en-US"/>
              </w:rPr>
            </w:pPr>
            <w:r w:rsidRPr="00096979">
              <w:rPr>
                <w:rFonts w:ascii="Times New Roman" w:eastAsia="Times New Roman" w:hAnsi="Times New Roman" w:cs="Times New Roman"/>
                <w:color w:val="000000"/>
                <w:sz w:val="20"/>
                <w:szCs w:val="20"/>
                <w:lang w:eastAsia="en-US"/>
              </w:rPr>
              <w:t>Destination Bond Selected by Bidder</w:t>
            </w:r>
          </w:p>
        </w:tc>
      </w:tr>
      <w:tr w:rsidR="00641E7A" w:rsidRPr="00641E7A" w14:paraId="68F47EA0"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28B6F2"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1</w:t>
            </w:r>
          </w:p>
        </w:tc>
        <w:tc>
          <w:tcPr>
            <w:tcW w:w="804" w:type="dxa"/>
            <w:tcBorders>
              <w:top w:val="nil"/>
              <w:left w:val="nil"/>
              <w:bottom w:val="single" w:sz="4" w:space="0" w:color="auto"/>
              <w:right w:val="single" w:sz="4" w:space="0" w:color="auto"/>
            </w:tcBorders>
            <w:shd w:val="clear" w:color="auto" w:fill="auto"/>
            <w:noWrap/>
            <w:vAlign w:val="bottom"/>
            <w:hideMark/>
          </w:tcPr>
          <w:p w14:paraId="57FF4E56"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B</w:t>
            </w:r>
          </w:p>
        </w:tc>
        <w:tc>
          <w:tcPr>
            <w:tcW w:w="1180" w:type="dxa"/>
            <w:tcBorders>
              <w:top w:val="nil"/>
              <w:left w:val="nil"/>
              <w:bottom w:val="single" w:sz="4" w:space="0" w:color="auto"/>
              <w:right w:val="single" w:sz="4" w:space="0" w:color="auto"/>
            </w:tcBorders>
            <w:shd w:val="clear" w:color="auto" w:fill="auto"/>
            <w:noWrap/>
            <w:vAlign w:val="bottom"/>
            <w:hideMark/>
          </w:tcPr>
          <w:p w14:paraId="786D0CC9"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7.6250%</w:t>
            </w:r>
          </w:p>
        </w:tc>
        <w:tc>
          <w:tcPr>
            <w:tcW w:w="1540" w:type="dxa"/>
            <w:tcBorders>
              <w:top w:val="nil"/>
              <w:left w:val="nil"/>
              <w:bottom w:val="single" w:sz="4" w:space="0" w:color="auto"/>
              <w:right w:val="single" w:sz="4" w:space="0" w:color="auto"/>
            </w:tcBorders>
            <w:shd w:val="clear" w:color="auto" w:fill="auto"/>
            <w:noWrap/>
            <w:vAlign w:val="bottom"/>
            <w:hideMark/>
          </w:tcPr>
          <w:p w14:paraId="0A90692B"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12,000,000 </w:t>
            </w:r>
          </w:p>
        </w:tc>
        <w:tc>
          <w:tcPr>
            <w:tcW w:w="1719" w:type="dxa"/>
            <w:tcBorders>
              <w:top w:val="nil"/>
              <w:left w:val="nil"/>
              <w:bottom w:val="single" w:sz="4" w:space="0" w:color="auto"/>
              <w:right w:val="single" w:sz="4" w:space="0" w:color="auto"/>
            </w:tcBorders>
            <w:shd w:val="clear" w:color="auto" w:fill="auto"/>
            <w:noWrap/>
            <w:vAlign w:val="bottom"/>
            <w:hideMark/>
          </w:tcPr>
          <w:p w14:paraId="611F4AB2"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12,000,000 </w:t>
            </w:r>
          </w:p>
        </w:tc>
        <w:tc>
          <w:tcPr>
            <w:tcW w:w="1705" w:type="dxa"/>
            <w:tcBorders>
              <w:top w:val="nil"/>
              <w:left w:val="nil"/>
              <w:bottom w:val="single" w:sz="4" w:space="0" w:color="auto"/>
              <w:right w:val="single" w:sz="4" w:space="0" w:color="auto"/>
            </w:tcBorders>
            <w:shd w:val="clear" w:color="auto" w:fill="auto"/>
            <w:noWrap/>
            <w:vAlign w:val="bottom"/>
            <w:hideMark/>
          </w:tcPr>
          <w:p w14:paraId="088171B9"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AMGB30163472 </w:t>
            </w:r>
          </w:p>
        </w:tc>
      </w:tr>
      <w:tr w:rsidR="00641E7A" w:rsidRPr="00641E7A" w14:paraId="2015BEB0"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AAB7B7"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2</w:t>
            </w:r>
          </w:p>
        </w:tc>
        <w:tc>
          <w:tcPr>
            <w:tcW w:w="804" w:type="dxa"/>
            <w:tcBorders>
              <w:top w:val="nil"/>
              <w:left w:val="nil"/>
              <w:bottom w:val="single" w:sz="4" w:space="0" w:color="auto"/>
              <w:right w:val="single" w:sz="4" w:space="0" w:color="auto"/>
            </w:tcBorders>
            <w:shd w:val="clear" w:color="auto" w:fill="auto"/>
            <w:noWrap/>
            <w:vAlign w:val="bottom"/>
            <w:hideMark/>
          </w:tcPr>
          <w:p w14:paraId="5E56970F"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D</w:t>
            </w:r>
          </w:p>
        </w:tc>
        <w:tc>
          <w:tcPr>
            <w:tcW w:w="1180" w:type="dxa"/>
            <w:tcBorders>
              <w:top w:val="nil"/>
              <w:left w:val="nil"/>
              <w:bottom w:val="single" w:sz="4" w:space="0" w:color="auto"/>
              <w:right w:val="single" w:sz="4" w:space="0" w:color="auto"/>
            </w:tcBorders>
            <w:shd w:val="clear" w:color="auto" w:fill="auto"/>
            <w:noWrap/>
            <w:vAlign w:val="bottom"/>
            <w:hideMark/>
          </w:tcPr>
          <w:p w14:paraId="3AEE0167"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7.6200%</w:t>
            </w:r>
          </w:p>
        </w:tc>
        <w:tc>
          <w:tcPr>
            <w:tcW w:w="1540" w:type="dxa"/>
            <w:tcBorders>
              <w:top w:val="nil"/>
              <w:left w:val="nil"/>
              <w:bottom w:val="single" w:sz="4" w:space="0" w:color="auto"/>
              <w:right w:val="single" w:sz="4" w:space="0" w:color="auto"/>
            </w:tcBorders>
            <w:shd w:val="clear" w:color="auto" w:fill="auto"/>
            <w:noWrap/>
            <w:vAlign w:val="bottom"/>
            <w:hideMark/>
          </w:tcPr>
          <w:p w14:paraId="57B895EC"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6,000,000 </w:t>
            </w:r>
          </w:p>
        </w:tc>
        <w:tc>
          <w:tcPr>
            <w:tcW w:w="1719" w:type="dxa"/>
            <w:tcBorders>
              <w:top w:val="nil"/>
              <w:left w:val="nil"/>
              <w:bottom w:val="single" w:sz="4" w:space="0" w:color="auto"/>
              <w:right w:val="single" w:sz="4" w:space="0" w:color="auto"/>
            </w:tcBorders>
            <w:shd w:val="clear" w:color="auto" w:fill="auto"/>
            <w:noWrap/>
            <w:vAlign w:val="bottom"/>
            <w:hideMark/>
          </w:tcPr>
          <w:p w14:paraId="5F5C5FD7"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18,000,000 </w:t>
            </w:r>
          </w:p>
        </w:tc>
        <w:tc>
          <w:tcPr>
            <w:tcW w:w="1705" w:type="dxa"/>
            <w:tcBorders>
              <w:top w:val="nil"/>
              <w:left w:val="nil"/>
              <w:bottom w:val="single" w:sz="4" w:space="0" w:color="auto"/>
              <w:right w:val="single" w:sz="4" w:space="0" w:color="auto"/>
            </w:tcBorders>
            <w:shd w:val="clear" w:color="auto" w:fill="auto"/>
            <w:noWrap/>
            <w:vAlign w:val="bottom"/>
            <w:hideMark/>
          </w:tcPr>
          <w:p w14:paraId="75D5A487"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AMGN60294235 </w:t>
            </w:r>
          </w:p>
        </w:tc>
      </w:tr>
      <w:tr w:rsidR="00641E7A" w:rsidRPr="00641E7A" w14:paraId="2411859E"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D413249"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3</w:t>
            </w:r>
          </w:p>
        </w:tc>
        <w:tc>
          <w:tcPr>
            <w:tcW w:w="804" w:type="dxa"/>
            <w:tcBorders>
              <w:top w:val="nil"/>
              <w:left w:val="nil"/>
              <w:bottom w:val="single" w:sz="4" w:space="0" w:color="auto"/>
              <w:right w:val="single" w:sz="4" w:space="0" w:color="auto"/>
            </w:tcBorders>
            <w:shd w:val="clear" w:color="auto" w:fill="auto"/>
            <w:noWrap/>
            <w:vAlign w:val="bottom"/>
            <w:hideMark/>
          </w:tcPr>
          <w:p w14:paraId="49331E3E"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A</w:t>
            </w:r>
          </w:p>
        </w:tc>
        <w:tc>
          <w:tcPr>
            <w:tcW w:w="1180" w:type="dxa"/>
            <w:tcBorders>
              <w:top w:val="nil"/>
              <w:left w:val="nil"/>
              <w:bottom w:val="single" w:sz="4" w:space="0" w:color="auto"/>
              <w:right w:val="single" w:sz="4" w:space="0" w:color="auto"/>
            </w:tcBorders>
            <w:shd w:val="clear" w:color="auto" w:fill="auto"/>
            <w:noWrap/>
            <w:vAlign w:val="bottom"/>
            <w:hideMark/>
          </w:tcPr>
          <w:p w14:paraId="491C16F3"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7.6100%</w:t>
            </w:r>
          </w:p>
        </w:tc>
        <w:tc>
          <w:tcPr>
            <w:tcW w:w="1540" w:type="dxa"/>
            <w:tcBorders>
              <w:top w:val="nil"/>
              <w:left w:val="nil"/>
              <w:bottom w:val="single" w:sz="4" w:space="0" w:color="auto"/>
              <w:right w:val="single" w:sz="4" w:space="0" w:color="auto"/>
            </w:tcBorders>
            <w:shd w:val="clear" w:color="auto" w:fill="auto"/>
            <w:noWrap/>
            <w:vAlign w:val="bottom"/>
            <w:hideMark/>
          </w:tcPr>
          <w:p w14:paraId="55A94DBB"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4,000,000 </w:t>
            </w:r>
          </w:p>
        </w:tc>
        <w:tc>
          <w:tcPr>
            <w:tcW w:w="1719" w:type="dxa"/>
            <w:tcBorders>
              <w:top w:val="nil"/>
              <w:left w:val="nil"/>
              <w:bottom w:val="single" w:sz="4" w:space="0" w:color="auto"/>
              <w:right w:val="single" w:sz="4" w:space="0" w:color="auto"/>
            </w:tcBorders>
            <w:shd w:val="clear" w:color="auto" w:fill="auto"/>
            <w:noWrap/>
            <w:vAlign w:val="bottom"/>
            <w:hideMark/>
          </w:tcPr>
          <w:p w14:paraId="5B17D686"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22,000,000 </w:t>
            </w:r>
          </w:p>
        </w:tc>
        <w:tc>
          <w:tcPr>
            <w:tcW w:w="1705" w:type="dxa"/>
            <w:tcBorders>
              <w:top w:val="nil"/>
              <w:left w:val="nil"/>
              <w:bottom w:val="single" w:sz="4" w:space="0" w:color="auto"/>
              <w:right w:val="single" w:sz="4" w:space="0" w:color="auto"/>
            </w:tcBorders>
            <w:shd w:val="clear" w:color="auto" w:fill="auto"/>
            <w:noWrap/>
            <w:vAlign w:val="bottom"/>
            <w:hideMark/>
          </w:tcPr>
          <w:p w14:paraId="3C8DB97B"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AMGB30163472 </w:t>
            </w:r>
          </w:p>
        </w:tc>
      </w:tr>
      <w:tr w:rsidR="00641E7A" w:rsidRPr="00641E7A" w14:paraId="18BE86EA"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3FC162"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4</w:t>
            </w:r>
          </w:p>
        </w:tc>
        <w:tc>
          <w:tcPr>
            <w:tcW w:w="804" w:type="dxa"/>
            <w:tcBorders>
              <w:top w:val="nil"/>
              <w:left w:val="nil"/>
              <w:bottom w:val="single" w:sz="4" w:space="0" w:color="auto"/>
              <w:right w:val="single" w:sz="4" w:space="0" w:color="auto"/>
            </w:tcBorders>
            <w:shd w:val="clear" w:color="auto" w:fill="auto"/>
            <w:noWrap/>
            <w:vAlign w:val="bottom"/>
            <w:hideMark/>
          </w:tcPr>
          <w:p w14:paraId="5BEAB546"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C</w:t>
            </w:r>
          </w:p>
        </w:tc>
        <w:tc>
          <w:tcPr>
            <w:tcW w:w="1180" w:type="dxa"/>
            <w:tcBorders>
              <w:top w:val="nil"/>
              <w:left w:val="nil"/>
              <w:bottom w:val="single" w:sz="4" w:space="0" w:color="auto"/>
              <w:right w:val="single" w:sz="4" w:space="0" w:color="auto"/>
            </w:tcBorders>
            <w:shd w:val="clear" w:color="auto" w:fill="auto"/>
            <w:noWrap/>
            <w:vAlign w:val="bottom"/>
            <w:hideMark/>
          </w:tcPr>
          <w:p w14:paraId="5639351D"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7.6080%</w:t>
            </w:r>
          </w:p>
        </w:tc>
        <w:tc>
          <w:tcPr>
            <w:tcW w:w="1540" w:type="dxa"/>
            <w:tcBorders>
              <w:top w:val="nil"/>
              <w:left w:val="nil"/>
              <w:bottom w:val="single" w:sz="4" w:space="0" w:color="auto"/>
              <w:right w:val="single" w:sz="4" w:space="0" w:color="auto"/>
            </w:tcBorders>
            <w:shd w:val="clear" w:color="auto" w:fill="auto"/>
            <w:noWrap/>
            <w:vAlign w:val="bottom"/>
            <w:hideMark/>
          </w:tcPr>
          <w:p w14:paraId="6BB78EF2"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10,000,000 </w:t>
            </w:r>
          </w:p>
        </w:tc>
        <w:tc>
          <w:tcPr>
            <w:tcW w:w="1719" w:type="dxa"/>
            <w:tcBorders>
              <w:top w:val="nil"/>
              <w:left w:val="nil"/>
              <w:bottom w:val="single" w:sz="4" w:space="0" w:color="auto"/>
              <w:right w:val="single" w:sz="4" w:space="0" w:color="auto"/>
            </w:tcBorders>
            <w:shd w:val="clear" w:color="auto" w:fill="auto"/>
            <w:noWrap/>
            <w:vAlign w:val="bottom"/>
            <w:hideMark/>
          </w:tcPr>
          <w:p w14:paraId="7BF3CBF4"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32,000,000 </w:t>
            </w:r>
          </w:p>
        </w:tc>
        <w:tc>
          <w:tcPr>
            <w:tcW w:w="1705" w:type="dxa"/>
            <w:tcBorders>
              <w:top w:val="nil"/>
              <w:left w:val="nil"/>
              <w:bottom w:val="single" w:sz="4" w:space="0" w:color="auto"/>
              <w:right w:val="single" w:sz="4" w:space="0" w:color="auto"/>
            </w:tcBorders>
            <w:shd w:val="clear" w:color="auto" w:fill="auto"/>
            <w:noWrap/>
            <w:vAlign w:val="bottom"/>
            <w:hideMark/>
          </w:tcPr>
          <w:p w14:paraId="52E43B29"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AMGN60294235 </w:t>
            </w:r>
          </w:p>
        </w:tc>
      </w:tr>
      <w:tr w:rsidR="00641E7A" w:rsidRPr="00641E7A" w14:paraId="23FF2811"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4A6B83"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5</w:t>
            </w:r>
          </w:p>
        </w:tc>
        <w:tc>
          <w:tcPr>
            <w:tcW w:w="804" w:type="dxa"/>
            <w:tcBorders>
              <w:top w:val="nil"/>
              <w:left w:val="nil"/>
              <w:bottom w:val="single" w:sz="4" w:space="0" w:color="auto"/>
              <w:right w:val="single" w:sz="4" w:space="0" w:color="auto"/>
            </w:tcBorders>
            <w:shd w:val="clear" w:color="auto" w:fill="auto"/>
            <w:noWrap/>
            <w:vAlign w:val="bottom"/>
            <w:hideMark/>
          </w:tcPr>
          <w:p w14:paraId="220B7CC0"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E</w:t>
            </w:r>
          </w:p>
        </w:tc>
        <w:tc>
          <w:tcPr>
            <w:tcW w:w="1180" w:type="dxa"/>
            <w:tcBorders>
              <w:top w:val="nil"/>
              <w:left w:val="nil"/>
              <w:bottom w:val="single" w:sz="4" w:space="0" w:color="auto"/>
              <w:right w:val="single" w:sz="4" w:space="0" w:color="auto"/>
            </w:tcBorders>
            <w:shd w:val="clear" w:color="auto" w:fill="auto"/>
            <w:noWrap/>
            <w:vAlign w:val="bottom"/>
            <w:hideMark/>
          </w:tcPr>
          <w:p w14:paraId="2DBD8467"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7.6050%</w:t>
            </w:r>
          </w:p>
        </w:tc>
        <w:tc>
          <w:tcPr>
            <w:tcW w:w="1540" w:type="dxa"/>
            <w:tcBorders>
              <w:top w:val="nil"/>
              <w:left w:val="nil"/>
              <w:bottom w:val="single" w:sz="4" w:space="0" w:color="auto"/>
              <w:right w:val="single" w:sz="4" w:space="0" w:color="auto"/>
            </w:tcBorders>
            <w:shd w:val="clear" w:color="auto" w:fill="auto"/>
            <w:noWrap/>
            <w:vAlign w:val="bottom"/>
            <w:hideMark/>
          </w:tcPr>
          <w:p w14:paraId="5A8D352A"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4,000,000 </w:t>
            </w:r>
          </w:p>
        </w:tc>
        <w:tc>
          <w:tcPr>
            <w:tcW w:w="1719" w:type="dxa"/>
            <w:tcBorders>
              <w:top w:val="nil"/>
              <w:left w:val="nil"/>
              <w:bottom w:val="single" w:sz="4" w:space="0" w:color="auto"/>
              <w:right w:val="single" w:sz="4" w:space="0" w:color="auto"/>
            </w:tcBorders>
            <w:shd w:val="clear" w:color="auto" w:fill="auto"/>
            <w:noWrap/>
            <w:vAlign w:val="bottom"/>
            <w:hideMark/>
          </w:tcPr>
          <w:p w14:paraId="763D6C9D"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36,000,000 </w:t>
            </w:r>
          </w:p>
        </w:tc>
        <w:tc>
          <w:tcPr>
            <w:tcW w:w="1705" w:type="dxa"/>
            <w:tcBorders>
              <w:top w:val="nil"/>
              <w:left w:val="nil"/>
              <w:bottom w:val="single" w:sz="4" w:space="0" w:color="auto"/>
              <w:right w:val="single" w:sz="4" w:space="0" w:color="auto"/>
            </w:tcBorders>
            <w:shd w:val="clear" w:color="auto" w:fill="auto"/>
            <w:noWrap/>
            <w:vAlign w:val="bottom"/>
            <w:hideMark/>
          </w:tcPr>
          <w:p w14:paraId="2D7CB381"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AMGB20072287 </w:t>
            </w:r>
          </w:p>
        </w:tc>
      </w:tr>
      <w:tr w:rsidR="00641E7A" w:rsidRPr="00641E7A" w14:paraId="604D312A"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B0E39A"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6</w:t>
            </w:r>
          </w:p>
        </w:tc>
        <w:tc>
          <w:tcPr>
            <w:tcW w:w="804" w:type="dxa"/>
            <w:tcBorders>
              <w:top w:val="nil"/>
              <w:left w:val="nil"/>
              <w:bottom w:val="single" w:sz="4" w:space="0" w:color="auto"/>
              <w:right w:val="single" w:sz="4" w:space="0" w:color="auto"/>
            </w:tcBorders>
            <w:shd w:val="clear" w:color="auto" w:fill="auto"/>
            <w:noWrap/>
            <w:vAlign w:val="bottom"/>
            <w:hideMark/>
          </w:tcPr>
          <w:p w14:paraId="3318531A"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B</w:t>
            </w:r>
          </w:p>
        </w:tc>
        <w:tc>
          <w:tcPr>
            <w:tcW w:w="1180" w:type="dxa"/>
            <w:tcBorders>
              <w:top w:val="nil"/>
              <w:left w:val="nil"/>
              <w:bottom w:val="single" w:sz="4" w:space="0" w:color="auto"/>
              <w:right w:val="single" w:sz="4" w:space="0" w:color="auto"/>
            </w:tcBorders>
            <w:shd w:val="clear" w:color="auto" w:fill="auto"/>
            <w:noWrap/>
            <w:vAlign w:val="bottom"/>
            <w:hideMark/>
          </w:tcPr>
          <w:p w14:paraId="4738E336"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7.6030%</w:t>
            </w:r>
          </w:p>
        </w:tc>
        <w:tc>
          <w:tcPr>
            <w:tcW w:w="1540" w:type="dxa"/>
            <w:tcBorders>
              <w:top w:val="nil"/>
              <w:left w:val="nil"/>
              <w:bottom w:val="single" w:sz="4" w:space="0" w:color="auto"/>
              <w:right w:val="single" w:sz="4" w:space="0" w:color="auto"/>
            </w:tcBorders>
            <w:shd w:val="clear" w:color="auto" w:fill="auto"/>
            <w:noWrap/>
            <w:vAlign w:val="bottom"/>
            <w:hideMark/>
          </w:tcPr>
          <w:p w14:paraId="6C71757E"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8,000,000 </w:t>
            </w:r>
          </w:p>
        </w:tc>
        <w:tc>
          <w:tcPr>
            <w:tcW w:w="1719" w:type="dxa"/>
            <w:tcBorders>
              <w:top w:val="nil"/>
              <w:left w:val="nil"/>
              <w:bottom w:val="single" w:sz="4" w:space="0" w:color="auto"/>
              <w:right w:val="single" w:sz="4" w:space="0" w:color="auto"/>
            </w:tcBorders>
            <w:shd w:val="clear" w:color="auto" w:fill="auto"/>
            <w:noWrap/>
            <w:vAlign w:val="bottom"/>
            <w:hideMark/>
          </w:tcPr>
          <w:p w14:paraId="57B54BAC"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44,000,000 </w:t>
            </w:r>
          </w:p>
        </w:tc>
        <w:tc>
          <w:tcPr>
            <w:tcW w:w="1705" w:type="dxa"/>
            <w:tcBorders>
              <w:top w:val="nil"/>
              <w:left w:val="nil"/>
              <w:bottom w:val="single" w:sz="4" w:space="0" w:color="auto"/>
              <w:right w:val="single" w:sz="4" w:space="0" w:color="auto"/>
            </w:tcBorders>
            <w:shd w:val="clear" w:color="auto" w:fill="auto"/>
            <w:noWrap/>
            <w:vAlign w:val="bottom"/>
            <w:hideMark/>
          </w:tcPr>
          <w:p w14:paraId="6124EAB6"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AMGB30163472 </w:t>
            </w:r>
          </w:p>
        </w:tc>
      </w:tr>
      <w:tr w:rsidR="00641E7A" w:rsidRPr="00641E7A" w14:paraId="4DF90119"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640B6D"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w:t>
            </w:r>
          </w:p>
        </w:tc>
        <w:tc>
          <w:tcPr>
            <w:tcW w:w="804" w:type="dxa"/>
            <w:tcBorders>
              <w:top w:val="nil"/>
              <w:left w:val="nil"/>
              <w:bottom w:val="single" w:sz="4" w:space="0" w:color="auto"/>
              <w:right w:val="single" w:sz="4" w:space="0" w:color="auto"/>
            </w:tcBorders>
            <w:shd w:val="clear" w:color="auto" w:fill="auto"/>
            <w:noWrap/>
            <w:vAlign w:val="bottom"/>
            <w:hideMark/>
          </w:tcPr>
          <w:p w14:paraId="75170F0A"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A</w:t>
            </w:r>
          </w:p>
        </w:tc>
        <w:tc>
          <w:tcPr>
            <w:tcW w:w="1180" w:type="dxa"/>
            <w:tcBorders>
              <w:top w:val="nil"/>
              <w:left w:val="nil"/>
              <w:bottom w:val="single" w:sz="4" w:space="0" w:color="auto"/>
              <w:right w:val="single" w:sz="4" w:space="0" w:color="auto"/>
            </w:tcBorders>
            <w:shd w:val="clear" w:color="auto" w:fill="auto"/>
            <w:noWrap/>
            <w:vAlign w:val="bottom"/>
            <w:hideMark/>
          </w:tcPr>
          <w:p w14:paraId="10A8E68D"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7.5850%</w:t>
            </w:r>
          </w:p>
        </w:tc>
        <w:tc>
          <w:tcPr>
            <w:tcW w:w="1540" w:type="dxa"/>
            <w:tcBorders>
              <w:top w:val="nil"/>
              <w:left w:val="nil"/>
              <w:bottom w:val="single" w:sz="4" w:space="0" w:color="auto"/>
              <w:right w:val="single" w:sz="4" w:space="0" w:color="auto"/>
            </w:tcBorders>
            <w:shd w:val="clear" w:color="auto" w:fill="auto"/>
            <w:noWrap/>
            <w:vAlign w:val="bottom"/>
            <w:hideMark/>
          </w:tcPr>
          <w:p w14:paraId="3AA162B3"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6,000,000 </w:t>
            </w:r>
          </w:p>
        </w:tc>
        <w:tc>
          <w:tcPr>
            <w:tcW w:w="1719" w:type="dxa"/>
            <w:tcBorders>
              <w:top w:val="nil"/>
              <w:left w:val="nil"/>
              <w:bottom w:val="single" w:sz="4" w:space="0" w:color="auto"/>
              <w:right w:val="single" w:sz="4" w:space="0" w:color="auto"/>
            </w:tcBorders>
            <w:shd w:val="clear" w:color="auto" w:fill="auto"/>
            <w:noWrap/>
            <w:vAlign w:val="bottom"/>
            <w:hideMark/>
          </w:tcPr>
          <w:p w14:paraId="5C543EB3"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50,000,000 </w:t>
            </w:r>
          </w:p>
        </w:tc>
        <w:tc>
          <w:tcPr>
            <w:tcW w:w="1705" w:type="dxa"/>
            <w:tcBorders>
              <w:top w:val="nil"/>
              <w:left w:val="nil"/>
              <w:bottom w:val="single" w:sz="4" w:space="0" w:color="auto"/>
              <w:right w:val="single" w:sz="4" w:space="0" w:color="auto"/>
            </w:tcBorders>
            <w:shd w:val="clear" w:color="auto" w:fill="auto"/>
            <w:noWrap/>
            <w:vAlign w:val="bottom"/>
            <w:hideMark/>
          </w:tcPr>
          <w:p w14:paraId="26F6326B"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AMGN60294235 </w:t>
            </w:r>
          </w:p>
        </w:tc>
      </w:tr>
      <w:tr w:rsidR="00641E7A" w:rsidRPr="00641E7A" w14:paraId="28CF8F34"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ABE7D5"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8</w:t>
            </w:r>
          </w:p>
        </w:tc>
        <w:tc>
          <w:tcPr>
            <w:tcW w:w="804" w:type="dxa"/>
            <w:tcBorders>
              <w:top w:val="nil"/>
              <w:left w:val="nil"/>
              <w:bottom w:val="single" w:sz="4" w:space="0" w:color="auto"/>
              <w:right w:val="single" w:sz="4" w:space="0" w:color="auto"/>
            </w:tcBorders>
            <w:shd w:val="clear" w:color="auto" w:fill="auto"/>
            <w:noWrap/>
            <w:vAlign w:val="bottom"/>
            <w:hideMark/>
          </w:tcPr>
          <w:p w14:paraId="31E9C8B8"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B</w:t>
            </w:r>
          </w:p>
        </w:tc>
        <w:tc>
          <w:tcPr>
            <w:tcW w:w="1180" w:type="dxa"/>
            <w:tcBorders>
              <w:top w:val="nil"/>
              <w:left w:val="nil"/>
              <w:bottom w:val="single" w:sz="4" w:space="0" w:color="auto"/>
              <w:right w:val="single" w:sz="4" w:space="0" w:color="auto"/>
            </w:tcBorders>
            <w:shd w:val="clear" w:color="auto" w:fill="auto"/>
            <w:noWrap/>
            <w:vAlign w:val="bottom"/>
            <w:hideMark/>
          </w:tcPr>
          <w:p w14:paraId="70C61BB9"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7.5800%</w:t>
            </w:r>
          </w:p>
        </w:tc>
        <w:tc>
          <w:tcPr>
            <w:tcW w:w="1540" w:type="dxa"/>
            <w:tcBorders>
              <w:top w:val="nil"/>
              <w:left w:val="nil"/>
              <w:bottom w:val="single" w:sz="4" w:space="0" w:color="auto"/>
              <w:right w:val="single" w:sz="4" w:space="0" w:color="auto"/>
            </w:tcBorders>
            <w:shd w:val="clear" w:color="auto" w:fill="auto"/>
            <w:noWrap/>
            <w:vAlign w:val="bottom"/>
            <w:hideMark/>
          </w:tcPr>
          <w:p w14:paraId="7B228316"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12,000,000 </w:t>
            </w:r>
          </w:p>
        </w:tc>
        <w:tc>
          <w:tcPr>
            <w:tcW w:w="1719" w:type="dxa"/>
            <w:tcBorders>
              <w:top w:val="nil"/>
              <w:left w:val="nil"/>
              <w:bottom w:val="single" w:sz="4" w:space="0" w:color="auto"/>
              <w:right w:val="single" w:sz="4" w:space="0" w:color="auto"/>
            </w:tcBorders>
            <w:shd w:val="clear" w:color="auto" w:fill="auto"/>
            <w:noWrap/>
            <w:vAlign w:val="bottom"/>
            <w:hideMark/>
          </w:tcPr>
          <w:p w14:paraId="760BDEFF"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62,000,000 </w:t>
            </w:r>
          </w:p>
        </w:tc>
        <w:tc>
          <w:tcPr>
            <w:tcW w:w="1705" w:type="dxa"/>
            <w:tcBorders>
              <w:top w:val="nil"/>
              <w:left w:val="nil"/>
              <w:bottom w:val="single" w:sz="4" w:space="0" w:color="auto"/>
              <w:right w:val="single" w:sz="4" w:space="0" w:color="auto"/>
            </w:tcBorders>
            <w:shd w:val="clear" w:color="auto" w:fill="auto"/>
            <w:noWrap/>
            <w:vAlign w:val="bottom"/>
            <w:hideMark/>
          </w:tcPr>
          <w:p w14:paraId="4076CE27"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AMGB20072287 </w:t>
            </w:r>
          </w:p>
        </w:tc>
      </w:tr>
      <w:tr w:rsidR="00641E7A" w:rsidRPr="00641E7A" w14:paraId="36CFCC30"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B579FC"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9</w:t>
            </w:r>
          </w:p>
        </w:tc>
        <w:tc>
          <w:tcPr>
            <w:tcW w:w="804" w:type="dxa"/>
            <w:tcBorders>
              <w:top w:val="nil"/>
              <w:left w:val="nil"/>
              <w:bottom w:val="single" w:sz="4" w:space="0" w:color="auto"/>
              <w:right w:val="single" w:sz="4" w:space="0" w:color="auto"/>
            </w:tcBorders>
            <w:shd w:val="clear" w:color="auto" w:fill="auto"/>
            <w:noWrap/>
            <w:vAlign w:val="bottom"/>
            <w:hideMark/>
          </w:tcPr>
          <w:p w14:paraId="761585F2"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C</w:t>
            </w:r>
          </w:p>
        </w:tc>
        <w:tc>
          <w:tcPr>
            <w:tcW w:w="1180" w:type="dxa"/>
            <w:tcBorders>
              <w:top w:val="nil"/>
              <w:left w:val="nil"/>
              <w:bottom w:val="single" w:sz="4" w:space="0" w:color="auto"/>
              <w:right w:val="single" w:sz="4" w:space="0" w:color="auto"/>
            </w:tcBorders>
            <w:shd w:val="clear" w:color="auto" w:fill="auto"/>
            <w:noWrap/>
            <w:vAlign w:val="bottom"/>
            <w:hideMark/>
          </w:tcPr>
          <w:p w14:paraId="32C0871B"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7.5580%</w:t>
            </w:r>
          </w:p>
        </w:tc>
        <w:tc>
          <w:tcPr>
            <w:tcW w:w="1540" w:type="dxa"/>
            <w:tcBorders>
              <w:top w:val="nil"/>
              <w:left w:val="nil"/>
              <w:bottom w:val="single" w:sz="4" w:space="0" w:color="auto"/>
              <w:right w:val="single" w:sz="4" w:space="0" w:color="auto"/>
            </w:tcBorders>
            <w:shd w:val="clear" w:color="auto" w:fill="auto"/>
            <w:noWrap/>
            <w:vAlign w:val="bottom"/>
            <w:hideMark/>
          </w:tcPr>
          <w:p w14:paraId="1F0BE9C2"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5,000,000 </w:t>
            </w:r>
          </w:p>
        </w:tc>
        <w:tc>
          <w:tcPr>
            <w:tcW w:w="1719" w:type="dxa"/>
            <w:tcBorders>
              <w:top w:val="nil"/>
              <w:left w:val="nil"/>
              <w:bottom w:val="single" w:sz="4" w:space="0" w:color="auto"/>
              <w:right w:val="single" w:sz="4" w:space="0" w:color="auto"/>
            </w:tcBorders>
            <w:shd w:val="clear" w:color="auto" w:fill="auto"/>
            <w:noWrap/>
            <w:vAlign w:val="bottom"/>
            <w:hideMark/>
          </w:tcPr>
          <w:p w14:paraId="27136DE0"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67,000,000 </w:t>
            </w:r>
          </w:p>
        </w:tc>
        <w:tc>
          <w:tcPr>
            <w:tcW w:w="1705" w:type="dxa"/>
            <w:tcBorders>
              <w:top w:val="nil"/>
              <w:left w:val="nil"/>
              <w:bottom w:val="single" w:sz="4" w:space="0" w:color="auto"/>
              <w:right w:val="single" w:sz="4" w:space="0" w:color="auto"/>
            </w:tcBorders>
            <w:shd w:val="clear" w:color="auto" w:fill="auto"/>
            <w:noWrap/>
            <w:vAlign w:val="bottom"/>
            <w:hideMark/>
          </w:tcPr>
          <w:p w14:paraId="2F6AFF45"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AMGN60294235 </w:t>
            </w:r>
          </w:p>
        </w:tc>
      </w:tr>
      <w:tr w:rsidR="00641E7A" w:rsidRPr="00641E7A" w14:paraId="6412945B"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D92A46"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10</w:t>
            </w:r>
          </w:p>
        </w:tc>
        <w:tc>
          <w:tcPr>
            <w:tcW w:w="804" w:type="dxa"/>
            <w:tcBorders>
              <w:top w:val="nil"/>
              <w:left w:val="nil"/>
              <w:bottom w:val="single" w:sz="4" w:space="0" w:color="auto"/>
              <w:right w:val="single" w:sz="4" w:space="0" w:color="auto"/>
            </w:tcBorders>
            <w:shd w:val="clear" w:color="auto" w:fill="auto"/>
            <w:noWrap/>
            <w:vAlign w:val="bottom"/>
            <w:hideMark/>
          </w:tcPr>
          <w:p w14:paraId="12379B4B" w14:textId="77777777" w:rsidR="00641E7A" w:rsidRPr="00641E7A" w:rsidRDefault="00641E7A" w:rsidP="00641E7A">
            <w:pPr>
              <w:jc w:val="cente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B</w:t>
            </w:r>
          </w:p>
        </w:tc>
        <w:tc>
          <w:tcPr>
            <w:tcW w:w="1180" w:type="dxa"/>
            <w:tcBorders>
              <w:top w:val="nil"/>
              <w:left w:val="nil"/>
              <w:bottom w:val="single" w:sz="4" w:space="0" w:color="auto"/>
              <w:right w:val="single" w:sz="4" w:space="0" w:color="auto"/>
            </w:tcBorders>
            <w:shd w:val="clear" w:color="auto" w:fill="auto"/>
            <w:noWrap/>
            <w:vAlign w:val="bottom"/>
            <w:hideMark/>
          </w:tcPr>
          <w:p w14:paraId="7A4D5A3E" w14:textId="77777777" w:rsidR="00641E7A" w:rsidRPr="00641E7A" w:rsidRDefault="00641E7A" w:rsidP="00641E7A">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7.5500%</w:t>
            </w:r>
          </w:p>
        </w:tc>
        <w:tc>
          <w:tcPr>
            <w:tcW w:w="1540" w:type="dxa"/>
            <w:tcBorders>
              <w:top w:val="nil"/>
              <w:left w:val="nil"/>
              <w:bottom w:val="single" w:sz="4" w:space="0" w:color="auto"/>
              <w:right w:val="single" w:sz="4" w:space="0" w:color="auto"/>
            </w:tcBorders>
            <w:shd w:val="clear" w:color="auto" w:fill="auto"/>
            <w:noWrap/>
            <w:vAlign w:val="bottom"/>
            <w:hideMark/>
          </w:tcPr>
          <w:p w14:paraId="048C001A" w14:textId="77777777" w:rsidR="00641E7A" w:rsidRPr="00641E7A" w:rsidRDefault="00641E7A" w:rsidP="00745799">
            <w:pPr>
              <w:jc w:val="right"/>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10,000,000 </w:t>
            </w:r>
          </w:p>
        </w:tc>
        <w:tc>
          <w:tcPr>
            <w:tcW w:w="1719" w:type="dxa"/>
            <w:tcBorders>
              <w:top w:val="nil"/>
              <w:left w:val="nil"/>
              <w:bottom w:val="single" w:sz="4" w:space="0" w:color="auto"/>
              <w:right w:val="single" w:sz="4" w:space="0" w:color="auto"/>
            </w:tcBorders>
            <w:shd w:val="clear" w:color="auto" w:fill="auto"/>
            <w:noWrap/>
            <w:vAlign w:val="bottom"/>
            <w:hideMark/>
          </w:tcPr>
          <w:p w14:paraId="09EC976D"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77,000,000 </w:t>
            </w:r>
          </w:p>
        </w:tc>
        <w:tc>
          <w:tcPr>
            <w:tcW w:w="1705" w:type="dxa"/>
            <w:tcBorders>
              <w:top w:val="nil"/>
              <w:left w:val="nil"/>
              <w:bottom w:val="single" w:sz="4" w:space="0" w:color="auto"/>
              <w:right w:val="single" w:sz="4" w:space="0" w:color="auto"/>
            </w:tcBorders>
            <w:shd w:val="clear" w:color="auto" w:fill="auto"/>
            <w:noWrap/>
            <w:vAlign w:val="bottom"/>
            <w:hideMark/>
          </w:tcPr>
          <w:p w14:paraId="5479E9FE" w14:textId="77777777" w:rsidR="00641E7A" w:rsidRPr="00641E7A" w:rsidRDefault="00641E7A" w:rsidP="00641E7A">
            <w:pPr>
              <w:rPr>
                <w:rFonts w:ascii="Times New Roman" w:eastAsia="Times New Roman" w:hAnsi="Times New Roman" w:cs="Times New Roman"/>
                <w:color w:val="000000"/>
                <w:sz w:val="20"/>
                <w:szCs w:val="20"/>
                <w:lang w:eastAsia="en-US"/>
              </w:rPr>
            </w:pPr>
            <w:r w:rsidRPr="00641E7A">
              <w:rPr>
                <w:rFonts w:ascii="Times New Roman" w:eastAsia="Times New Roman" w:hAnsi="Times New Roman" w:cs="Times New Roman"/>
                <w:color w:val="000000"/>
                <w:sz w:val="20"/>
                <w:szCs w:val="20"/>
                <w:lang w:eastAsia="en-US"/>
              </w:rPr>
              <w:t xml:space="preserve"> AMGB30163472 </w:t>
            </w:r>
          </w:p>
        </w:tc>
      </w:tr>
    </w:tbl>
    <w:p w14:paraId="71801681" w14:textId="3C1163E5" w:rsidR="00641E7A" w:rsidRDefault="00641E7A" w:rsidP="00B373FE">
      <w:pPr>
        <w:autoSpaceDE w:val="0"/>
        <w:autoSpaceDN w:val="0"/>
        <w:adjustRightInd w:val="0"/>
        <w:ind w:left="720" w:hanging="720"/>
        <w:jc w:val="both"/>
      </w:pPr>
      <w:r>
        <w:t xml:space="preserve"> </w:t>
      </w:r>
    </w:p>
    <w:tbl>
      <w:tblPr>
        <w:tblW w:w="7695" w:type="dxa"/>
        <w:tblLook w:val="04A0" w:firstRow="1" w:lastRow="0" w:firstColumn="1" w:lastColumn="0" w:noHBand="0" w:noVBand="1"/>
      </w:tblPr>
      <w:tblGrid>
        <w:gridCol w:w="720"/>
        <w:gridCol w:w="804"/>
        <w:gridCol w:w="1180"/>
        <w:gridCol w:w="1567"/>
        <w:gridCol w:w="1719"/>
        <w:gridCol w:w="1705"/>
      </w:tblGrid>
      <w:tr w:rsidR="00096979" w:rsidRPr="008B7A79" w14:paraId="1574853F" w14:textId="77777777" w:rsidTr="00096979">
        <w:trPr>
          <w:trHeight w:val="300"/>
        </w:trPr>
        <w:tc>
          <w:tcPr>
            <w:tcW w:w="7695" w:type="dxa"/>
            <w:gridSpan w:val="6"/>
            <w:tcBorders>
              <w:top w:val="nil"/>
              <w:left w:val="nil"/>
              <w:bottom w:val="nil"/>
              <w:right w:val="nil"/>
            </w:tcBorders>
            <w:shd w:val="clear" w:color="auto" w:fill="auto"/>
            <w:noWrap/>
            <w:vAlign w:val="bottom"/>
            <w:hideMark/>
          </w:tcPr>
          <w:p w14:paraId="6B1811EC" w14:textId="3996913D" w:rsidR="00096979" w:rsidRPr="008B7A79" w:rsidRDefault="00096979" w:rsidP="00096979">
            <w:pPr>
              <w:rPr>
                <w:rFonts w:ascii="Calibri" w:eastAsia="Times New Roman" w:hAnsi="Calibri" w:cs="Calibri"/>
                <w:bCs/>
                <w:color w:val="000000"/>
                <w:lang w:eastAsia="en-US"/>
              </w:rPr>
            </w:pPr>
            <w:r w:rsidRPr="00096979">
              <w:rPr>
                <w:rFonts w:ascii="Calibri" w:eastAsia="Times New Roman" w:hAnsi="Calibri" w:cs="Calibri"/>
                <w:bCs/>
                <w:color w:val="000000"/>
                <w:lang w:eastAsia="en-US"/>
              </w:rPr>
              <w:t xml:space="preserve">Table 3(b): Bid for </w:t>
            </w:r>
            <w:r w:rsidRPr="008B7A79">
              <w:rPr>
                <w:rFonts w:ascii="Calibri" w:eastAsia="Times New Roman" w:hAnsi="Calibri" w:cs="Calibri"/>
                <w:bCs/>
                <w:color w:val="000000"/>
                <w:lang w:eastAsia="en-US"/>
              </w:rPr>
              <w:t>Source Bond AMGN36294194</w:t>
            </w:r>
          </w:p>
        </w:tc>
      </w:tr>
      <w:tr w:rsidR="008B7A79" w:rsidRPr="008B7A79" w14:paraId="2DCD0D18" w14:textId="77777777" w:rsidTr="00A44D61">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22874C4" w14:textId="6FF94102"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w:t>
            </w:r>
            <w:r w:rsidR="00B478B7">
              <w:rPr>
                <w:rFonts w:ascii="Times New Roman" w:eastAsia="Times New Roman" w:hAnsi="Times New Roman" w:cs="Times New Roman"/>
                <w:color w:val="000000"/>
                <w:sz w:val="20"/>
                <w:szCs w:val="20"/>
                <w:lang w:eastAsia="en-US"/>
              </w:rPr>
              <w:t>Bids</w:t>
            </w:r>
          </w:p>
        </w:tc>
        <w:tc>
          <w:tcPr>
            <w:tcW w:w="80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514437E"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Bidder</w:t>
            </w:r>
          </w:p>
        </w:tc>
        <w:tc>
          <w:tcPr>
            <w:tcW w:w="118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056E0CC6"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Bid Yield</w:t>
            </w:r>
          </w:p>
        </w:tc>
        <w:tc>
          <w:tcPr>
            <w:tcW w:w="156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69ECACCB"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Face Value</w:t>
            </w:r>
          </w:p>
        </w:tc>
        <w:tc>
          <w:tcPr>
            <w:tcW w:w="171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37ADCFAC"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Cumulative FV </w:t>
            </w:r>
          </w:p>
        </w:tc>
        <w:tc>
          <w:tcPr>
            <w:tcW w:w="1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2204D0DA" w14:textId="27985BED"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Destination Bond</w:t>
            </w:r>
            <w:r w:rsidR="00A44D61">
              <w:rPr>
                <w:rFonts w:ascii="Times New Roman" w:eastAsia="Times New Roman" w:hAnsi="Times New Roman" w:cs="Times New Roman"/>
                <w:color w:val="000000"/>
                <w:sz w:val="20"/>
                <w:szCs w:val="20"/>
                <w:lang w:eastAsia="en-US"/>
              </w:rPr>
              <w:t xml:space="preserve"> </w:t>
            </w:r>
            <w:r w:rsidR="00A44D61" w:rsidRPr="00096979">
              <w:rPr>
                <w:rFonts w:ascii="Times New Roman" w:eastAsia="Times New Roman" w:hAnsi="Times New Roman" w:cs="Times New Roman"/>
                <w:color w:val="000000"/>
                <w:sz w:val="20"/>
                <w:szCs w:val="20"/>
                <w:lang w:eastAsia="en-US"/>
              </w:rPr>
              <w:t>Selected by Bidder</w:t>
            </w:r>
          </w:p>
        </w:tc>
      </w:tr>
      <w:tr w:rsidR="008B7A79" w:rsidRPr="008B7A79" w14:paraId="4643145F"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7C19A7"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1</w:t>
            </w:r>
          </w:p>
        </w:tc>
        <w:tc>
          <w:tcPr>
            <w:tcW w:w="804" w:type="dxa"/>
            <w:tcBorders>
              <w:top w:val="nil"/>
              <w:left w:val="nil"/>
              <w:bottom w:val="single" w:sz="4" w:space="0" w:color="auto"/>
              <w:right w:val="single" w:sz="4" w:space="0" w:color="auto"/>
            </w:tcBorders>
            <w:shd w:val="clear" w:color="auto" w:fill="auto"/>
            <w:noWrap/>
            <w:vAlign w:val="bottom"/>
            <w:hideMark/>
          </w:tcPr>
          <w:p w14:paraId="69F0DD87"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A</w:t>
            </w:r>
          </w:p>
        </w:tc>
        <w:tc>
          <w:tcPr>
            <w:tcW w:w="1180" w:type="dxa"/>
            <w:tcBorders>
              <w:top w:val="nil"/>
              <w:left w:val="nil"/>
              <w:bottom w:val="single" w:sz="4" w:space="0" w:color="auto"/>
              <w:right w:val="single" w:sz="4" w:space="0" w:color="auto"/>
            </w:tcBorders>
            <w:shd w:val="clear" w:color="auto" w:fill="auto"/>
            <w:noWrap/>
            <w:vAlign w:val="bottom"/>
            <w:hideMark/>
          </w:tcPr>
          <w:p w14:paraId="586F7748"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7.6250%</w:t>
            </w:r>
          </w:p>
        </w:tc>
        <w:tc>
          <w:tcPr>
            <w:tcW w:w="1567" w:type="dxa"/>
            <w:tcBorders>
              <w:top w:val="nil"/>
              <w:left w:val="nil"/>
              <w:bottom w:val="single" w:sz="4" w:space="0" w:color="auto"/>
              <w:right w:val="single" w:sz="4" w:space="0" w:color="auto"/>
            </w:tcBorders>
            <w:shd w:val="clear" w:color="auto" w:fill="auto"/>
            <w:noWrap/>
            <w:vAlign w:val="bottom"/>
            <w:hideMark/>
          </w:tcPr>
          <w:p w14:paraId="473FECEF"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10,000,000 </w:t>
            </w:r>
          </w:p>
        </w:tc>
        <w:tc>
          <w:tcPr>
            <w:tcW w:w="1719" w:type="dxa"/>
            <w:tcBorders>
              <w:top w:val="nil"/>
              <w:left w:val="nil"/>
              <w:bottom w:val="single" w:sz="4" w:space="0" w:color="auto"/>
              <w:right w:val="single" w:sz="4" w:space="0" w:color="auto"/>
            </w:tcBorders>
            <w:shd w:val="clear" w:color="auto" w:fill="auto"/>
            <w:noWrap/>
            <w:vAlign w:val="bottom"/>
            <w:hideMark/>
          </w:tcPr>
          <w:p w14:paraId="7A715640"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10,000,000 </w:t>
            </w:r>
          </w:p>
        </w:tc>
        <w:tc>
          <w:tcPr>
            <w:tcW w:w="1705" w:type="dxa"/>
            <w:tcBorders>
              <w:top w:val="nil"/>
              <w:left w:val="nil"/>
              <w:bottom w:val="single" w:sz="4" w:space="0" w:color="auto"/>
              <w:right w:val="single" w:sz="4" w:space="0" w:color="auto"/>
            </w:tcBorders>
            <w:shd w:val="clear" w:color="auto" w:fill="auto"/>
            <w:noWrap/>
            <w:vAlign w:val="bottom"/>
            <w:hideMark/>
          </w:tcPr>
          <w:p w14:paraId="6906D5C0"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AMGB20072287 </w:t>
            </w:r>
          </w:p>
        </w:tc>
      </w:tr>
      <w:tr w:rsidR="008B7A79" w:rsidRPr="008B7A79" w14:paraId="2D48267E"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715063"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2</w:t>
            </w:r>
          </w:p>
        </w:tc>
        <w:tc>
          <w:tcPr>
            <w:tcW w:w="804" w:type="dxa"/>
            <w:tcBorders>
              <w:top w:val="nil"/>
              <w:left w:val="nil"/>
              <w:bottom w:val="single" w:sz="4" w:space="0" w:color="auto"/>
              <w:right w:val="single" w:sz="4" w:space="0" w:color="auto"/>
            </w:tcBorders>
            <w:shd w:val="clear" w:color="auto" w:fill="auto"/>
            <w:noWrap/>
            <w:vAlign w:val="bottom"/>
            <w:hideMark/>
          </w:tcPr>
          <w:p w14:paraId="1425B192"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A</w:t>
            </w:r>
          </w:p>
        </w:tc>
        <w:tc>
          <w:tcPr>
            <w:tcW w:w="1180" w:type="dxa"/>
            <w:tcBorders>
              <w:top w:val="nil"/>
              <w:left w:val="nil"/>
              <w:bottom w:val="single" w:sz="4" w:space="0" w:color="auto"/>
              <w:right w:val="single" w:sz="4" w:space="0" w:color="auto"/>
            </w:tcBorders>
            <w:shd w:val="clear" w:color="auto" w:fill="auto"/>
            <w:noWrap/>
            <w:vAlign w:val="bottom"/>
            <w:hideMark/>
          </w:tcPr>
          <w:p w14:paraId="0519EC15"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7.6200%</w:t>
            </w:r>
          </w:p>
        </w:tc>
        <w:tc>
          <w:tcPr>
            <w:tcW w:w="1567" w:type="dxa"/>
            <w:tcBorders>
              <w:top w:val="nil"/>
              <w:left w:val="nil"/>
              <w:bottom w:val="single" w:sz="4" w:space="0" w:color="auto"/>
              <w:right w:val="single" w:sz="4" w:space="0" w:color="auto"/>
            </w:tcBorders>
            <w:shd w:val="clear" w:color="auto" w:fill="auto"/>
            <w:noWrap/>
            <w:vAlign w:val="bottom"/>
            <w:hideMark/>
          </w:tcPr>
          <w:p w14:paraId="4E82A464"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4,000,000 </w:t>
            </w:r>
          </w:p>
        </w:tc>
        <w:tc>
          <w:tcPr>
            <w:tcW w:w="1719" w:type="dxa"/>
            <w:tcBorders>
              <w:top w:val="nil"/>
              <w:left w:val="nil"/>
              <w:bottom w:val="single" w:sz="4" w:space="0" w:color="auto"/>
              <w:right w:val="single" w:sz="4" w:space="0" w:color="auto"/>
            </w:tcBorders>
            <w:shd w:val="clear" w:color="auto" w:fill="auto"/>
            <w:noWrap/>
            <w:vAlign w:val="bottom"/>
            <w:hideMark/>
          </w:tcPr>
          <w:p w14:paraId="04E9641A"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14,000,000 </w:t>
            </w:r>
          </w:p>
        </w:tc>
        <w:tc>
          <w:tcPr>
            <w:tcW w:w="1705" w:type="dxa"/>
            <w:tcBorders>
              <w:top w:val="nil"/>
              <w:left w:val="nil"/>
              <w:bottom w:val="single" w:sz="4" w:space="0" w:color="auto"/>
              <w:right w:val="single" w:sz="4" w:space="0" w:color="auto"/>
            </w:tcBorders>
            <w:shd w:val="clear" w:color="auto" w:fill="auto"/>
            <w:noWrap/>
            <w:vAlign w:val="bottom"/>
            <w:hideMark/>
          </w:tcPr>
          <w:p w14:paraId="08B1EFC6"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AMGB30163472 </w:t>
            </w:r>
          </w:p>
        </w:tc>
      </w:tr>
      <w:tr w:rsidR="008B7A79" w:rsidRPr="008B7A79" w14:paraId="15AE012B"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F98604"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3</w:t>
            </w:r>
          </w:p>
        </w:tc>
        <w:tc>
          <w:tcPr>
            <w:tcW w:w="804" w:type="dxa"/>
            <w:tcBorders>
              <w:top w:val="nil"/>
              <w:left w:val="nil"/>
              <w:bottom w:val="single" w:sz="4" w:space="0" w:color="auto"/>
              <w:right w:val="single" w:sz="4" w:space="0" w:color="auto"/>
            </w:tcBorders>
            <w:shd w:val="clear" w:color="auto" w:fill="auto"/>
            <w:noWrap/>
            <w:vAlign w:val="bottom"/>
            <w:hideMark/>
          </w:tcPr>
          <w:p w14:paraId="569723EA"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B</w:t>
            </w:r>
          </w:p>
        </w:tc>
        <w:tc>
          <w:tcPr>
            <w:tcW w:w="1180" w:type="dxa"/>
            <w:tcBorders>
              <w:top w:val="nil"/>
              <w:left w:val="nil"/>
              <w:bottom w:val="single" w:sz="4" w:space="0" w:color="auto"/>
              <w:right w:val="single" w:sz="4" w:space="0" w:color="auto"/>
            </w:tcBorders>
            <w:shd w:val="clear" w:color="auto" w:fill="auto"/>
            <w:noWrap/>
            <w:vAlign w:val="bottom"/>
            <w:hideMark/>
          </w:tcPr>
          <w:p w14:paraId="7F49A763"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7.6100%</w:t>
            </w:r>
          </w:p>
        </w:tc>
        <w:tc>
          <w:tcPr>
            <w:tcW w:w="1567" w:type="dxa"/>
            <w:tcBorders>
              <w:top w:val="nil"/>
              <w:left w:val="nil"/>
              <w:bottom w:val="single" w:sz="4" w:space="0" w:color="auto"/>
              <w:right w:val="single" w:sz="4" w:space="0" w:color="auto"/>
            </w:tcBorders>
            <w:shd w:val="clear" w:color="auto" w:fill="auto"/>
            <w:noWrap/>
            <w:vAlign w:val="bottom"/>
            <w:hideMark/>
          </w:tcPr>
          <w:p w14:paraId="47A789EF"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8,000,000 </w:t>
            </w:r>
          </w:p>
        </w:tc>
        <w:tc>
          <w:tcPr>
            <w:tcW w:w="1719" w:type="dxa"/>
            <w:tcBorders>
              <w:top w:val="nil"/>
              <w:left w:val="nil"/>
              <w:bottom w:val="single" w:sz="4" w:space="0" w:color="auto"/>
              <w:right w:val="single" w:sz="4" w:space="0" w:color="auto"/>
            </w:tcBorders>
            <w:shd w:val="clear" w:color="auto" w:fill="auto"/>
            <w:noWrap/>
            <w:vAlign w:val="bottom"/>
            <w:hideMark/>
          </w:tcPr>
          <w:p w14:paraId="0163712A"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22,000,000 </w:t>
            </w:r>
          </w:p>
        </w:tc>
        <w:tc>
          <w:tcPr>
            <w:tcW w:w="1705" w:type="dxa"/>
            <w:tcBorders>
              <w:top w:val="nil"/>
              <w:left w:val="nil"/>
              <w:bottom w:val="single" w:sz="4" w:space="0" w:color="auto"/>
              <w:right w:val="single" w:sz="4" w:space="0" w:color="auto"/>
            </w:tcBorders>
            <w:shd w:val="clear" w:color="auto" w:fill="auto"/>
            <w:noWrap/>
            <w:vAlign w:val="bottom"/>
            <w:hideMark/>
          </w:tcPr>
          <w:p w14:paraId="5EF91BD7"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AMGN60294235 </w:t>
            </w:r>
          </w:p>
        </w:tc>
      </w:tr>
      <w:tr w:rsidR="008B7A79" w:rsidRPr="008B7A79" w14:paraId="28599BD3"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6F8970"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4</w:t>
            </w:r>
          </w:p>
        </w:tc>
        <w:tc>
          <w:tcPr>
            <w:tcW w:w="804" w:type="dxa"/>
            <w:tcBorders>
              <w:top w:val="nil"/>
              <w:left w:val="nil"/>
              <w:bottom w:val="single" w:sz="4" w:space="0" w:color="auto"/>
              <w:right w:val="single" w:sz="4" w:space="0" w:color="auto"/>
            </w:tcBorders>
            <w:shd w:val="clear" w:color="auto" w:fill="auto"/>
            <w:noWrap/>
            <w:vAlign w:val="bottom"/>
            <w:hideMark/>
          </w:tcPr>
          <w:p w14:paraId="04F87E15"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C</w:t>
            </w:r>
          </w:p>
        </w:tc>
        <w:tc>
          <w:tcPr>
            <w:tcW w:w="1180" w:type="dxa"/>
            <w:tcBorders>
              <w:top w:val="nil"/>
              <w:left w:val="nil"/>
              <w:bottom w:val="single" w:sz="4" w:space="0" w:color="auto"/>
              <w:right w:val="single" w:sz="4" w:space="0" w:color="auto"/>
            </w:tcBorders>
            <w:shd w:val="clear" w:color="auto" w:fill="auto"/>
            <w:noWrap/>
            <w:vAlign w:val="bottom"/>
            <w:hideMark/>
          </w:tcPr>
          <w:p w14:paraId="4C09B0CA"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7.6080%</w:t>
            </w:r>
          </w:p>
        </w:tc>
        <w:tc>
          <w:tcPr>
            <w:tcW w:w="1567" w:type="dxa"/>
            <w:tcBorders>
              <w:top w:val="nil"/>
              <w:left w:val="nil"/>
              <w:bottom w:val="single" w:sz="4" w:space="0" w:color="auto"/>
              <w:right w:val="single" w:sz="4" w:space="0" w:color="auto"/>
            </w:tcBorders>
            <w:shd w:val="clear" w:color="auto" w:fill="auto"/>
            <w:noWrap/>
            <w:vAlign w:val="bottom"/>
            <w:hideMark/>
          </w:tcPr>
          <w:p w14:paraId="2AD001F6"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5,000,000 </w:t>
            </w:r>
          </w:p>
        </w:tc>
        <w:tc>
          <w:tcPr>
            <w:tcW w:w="1719" w:type="dxa"/>
            <w:tcBorders>
              <w:top w:val="nil"/>
              <w:left w:val="nil"/>
              <w:bottom w:val="single" w:sz="4" w:space="0" w:color="auto"/>
              <w:right w:val="single" w:sz="4" w:space="0" w:color="auto"/>
            </w:tcBorders>
            <w:shd w:val="clear" w:color="auto" w:fill="auto"/>
            <w:noWrap/>
            <w:vAlign w:val="bottom"/>
            <w:hideMark/>
          </w:tcPr>
          <w:p w14:paraId="08E80646"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27,000,000 </w:t>
            </w:r>
          </w:p>
        </w:tc>
        <w:tc>
          <w:tcPr>
            <w:tcW w:w="1705" w:type="dxa"/>
            <w:tcBorders>
              <w:top w:val="nil"/>
              <w:left w:val="nil"/>
              <w:bottom w:val="single" w:sz="4" w:space="0" w:color="auto"/>
              <w:right w:val="single" w:sz="4" w:space="0" w:color="auto"/>
            </w:tcBorders>
            <w:shd w:val="clear" w:color="auto" w:fill="auto"/>
            <w:noWrap/>
            <w:vAlign w:val="bottom"/>
            <w:hideMark/>
          </w:tcPr>
          <w:p w14:paraId="48455EFB"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AMGB30163472 </w:t>
            </w:r>
          </w:p>
        </w:tc>
      </w:tr>
      <w:tr w:rsidR="008B7A79" w:rsidRPr="008B7A79" w14:paraId="18C41A22"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BBC2ED"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5</w:t>
            </w:r>
          </w:p>
        </w:tc>
        <w:tc>
          <w:tcPr>
            <w:tcW w:w="804" w:type="dxa"/>
            <w:tcBorders>
              <w:top w:val="nil"/>
              <w:left w:val="nil"/>
              <w:bottom w:val="single" w:sz="4" w:space="0" w:color="auto"/>
              <w:right w:val="single" w:sz="4" w:space="0" w:color="auto"/>
            </w:tcBorders>
            <w:shd w:val="clear" w:color="auto" w:fill="auto"/>
            <w:noWrap/>
            <w:vAlign w:val="bottom"/>
            <w:hideMark/>
          </w:tcPr>
          <w:p w14:paraId="0E31A656"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C</w:t>
            </w:r>
          </w:p>
        </w:tc>
        <w:tc>
          <w:tcPr>
            <w:tcW w:w="1180" w:type="dxa"/>
            <w:tcBorders>
              <w:top w:val="nil"/>
              <w:left w:val="nil"/>
              <w:bottom w:val="single" w:sz="4" w:space="0" w:color="auto"/>
              <w:right w:val="single" w:sz="4" w:space="0" w:color="auto"/>
            </w:tcBorders>
            <w:shd w:val="clear" w:color="auto" w:fill="auto"/>
            <w:noWrap/>
            <w:vAlign w:val="bottom"/>
            <w:hideMark/>
          </w:tcPr>
          <w:p w14:paraId="21C6F97A"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7.6050%</w:t>
            </w:r>
          </w:p>
        </w:tc>
        <w:tc>
          <w:tcPr>
            <w:tcW w:w="1567" w:type="dxa"/>
            <w:tcBorders>
              <w:top w:val="nil"/>
              <w:left w:val="nil"/>
              <w:bottom w:val="single" w:sz="4" w:space="0" w:color="auto"/>
              <w:right w:val="single" w:sz="4" w:space="0" w:color="auto"/>
            </w:tcBorders>
            <w:shd w:val="clear" w:color="auto" w:fill="auto"/>
            <w:noWrap/>
            <w:vAlign w:val="bottom"/>
            <w:hideMark/>
          </w:tcPr>
          <w:p w14:paraId="695D74B1"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6,000,000 </w:t>
            </w:r>
          </w:p>
        </w:tc>
        <w:tc>
          <w:tcPr>
            <w:tcW w:w="1719" w:type="dxa"/>
            <w:tcBorders>
              <w:top w:val="nil"/>
              <w:left w:val="nil"/>
              <w:bottom w:val="single" w:sz="4" w:space="0" w:color="auto"/>
              <w:right w:val="single" w:sz="4" w:space="0" w:color="auto"/>
            </w:tcBorders>
            <w:shd w:val="clear" w:color="auto" w:fill="auto"/>
            <w:noWrap/>
            <w:vAlign w:val="bottom"/>
            <w:hideMark/>
          </w:tcPr>
          <w:p w14:paraId="41528D0E"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33,000,000 </w:t>
            </w:r>
          </w:p>
        </w:tc>
        <w:tc>
          <w:tcPr>
            <w:tcW w:w="1705" w:type="dxa"/>
            <w:tcBorders>
              <w:top w:val="nil"/>
              <w:left w:val="nil"/>
              <w:bottom w:val="single" w:sz="4" w:space="0" w:color="auto"/>
              <w:right w:val="single" w:sz="4" w:space="0" w:color="auto"/>
            </w:tcBorders>
            <w:shd w:val="clear" w:color="auto" w:fill="auto"/>
            <w:noWrap/>
            <w:vAlign w:val="bottom"/>
            <w:hideMark/>
          </w:tcPr>
          <w:p w14:paraId="16FA3B5D"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AMGB20072287 </w:t>
            </w:r>
          </w:p>
        </w:tc>
      </w:tr>
      <w:tr w:rsidR="008B7A79" w:rsidRPr="008B7A79" w14:paraId="099646D5"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62B386F"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6</w:t>
            </w:r>
          </w:p>
        </w:tc>
        <w:tc>
          <w:tcPr>
            <w:tcW w:w="804" w:type="dxa"/>
            <w:tcBorders>
              <w:top w:val="nil"/>
              <w:left w:val="nil"/>
              <w:bottom w:val="single" w:sz="4" w:space="0" w:color="auto"/>
              <w:right w:val="single" w:sz="4" w:space="0" w:color="auto"/>
            </w:tcBorders>
            <w:shd w:val="clear" w:color="auto" w:fill="auto"/>
            <w:noWrap/>
            <w:vAlign w:val="bottom"/>
            <w:hideMark/>
          </w:tcPr>
          <w:p w14:paraId="3320C900"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D</w:t>
            </w:r>
          </w:p>
        </w:tc>
        <w:tc>
          <w:tcPr>
            <w:tcW w:w="1180" w:type="dxa"/>
            <w:tcBorders>
              <w:top w:val="nil"/>
              <w:left w:val="nil"/>
              <w:bottom w:val="single" w:sz="4" w:space="0" w:color="auto"/>
              <w:right w:val="single" w:sz="4" w:space="0" w:color="auto"/>
            </w:tcBorders>
            <w:shd w:val="clear" w:color="auto" w:fill="auto"/>
            <w:noWrap/>
            <w:vAlign w:val="bottom"/>
            <w:hideMark/>
          </w:tcPr>
          <w:p w14:paraId="0BCBD434"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7.6030%</w:t>
            </w:r>
          </w:p>
        </w:tc>
        <w:tc>
          <w:tcPr>
            <w:tcW w:w="1567" w:type="dxa"/>
            <w:tcBorders>
              <w:top w:val="nil"/>
              <w:left w:val="nil"/>
              <w:bottom w:val="single" w:sz="4" w:space="0" w:color="auto"/>
              <w:right w:val="single" w:sz="4" w:space="0" w:color="auto"/>
            </w:tcBorders>
            <w:shd w:val="clear" w:color="auto" w:fill="auto"/>
            <w:noWrap/>
            <w:vAlign w:val="bottom"/>
            <w:hideMark/>
          </w:tcPr>
          <w:p w14:paraId="25988225"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5,000,000 </w:t>
            </w:r>
          </w:p>
        </w:tc>
        <w:tc>
          <w:tcPr>
            <w:tcW w:w="1719" w:type="dxa"/>
            <w:tcBorders>
              <w:top w:val="nil"/>
              <w:left w:val="nil"/>
              <w:bottom w:val="single" w:sz="4" w:space="0" w:color="auto"/>
              <w:right w:val="single" w:sz="4" w:space="0" w:color="auto"/>
            </w:tcBorders>
            <w:shd w:val="clear" w:color="auto" w:fill="auto"/>
            <w:noWrap/>
            <w:vAlign w:val="bottom"/>
            <w:hideMark/>
          </w:tcPr>
          <w:p w14:paraId="66C58235"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38,000,000 </w:t>
            </w:r>
          </w:p>
        </w:tc>
        <w:tc>
          <w:tcPr>
            <w:tcW w:w="1705" w:type="dxa"/>
            <w:tcBorders>
              <w:top w:val="nil"/>
              <w:left w:val="nil"/>
              <w:bottom w:val="single" w:sz="4" w:space="0" w:color="auto"/>
              <w:right w:val="single" w:sz="4" w:space="0" w:color="auto"/>
            </w:tcBorders>
            <w:shd w:val="clear" w:color="auto" w:fill="auto"/>
            <w:noWrap/>
            <w:vAlign w:val="bottom"/>
            <w:hideMark/>
          </w:tcPr>
          <w:p w14:paraId="42211102"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AMGB30163472 </w:t>
            </w:r>
          </w:p>
        </w:tc>
      </w:tr>
      <w:tr w:rsidR="008B7A79" w:rsidRPr="008B7A79" w14:paraId="1E6C5C44"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280955"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w:t>
            </w:r>
          </w:p>
        </w:tc>
        <w:tc>
          <w:tcPr>
            <w:tcW w:w="804" w:type="dxa"/>
            <w:tcBorders>
              <w:top w:val="nil"/>
              <w:left w:val="nil"/>
              <w:bottom w:val="single" w:sz="4" w:space="0" w:color="auto"/>
              <w:right w:val="single" w:sz="4" w:space="0" w:color="auto"/>
            </w:tcBorders>
            <w:shd w:val="clear" w:color="auto" w:fill="auto"/>
            <w:noWrap/>
            <w:vAlign w:val="bottom"/>
            <w:hideMark/>
          </w:tcPr>
          <w:p w14:paraId="4BFAE54F"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B</w:t>
            </w:r>
          </w:p>
        </w:tc>
        <w:tc>
          <w:tcPr>
            <w:tcW w:w="1180" w:type="dxa"/>
            <w:tcBorders>
              <w:top w:val="nil"/>
              <w:left w:val="nil"/>
              <w:bottom w:val="single" w:sz="4" w:space="0" w:color="auto"/>
              <w:right w:val="single" w:sz="4" w:space="0" w:color="auto"/>
            </w:tcBorders>
            <w:shd w:val="clear" w:color="auto" w:fill="auto"/>
            <w:noWrap/>
            <w:vAlign w:val="bottom"/>
            <w:hideMark/>
          </w:tcPr>
          <w:p w14:paraId="733BE2F6"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7.5850%</w:t>
            </w:r>
          </w:p>
        </w:tc>
        <w:tc>
          <w:tcPr>
            <w:tcW w:w="1567" w:type="dxa"/>
            <w:tcBorders>
              <w:top w:val="nil"/>
              <w:left w:val="nil"/>
              <w:bottom w:val="single" w:sz="4" w:space="0" w:color="auto"/>
              <w:right w:val="single" w:sz="4" w:space="0" w:color="auto"/>
            </w:tcBorders>
            <w:shd w:val="clear" w:color="auto" w:fill="auto"/>
            <w:noWrap/>
            <w:vAlign w:val="bottom"/>
            <w:hideMark/>
          </w:tcPr>
          <w:p w14:paraId="5B7EDA59"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8,000,000 </w:t>
            </w:r>
          </w:p>
        </w:tc>
        <w:tc>
          <w:tcPr>
            <w:tcW w:w="1719" w:type="dxa"/>
            <w:tcBorders>
              <w:top w:val="nil"/>
              <w:left w:val="nil"/>
              <w:bottom w:val="single" w:sz="4" w:space="0" w:color="auto"/>
              <w:right w:val="single" w:sz="4" w:space="0" w:color="auto"/>
            </w:tcBorders>
            <w:shd w:val="clear" w:color="auto" w:fill="auto"/>
            <w:noWrap/>
            <w:vAlign w:val="bottom"/>
            <w:hideMark/>
          </w:tcPr>
          <w:p w14:paraId="2C8B6039"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46,000,000 </w:t>
            </w:r>
          </w:p>
        </w:tc>
        <w:tc>
          <w:tcPr>
            <w:tcW w:w="1705" w:type="dxa"/>
            <w:tcBorders>
              <w:top w:val="nil"/>
              <w:left w:val="nil"/>
              <w:bottom w:val="single" w:sz="4" w:space="0" w:color="auto"/>
              <w:right w:val="single" w:sz="4" w:space="0" w:color="auto"/>
            </w:tcBorders>
            <w:shd w:val="clear" w:color="auto" w:fill="auto"/>
            <w:noWrap/>
            <w:vAlign w:val="bottom"/>
            <w:hideMark/>
          </w:tcPr>
          <w:p w14:paraId="79F74704"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AMGB20072287 </w:t>
            </w:r>
          </w:p>
        </w:tc>
      </w:tr>
      <w:tr w:rsidR="008B7A79" w:rsidRPr="008B7A79" w14:paraId="2C1D5FF5"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1C6143"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8</w:t>
            </w:r>
          </w:p>
        </w:tc>
        <w:tc>
          <w:tcPr>
            <w:tcW w:w="804" w:type="dxa"/>
            <w:tcBorders>
              <w:top w:val="nil"/>
              <w:left w:val="nil"/>
              <w:bottom w:val="single" w:sz="4" w:space="0" w:color="auto"/>
              <w:right w:val="single" w:sz="4" w:space="0" w:color="auto"/>
            </w:tcBorders>
            <w:shd w:val="clear" w:color="auto" w:fill="auto"/>
            <w:noWrap/>
            <w:vAlign w:val="bottom"/>
            <w:hideMark/>
          </w:tcPr>
          <w:p w14:paraId="61CC28E5"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A</w:t>
            </w:r>
          </w:p>
        </w:tc>
        <w:tc>
          <w:tcPr>
            <w:tcW w:w="1180" w:type="dxa"/>
            <w:tcBorders>
              <w:top w:val="nil"/>
              <w:left w:val="nil"/>
              <w:bottom w:val="single" w:sz="4" w:space="0" w:color="auto"/>
              <w:right w:val="single" w:sz="4" w:space="0" w:color="auto"/>
            </w:tcBorders>
            <w:shd w:val="clear" w:color="auto" w:fill="auto"/>
            <w:noWrap/>
            <w:vAlign w:val="bottom"/>
            <w:hideMark/>
          </w:tcPr>
          <w:p w14:paraId="7049C60F"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7.5800%</w:t>
            </w:r>
          </w:p>
        </w:tc>
        <w:tc>
          <w:tcPr>
            <w:tcW w:w="1567" w:type="dxa"/>
            <w:tcBorders>
              <w:top w:val="nil"/>
              <w:left w:val="nil"/>
              <w:bottom w:val="single" w:sz="4" w:space="0" w:color="auto"/>
              <w:right w:val="single" w:sz="4" w:space="0" w:color="auto"/>
            </w:tcBorders>
            <w:shd w:val="clear" w:color="auto" w:fill="auto"/>
            <w:noWrap/>
            <w:vAlign w:val="bottom"/>
            <w:hideMark/>
          </w:tcPr>
          <w:p w14:paraId="59402ABA"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5,000,000 </w:t>
            </w:r>
          </w:p>
        </w:tc>
        <w:tc>
          <w:tcPr>
            <w:tcW w:w="1719" w:type="dxa"/>
            <w:tcBorders>
              <w:top w:val="nil"/>
              <w:left w:val="nil"/>
              <w:bottom w:val="single" w:sz="4" w:space="0" w:color="auto"/>
              <w:right w:val="single" w:sz="4" w:space="0" w:color="auto"/>
            </w:tcBorders>
            <w:shd w:val="clear" w:color="auto" w:fill="auto"/>
            <w:noWrap/>
            <w:vAlign w:val="bottom"/>
            <w:hideMark/>
          </w:tcPr>
          <w:p w14:paraId="0DB41663"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51,000,000 </w:t>
            </w:r>
          </w:p>
        </w:tc>
        <w:tc>
          <w:tcPr>
            <w:tcW w:w="1705" w:type="dxa"/>
            <w:tcBorders>
              <w:top w:val="nil"/>
              <w:left w:val="nil"/>
              <w:bottom w:val="single" w:sz="4" w:space="0" w:color="auto"/>
              <w:right w:val="single" w:sz="4" w:space="0" w:color="auto"/>
            </w:tcBorders>
            <w:shd w:val="clear" w:color="auto" w:fill="auto"/>
            <w:noWrap/>
            <w:vAlign w:val="bottom"/>
            <w:hideMark/>
          </w:tcPr>
          <w:p w14:paraId="50CB8E42"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AMGN60294235 </w:t>
            </w:r>
          </w:p>
        </w:tc>
      </w:tr>
      <w:tr w:rsidR="008B7A79" w:rsidRPr="008B7A79" w14:paraId="6D41D176"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DF6F5A5"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9</w:t>
            </w:r>
          </w:p>
        </w:tc>
        <w:tc>
          <w:tcPr>
            <w:tcW w:w="804" w:type="dxa"/>
            <w:tcBorders>
              <w:top w:val="nil"/>
              <w:left w:val="nil"/>
              <w:bottom w:val="single" w:sz="4" w:space="0" w:color="auto"/>
              <w:right w:val="single" w:sz="4" w:space="0" w:color="auto"/>
            </w:tcBorders>
            <w:shd w:val="clear" w:color="auto" w:fill="auto"/>
            <w:noWrap/>
            <w:vAlign w:val="bottom"/>
            <w:hideMark/>
          </w:tcPr>
          <w:p w14:paraId="063AAB43"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B</w:t>
            </w:r>
          </w:p>
        </w:tc>
        <w:tc>
          <w:tcPr>
            <w:tcW w:w="1180" w:type="dxa"/>
            <w:tcBorders>
              <w:top w:val="nil"/>
              <w:left w:val="nil"/>
              <w:bottom w:val="single" w:sz="4" w:space="0" w:color="auto"/>
              <w:right w:val="single" w:sz="4" w:space="0" w:color="auto"/>
            </w:tcBorders>
            <w:shd w:val="clear" w:color="auto" w:fill="auto"/>
            <w:noWrap/>
            <w:vAlign w:val="bottom"/>
            <w:hideMark/>
          </w:tcPr>
          <w:p w14:paraId="13C8E79C"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7.5580%</w:t>
            </w:r>
          </w:p>
        </w:tc>
        <w:tc>
          <w:tcPr>
            <w:tcW w:w="1567" w:type="dxa"/>
            <w:tcBorders>
              <w:top w:val="nil"/>
              <w:left w:val="nil"/>
              <w:bottom w:val="single" w:sz="4" w:space="0" w:color="auto"/>
              <w:right w:val="single" w:sz="4" w:space="0" w:color="auto"/>
            </w:tcBorders>
            <w:shd w:val="clear" w:color="auto" w:fill="auto"/>
            <w:noWrap/>
            <w:vAlign w:val="bottom"/>
            <w:hideMark/>
          </w:tcPr>
          <w:p w14:paraId="1D69FCFA"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5,000,000 </w:t>
            </w:r>
          </w:p>
        </w:tc>
        <w:tc>
          <w:tcPr>
            <w:tcW w:w="1719" w:type="dxa"/>
            <w:tcBorders>
              <w:top w:val="nil"/>
              <w:left w:val="nil"/>
              <w:bottom w:val="single" w:sz="4" w:space="0" w:color="auto"/>
              <w:right w:val="single" w:sz="4" w:space="0" w:color="auto"/>
            </w:tcBorders>
            <w:shd w:val="clear" w:color="auto" w:fill="auto"/>
            <w:noWrap/>
            <w:vAlign w:val="bottom"/>
            <w:hideMark/>
          </w:tcPr>
          <w:p w14:paraId="061ACA3B"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56,000,000 </w:t>
            </w:r>
          </w:p>
        </w:tc>
        <w:tc>
          <w:tcPr>
            <w:tcW w:w="1705" w:type="dxa"/>
            <w:tcBorders>
              <w:top w:val="nil"/>
              <w:left w:val="nil"/>
              <w:bottom w:val="single" w:sz="4" w:space="0" w:color="auto"/>
              <w:right w:val="single" w:sz="4" w:space="0" w:color="auto"/>
            </w:tcBorders>
            <w:shd w:val="clear" w:color="auto" w:fill="auto"/>
            <w:noWrap/>
            <w:vAlign w:val="bottom"/>
            <w:hideMark/>
          </w:tcPr>
          <w:p w14:paraId="4CCCF0E1"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AMGB30163472 </w:t>
            </w:r>
          </w:p>
        </w:tc>
      </w:tr>
      <w:tr w:rsidR="008B7A79" w:rsidRPr="008B7A79" w14:paraId="52D97422" w14:textId="77777777" w:rsidTr="0074579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0D8106"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10</w:t>
            </w:r>
          </w:p>
        </w:tc>
        <w:tc>
          <w:tcPr>
            <w:tcW w:w="804" w:type="dxa"/>
            <w:tcBorders>
              <w:top w:val="nil"/>
              <w:left w:val="nil"/>
              <w:bottom w:val="single" w:sz="4" w:space="0" w:color="auto"/>
              <w:right w:val="single" w:sz="4" w:space="0" w:color="auto"/>
            </w:tcBorders>
            <w:shd w:val="clear" w:color="auto" w:fill="auto"/>
            <w:noWrap/>
            <w:vAlign w:val="bottom"/>
            <w:hideMark/>
          </w:tcPr>
          <w:p w14:paraId="4E1B7F0C" w14:textId="77777777" w:rsidR="008B7A79" w:rsidRPr="00745799" w:rsidRDefault="008B7A79" w:rsidP="008B7A79">
            <w:pPr>
              <w:jc w:val="cente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A</w:t>
            </w:r>
          </w:p>
        </w:tc>
        <w:tc>
          <w:tcPr>
            <w:tcW w:w="1180" w:type="dxa"/>
            <w:tcBorders>
              <w:top w:val="nil"/>
              <w:left w:val="nil"/>
              <w:bottom w:val="single" w:sz="4" w:space="0" w:color="auto"/>
              <w:right w:val="single" w:sz="4" w:space="0" w:color="auto"/>
            </w:tcBorders>
            <w:shd w:val="clear" w:color="auto" w:fill="auto"/>
            <w:noWrap/>
            <w:vAlign w:val="bottom"/>
            <w:hideMark/>
          </w:tcPr>
          <w:p w14:paraId="0FE5CE39" w14:textId="77777777" w:rsidR="008B7A79" w:rsidRPr="00745799" w:rsidRDefault="008B7A79" w:rsidP="008B7A7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7.5500%</w:t>
            </w:r>
          </w:p>
        </w:tc>
        <w:tc>
          <w:tcPr>
            <w:tcW w:w="1567" w:type="dxa"/>
            <w:tcBorders>
              <w:top w:val="nil"/>
              <w:left w:val="nil"/>
              <w:bottom w:val="single" w:sz="4" w:space="0" w:color="auto"/>
              <w:right w:val="single" w:sz="4" w:space="0" w:color="auto"/>
            </w:tcBorders>
            <w:shd w:val="clear" w:color="auto" w:fill="auto"/>
            <w:noWrap/>
            <w:vAlign w:val="bottom"/>
            <w:hideMark/>
          </w:tcPr>
          <w:p w14:paraId="7E251288" w14:textId="77777777" w:rsidR="008B7A79" w:rsidRPr="00745799" w:rsidRDefault="008B7A79" w:rsidP="00745799">
            <w:pPr>
              <w:jc w:val="right"/>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2,000,000 </w:t>
            </w:r>
          </w:p>
        </w:tc>
        <w:tc>
          <w:tcPr>
            <w:tcW w:w="1719" w:type="dxa"/>
            <w:tcBorders>
              <w:top w:val="nil"/>
              <w:left w:val="nil"/>
              <w:bottom w:val="single" w:sz="4" w:space="0" w:color="auto"/>
              <w:right w:val="single" w:sz="4" w:space="0" w:color="auto"/>
            </w:tcBorders>
            <w:shd w:val="clear" w:color="auto" w:fill="auto"/>
            <w:noWrap/>
            <w:vAlign w:val="bottom"/>
            <w:hideMark/>
          </w:tcPr>
          <w:p w14:paraId="6F44E397"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58,000,000 </w:t>
            </w:r>
          </w:p>
        </w:tc>
        <w:tc>
          <w:tcPr>
            <w:tcW w:w="1705" w:type="dxa"/>
            <w:tcBorders>
              <w:top w:val="nil"/>
              <w:left w:val="nil"/>
              <w:bottom w:val="single" w:sz="4" w:space="0" w:color="auto"/>
              <w:right w:val="single" w:sz="4" w:space="0" w:color="auto"/>
            </w:tcBorders>
            <w:shd w:val="clear" w:color="auto" w:fill="auto"/>
            <w:noWrap/>
            <w:vAlign w:val="bottom"/>
            <w:hideMark/>
          </w:tcPr>
          <w:p w14:paraId="40DBFF2F" w14:textId="77777777" w:rsidR="008B7A79" w:rsidRPr="00745799" w:rsidRDefault="008B7A79" w:rsidP="008B7A79">
            <w:pPr>
              <w:rPr>
                <w:rFonts w:ascii="Times New Roman" w:eastAsia="Times New Roman" w:hAnsi="Times New Roman" w:cs="Times New Roman"/>
                <w:color w:val="000000"/>
                <w:sz w:val="20"/>
                <w:szCs w:val="20"/>
                <w:lang w:eastAsia="en-US"/>
              </w:rPr>
            </w:pPr>
            <w:r w:rsidRPr="00745799">
              <w:rPr>
                <w:rFonts w:ascii="Times New Roman" w:eastAsia="Times New Roman" w:hAnsi="Times New Roman" w:cs="Times New Roman"/>
                <w:color w:val="000000"/>
                <w:sz w:val="20"/>
                <w:szCs w:val="20"/>
                <w:lang w:eastAsia="en-US"/>
              </w:rPr>
              <w:t xml:space="preserve"> AMGB20072287 </w:t>
            </w:r>
          </w:p>
        </w:tc>
      </w:tr>
    </w:tbl>
    <w:p w14:paraId="56339346" w14:textId="56C1F11B" w:rsidR="00641E7A" w:rsidRDefault="00641E7A" w:rsidP="00B373FE">
      <w:pPr>
        <w:autoSpaceDE w:val="0"/>
        <w:autoSpaceDN w:val="0"/>
        <w:adjustRightInd w:val="0"/>
        <w:ind w:left="720" w:hanging="720"/>
        <w:jc w:val="both"/>
      </w:pPr>
    </w:p>
    <w:p w14:paraId="709D4347" w14:textId="77777777" w:rsidR="00745799" w:rsidRDefault="00745799">
      <w:r>
        <w:br w:type="page"/>
      </w:r>
    </w:p>
    <w:p w14:paraId="0D4961A7" w14:textId="38EFAE99" w:rsidR="0061476F" w:rsidRDefault="00305D0F" w:rsidP="00305D0F">
      <w:pPr>
        <w:autoSpaceDE w:val="0"/>
        <w:autoSpaceDN w:val="0"/>
        <w:adjustRightInd w:val="0"/>
        <w:ind w:left="720" w:hanging="720"/>
        <w:jc w:val="both"/>
        <w:rPr>
          <w:rFonts w:asciiTheme="majorHAnsi" w:hAnsiTheme="majorHAnsi" w:cstheme="majorHAnsi"/>
        </w:rPr>
      </w:pPr>
      <w:r>
        <w:rPr>
          <w:rFonts w:asciiTheme="majorHAnsi" w:hAnsiTheme="majorHAnsi" w:cstheme="majorHAnsi"/>
        </w:rPr>
        <w:lastRenderedPageBreak/>
        <w:t>26.4</w:t>
      </w:r>
      <w:r>
        <w:rPr>
          <w:rFonts w:asciiTheme="majorHAnsi" w:hAnsiTheme="majorHAnsi" w:cstheme="majorHAnsi"/>
        </w:rPr>
        <w:tab/>
      </w:r>
      <w:r w:rsidR="00641E7A" w:rsidRPr="000402B5">
        <w:rPr>
          <w:rFonts w:asciiTheme="majorHAnsi" w:hAnsiTheme="majorHAnsi" w:cstheme="majorHAnsi"/>
        </w:rPr>
        <w:t>Table</w:t>
      </w:r>
      <w:r w:rsidR="00745799" w:rsidRPr="000402B5">
        <w:rPr>
          <w:rFonts w:asciiTheme="majorHAnsi" w:hAnsiTheme="majorHAnsi" w:cstheme="majorHAnsi"/>
        </w:rPr>
        <w:t>s</w:t>
      </w:r>
      <w:r w:rsidR="00641E7A" w:rsidRPr="000402B5">
        <w:rPr>
          <w:rFonts w:asciiTheme="majorHAnsi" w:hAnsiTheme="majorHAnsi" w:cstheme="majorHAnsi"/>
        </w:rPr>
        <w:t xml:space="preserve"> 4 </w:t>
      </w:r>
      <w:r w:rsidR="00745799" w:rsidRPr="000402B5">
        <w:rPr>
          <w:rFonts w:asciiTheme="majorHAnsi" w:hAnsiTheme="majorHAnsi" w:cstheme="majorHAnsi"/>
        </w:rPr>
        <w:t xml:space="preserve">(a) and (b) </w:t>
      </w:r>
      <w:r w:rsidR="00641E7A" w:rsidRPr="000402B5">
        <w:rPr>
          <w:rFonts w:asciiTheme="majorHAnsi" w:hAnsiTheme="majorHAnsi" w:cstheme="majorHAnsi"/>
        </w:rPr>
        <w:t xml:space="preserve">provides </w:t>
      </w:r>
      <w:r w:rsidR="00745799" w:rsidRPr="000402B5">
        <w:rPr>
          <w:rFonts w:asciiTheme="majorHAnsi" w:hAnsiTheme="majorHAnsi" w:cstheme="majorHAnsi"/>
        </w:rPr>
        <w:t xml:space="preserve">bid </w:t>
      </w:r>
      <w:r w:rsidR="00641E7A" w:rsidRPr="000402B5">
        <w:rPr>
          <w:rFonts w:asciiTheme="majorHAnsi" w:hAnsiTheme="majorHAnsi" w:cstheme="majorHAnsi"/>
        </w:rPr>
        <w:t xml:space="preserve">analysis </w:t>
      </w:r>
      <w:r w:rsidR="00745799" w:rsidRPr="000402B5">
        <w:rPr>
          <w:rFonts w:asciiTheme="majorHAnsi" w:hAnsiTheme="majorHAnsi" w:cstheme="majorHAnsi"/>
        </w:rPr>
        <w:t xml:space="preserve">and allocation result </w:t>
      </w:r>
      <w:r w:rsidR="00641E7A" w:rsidRPr="000402B5">
        <w:rPr>
          <w:rFonts w:asciiTheme="majorHAnsi" w:hAnsiTheme="majorHAnsi" w:cstheme="majorHAnsi"/>
        </w:rPr>
        <w:t>on</w:t>
      </w:r>
      <w:r w:rsidR="0061476F">
        <w:rPr>
          <w:rFonts w:asciiTheme="majorHAnsi" w:hAnsiTheme="majorHAnsi" w:cstheme="majorHAnsi"/>
        </w:rPr>
        <w:t xml:space="preserve"> </w:t>
      </w:r>
      <w:r w:rsidR="00641E7A" w:rsidRPr="000402B5">
        <w:rPr>
          <w:rFonts w:asciiTheme="majorHAnsi" w:hAnsiTheme="majorHAnsi" w:cstheme="majorHAnsi"/>
        </w:rPr>
        <w:t>switch auctions</w:t>
      </w:r>
      <w:r w:rsidR="0061476F">
        <w:rPr>
          <w:rFonts w:asciiTheme="majorHAnsi" w:hAnsiTheme="majorHAnsi" w:cstheme="majorHAnsi"/>
        </w:rPr>
        <w:t xml:space="preserve"> for the first source bond (</w:t>
      </w:r>
      <w:r w:rsidR="000402B5" w:rsidRPr="000402B5">
        <w:rPr>
          <w:rFonts w:asciiTheme="majorHAnsi" w:eastAsia="Times New Roman" w:hAnsiTheme="majorHAnsi" w:cstheme="majorHAnsi"/>
          <w:bCs/>
          <w:color w:val="000000"/>
          <w:lang w:eastAsia="en-US"/>
        </w:rPr>
        <w:t>AMGN60294193)</w:t>
      </w:r>
      <w:r w:rsidR="0061476F">
        <w:rPr>
          <w:rFonts w:asciiTheme="majorHAnsi" w:hAnsiTheme="majorHAnsi" w:cstheme="majorHAnsi"/>
        </w:rPr>
        <w:t>. Table 4(a) indicates that b</w:t>
      </w:r>
      <w:r w:rsidR="000402B5" w:rsidRPr="000402B5">
        <w:rPr>
          <w:rFonts w:asciiTheme="majorHAnsi" w:hAnsiTheme="majorHAnsi" w:cstheme="majorHAnsi"/>
        </w:rPr>
        <w:t>ased on a cut-off yield of 7.58%, out of total bid amount of ARM 77 million,</w:t>
      </w:r>
      <w:r w:rsidR="0061476F">
        <w:rPr>
          <w:rFonts w:asciiTheme="majorHAnsi" w:hAnsiTheme="majorHAnsi" w:cstheme="majorHAnsi"/>
        </w:rPr>
        <w:t xml:space="preserve"> the entire targeted amount of ARM 60 million in terms of face value is allocated. Based on the allocated yields and the equivalent dirty prices, the government will be required to pay a total amount of ARM 60.2 million</w:t>
      </w:r>
      <w:r w:rsidR="003F011A">
        <w:rPr>
          <w:rFonts w:asciiTheme="majorHAnsi" w:hAnsiTheme="majorHAnsi" w:cstheme="majorHAnsi"/>
        </w:rPr>
        <w:t xml:space="preserve"> to the investors for retiring the bond. </w:t>
      </w:r>
    </w:p>
    <w:p w14:paraId="291025C1" w14:textId="03D7CFE0" w:rsidR="00641E7A" w:rsidRDefault="00641E7A" w:rsidP="00641E7A">
      <w:pPr>
        <w:autoSpaceDE w:val="0"/>
        <w:autoSpaceDN w:val="0"/>
        <w:adjustRightInd w:val="0"/>
        <w:ind w:left="720" w:hanging="720"/>
        <w:jc w:val="both"/>
      </w:pPr>
      <w:r>
        <w:t xml:space="preserve"> </w:t>
      </w:r>
    </w:p>
    <w:tbl>
      <w:tblPr>
        <w:tblW w:w="5686" w:type="pct"/>
        <w:tblInd w:w="-5" w:type="dxa"/>
        <w:tblLayout w:type="fixed"/>
        <w:tblLook w:val="04A0" w:firstRow="1" w:lastRow="0" w:firstColumn="1" w:lastColumn="0" w:noHBand="0" w:noVBand="1"/>
      </w:tblPr>
      <w:tblGrid>
        <w:gridCol w:w="884"/>
        <w:gridCol w:w="825"/>
        <w:gridCol w:w="1810"/>
        <w:gridCol w:w="1745"/>
        <w:gridCol w:w="1557"/>
        <w:gridCol w:w="1307"/>
        <w:gridCol w:w="1453"/>
        <w:gridCol w:w="1309"/>
      </w:tblGrid>
      <w:tr w:rsidR="000402B5" w:rsidRPr="00745799" w14:paraId="72A319BB" w14:textId="77777777" w:rsidTr="000402B5">
        <w:trPr>
          <w:trHeight w:val="582"/>
        </w:trPr>
        <w:tc>
          <w:tcPr>
            <w:tcW w:w="5000" w:type="pct"/>
            <w:gridSpan w:val="8"/>
            <w:tcBorders>
              <w:top w:val="nil"/>
              <w:bottom w:val="single" w:sz="4" w:space="0" w:color="auto"/>
            </w:tcBorders>
            <w:shd w:val="clear" w:color="auto" w:fill="auto"/>
            <w:noWrap/>
            <w:vAlign w:val="bottom"/>
          </w:tcPr>
          <w:p w14:paraId="699E229F" w14:textId="28B35926" w:rsidR="000402B5" w:rsidRPr="00745799" w:rsidRDefault="000402B5" w:rsidP="000402B5">
            <w:pPr>
              <w:jc w:val="center"/>
              <w:rPr>
                <w:rFonts w:ascii="Calibri" w:eastAsia="Times New Roman" w:hAnsi="Calibri" w:cs="Calibri"/>
                <w:color w:val="000000"/>
                <w:lang w:eastAsia="en-US"/>
              </w:rPr>
            </w:pPr>
            <w:r>
              <w:rPr>
                <w:rFonts w:ascii="Calibri" w:eastAsia="Times New Roman" w:hAnsi="Calibri" w:cs="Calibri"/>
                <w:color w:val="000000"/>
                <w:lang w:eastAsia="en-US"/>
              </w:rPr>
              <w:t xml:space="preserve">Table 4(a): Allocation for Source Bond </w:t>
            </w:r>
            <w:r w:rsidRPr="00641E7A">
              <w:rPr>
                <w:rFonts w:ascii="Calibri" w:eastAsia="Times New Roman" w:hAnsi="Calibri" w:cs="Calibri"/>
                <w:bCs/>
                <w:color w:val="000000"/>
                <w:lang w:eastAsia="en-US"/>
              </w:rPr>
              <w:t>AMGN60294193</w:t>
            </w:r>
          </w:p>
        </w:tc>
      </w:tr>
      <w:tr w:rsidR="000402B5" w:rsidRPr="00745799" w14:paraId="7E4D80E5" w14:textId="77777777" w:rsidTr="000402B5">
        <w:trPr>
          <w:trHeight w:val="582"/>
        </w:trPr>
        <w:tc>
          <w:tcPr>
            <w:tcW w:w="406"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19F0B8B8"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Bid No.</w:t>
            </w:r>
          </w:p>
        </w:tc>
        <w:tc>
          <w:tcPr>
            <w:tcW w:w="379"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42EB1FAB"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Bidder</w:t>
            </w:r>
          </w:p>
        </w:tc>
        <w:tc>
          <w:tcPr>
            <w:tcW w:w="831"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512ABF22"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Destination Bond</w:t>
            </w:r>
          </w:p>
        </w:tc>
        <w:tc>
          <w:tcPr>
            <w:tcW w:w="80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6FF35749"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Bid Face Value</w:t>
            </w:r>
          </w:p>
        </w:tc>
        <w:tc>
          <w:tcPr>
            <w:tcW w:w="715"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56886D9"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Allocated FV</w:t>
            </w:r>
          </w:p>
        </w:tc>
        <w:tc>
          <w:tcPr>
            <w:tcW w:w="600"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14:paraId="760A326F"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Allocation Yield</w:t>
            </w:r>
          </w:p>
        </w:tc>
        <w:tc>
          <w:tcPr>
            <w:tcW w:w="667"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14:paraId="003DB2FB"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Dirty Price per 100</w:t>
            </w:r>
          </w:p>
        </w:tc>
        <w:tc>
          <w:tcPr>
            <w:tcW w:w="60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14:paraId="5A07F4F7"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Pay to Investor</w:t>
            </w:r>
          </w:p>
        </w:tc>
      </w:tr>
      <w:tr w:rsidR="000402B5" w:rsidRPr="00745799" w14:paraId="68C1DEF2" w14:textId="77777777" w:rsidTr="000402B5">
        <w:trPr>
          <w:trHeight w:val="300"/>
        </w:trPr>
        <w:tc>
          <w:tcPr>
            <w:tcW w:w="406" w:type="pct"/>
            <w:tcBorders>
              <w:top w:val="single" w:sz="4" w:space="0" w:color="auto"/>
              <w:left w:val="single" w:sz="4" w:space="0" w:color="auto"/>
              <w:bottom w:val="single" w:sz="4" w:space="0" w:color="auto"/>
              <w:right w:val="nil"/>
            </w:tcBorders>
            <w:shd w:val="clear" w:color="auto" w:fill="auto"/>
            <w:noWrap/>
            <w:vAlign w:val="bottom"/>
            <w:hideMark/>
          </w:tcPr>
          <w:p w14:paraId="7E56BF42"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1</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40BC"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15644C95"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AMGB30163472 </w:t>
            </w:r>
          </w:p>
        </w:tc>
        <w:tc>
          <w:tcPr>
            <w:tcW w:w="801" w:type="pct"/>
            <w:tcBorders>
              <w:top w:val="single" w:sz="4" w:space="0" w:color="auto"/>
              <w:left w:val="nil"/>
              <w:bottom w:val="single" w:sz="4" w:space="0" w:color="auto"/>
              <w:right w:val="single" w:sz="4" w:space="0" w:color="auto"/>
            </w:tcBorders>
            <w:shd w:val="clear" w:color="auto" w:fill="auto"/>
            <w:noWrap/>
            <w:vAlign w:val="bottom"/>
            <w:hideMark/>
          </w:tcPr>
          <w:p w14:paraId="43DAB344"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12,000,000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381C07F4"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12,000,000 </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2669E3B9"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7.6250%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47520001"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100.3103%</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14:paraId="2FD7115D"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12,037,236 </w:t>
            </w:r>
          </w:p>
        </w:tc>
      </w:tr>
      <w:tr w:rsidR="000402B5" w:rsidRPr="00745799" w14:paraId="67E71AB9"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7092D2A9"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2</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BA89B0D"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D</w:t>
            </w:r>
          </w:p>
        </w:tc>
        <w:tc>
          <w:tcPr>
            <w:tcW w:w="831" w:type="pct"/>
            <w:tcBorders>
              <w:top w:val="nil"/>
              <w:left w:val="nil"/>
              <w:bottom w:val="single" w:sz="4" w:space="0" w:color="auto"/>
              <w:right w:val="single" w:sz="4" w:space="0" w:color="auto"/>
            </w:tcBorders>
            <w:shd w:val="clear" w:color="auto" w:fill="auto"/>
            <w:noWrap/>
            <w:vAlign w:val="bottom"/>
            <w:hideMark/>
          </w:tcPr>
          <w:p w14:paraId="1E510CBA"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AMGN60294235 </w:t>
            </w:r>
          </w:p>
        </w:tc>
        <w:tc>
          <w:tcPr>
            <w:tcW w:w="801" w:type="pct"/>
            <w:tcBorders>
              <w:top w:val="nil"/>
              <w:left w:val="nil"/>
              <w:bottom w:val="single" w:sz="4" w:space="0" w:color="auto"/>
              <w:right w:val="single" w:sz="4" w:space="0" w:color="auto"/>
            </w:tcBorders>
            <w:shd w:val="clear" w:color="auto" w:fill="auto"/>
            <w:noWrap/>
            <w:vAlign w:val="bottom"/>
            <w:hideMark/>
          </w:tcPr>
          <w:p w14:paraId="26620E98"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6,000,000 </w:t>
            </w:r>
          </w:p>
        </w:tc>
        <w:tc>
          <w:tcPr>
            <w:tcW w:w="715" w:type="pct"/>
            <w:tcBorders>
              <w:top w:val="nil"/>
              <w:left w:val="nil"/>
              <w:bottom w:val="single" w:sz="4" w:space="0" w:color="auto"/>
              <w:right w:val="single" w:sz="4" w:space="0" w:color="auto"/>
            </w:tcBorders>
            <w:shd w:val="clear" w:color="auto" w:fill="auto"/>
            <w:noWrap/>
            <w:vAlign w:val="bottom"/>
            <w:hideMark/>
          </w:tcPr>
          <w:p w14:paraId="1AD69A96"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6,000,000 </w:t>
            </w:r>
          </w:p>
        </w:tc>
        <w:tc>
          <w:tcPr>
            <w:tcW w:w="600" w:type="pct"/>
            <w:tcBorders>
              <w:top w:val="nil"/>
              <w:left w:val="nil"/>
              <w:bottom w:val="single" w:sz="4" w:space="0" w:color="auto"/>
              <w:right w:val="single" w:sz="4" w:space="0" w:color="auto"/>
            </w:tcBorders>
            <w:shd w:val="clear" w:color="auto" w:fill="auto"/>
            <w:noWrap/>
            <w:vAlign w:val="bottom"/>
            <w:hideMark/>
          </w:tcPr>
          <w:p w14:paraId="35F53D44"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7.6200%</w:t>
            </w:r>
          </w:p>
        </w:tc>
        <w:tc>
          <w:tcPr>
            <w:tcW w:w="667" w:type="pct"/>
            <w:tcBorders>
              <w:top w:val="nil"/>
              <w:left w:val="nil"/>
              <w:bottom w:val="single" w:sz="4" w:space="0" w:color="auto"/>
              <w:right w:val="single" w:sz="4" w:space="0" w:color="auto"/>
            </w:tcBorders>
            <w:shd w:val="clear" w:color="auto" w:fill="auto"/>
            <w:noWrap/>
            <w:vAlign w:val="bottom"/>
            <w:hideMark/>
          </w:tcPr>
          <w:p w14:paraId="1C3C2C34"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100.3145%</w:t>
            </w:r>
          </w:p>
        </w:tc>
        <w:tc>
          <w:tcPr>
            <w:tcW w:w="601" w:type="pct"/>
            <w:tcBorders>
              <w:top w:val="nil"/>
              <w:left w:val="nil"/>
              <w:bottom w:val="single" w:sz="4" w:space="0" w:color="auto"/>
              <w:right w:val="single" w:sz="4" w:space="0" w:color="auto"/>
            </w:tcBorders>
            <w:shd w:val="clear" w:color="auto" w:fill="auto"/>
            <w:noWrap/>
            <w:vAlign w:val="bottom"/>
            <w:hideMark/>
          </w:tcPr>
          <w:p w14:paraId="4B7879D7"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6,018,870 </w:t>
            </w:r>
          </w:p>
        </w:tc>
      </w:tr>
      <w:tr w:rsidR="000402B5" w:rsidRPr="00745799" w14:paraId="749D4658"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27F92172"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3</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1B84DE05"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A</w:t>
            </w:r>
          </w:p>
        </w:tc>
        <w:tc>
          <w:tcPr>
            <w:tcW w:w="831" w:type="pct"/>
            <w:tcBorders>
              <w:top w:val="nil"/>
              <w:left w:val="nil"/>
              <w:bottom w:val="single" w:sz="4" w:space="0" w:color="auto"/>
              <w:right w:val="single" w:sz="4" w:space="0" w:color="auto"/>
            </w:tcBorders>
            <w:shd w:val="clear" w:color="auto" w:fill="auto"/>
            <w:noWrap/>
            <w:vAlign w:val="bottom"/>
            <w:hideMark/>
          </w:tcPr>
          <w:p w14:paraId="534623DB"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AMGB30163472 </w:t>
            </w:r>
          </w:p>
        </w:tc>
        <w:tc>
          <w:tcPr>
            <w:tcW w:w="801" w:type="pct"/>
            <w:tcBorders>
              <w:top w:val="nil"/>
              <w:left w:val="nil"/>
              <w:bottom w:val="single" w:sz="4" w:space="0" w:color="auto"/>
              <w:right w:val="single" w:sz="4" w:space="0" w:color="auto"/>
            </w:tcBorders>
            <w:shd w:val="clear" w:color="auto" w:fill="auto"/>
            <w:noWrap/>
            <w:vAlign w:val="bottom"/>
            <w:hideMark/>
          </w:tcPr>
          <w:p w14:paraId="44DA71AF"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4,000,000 </w:t>
            </w:r>
          </w:p>
        </w:tc>
        <w:tc>
          <w:tcPr>
            <w:tcW w:w="715" w:type="pct"/>
            <w:tcBorders>
              <w:top w:val="nil"/>
              <w:left w:val="nil"/>
              <w:bottom w:val="single" w:sz="4" w:space="0" w:color="auto"/>
              <w:right w:val="single" w:sz="4" w:space="0" w:color="auto"/>
            </w:tcBorders>
            <w:shd w:val="clear" w:color="auto" w:fill="auto"/>
            <w:noWrap/>
            <w:vAlign w:val="bottom"/>
            <w:hideMark/>
          </w:tcPr>
          <w:p w14:paraId="0B481A59"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4,000,000 </w:t>
            </w:r>
          </w:p>
        </w:tc>
        <w:tc>
          <w:tcPr>
            <w:tcW w:w="600" w:type="pct"/>
            <w:tcBorders>
              <w:top w:val="nil"/>
              <w:left w:val="nil"/>
              <w:bottom w:val="single" w:sz="4" w:space="0" w:color="auto"/>
              <w:right w:val="single" w:sz="4" w:space="0" w:color="auto"/>
            </w:tcBorders>
            <w:shd w:val="clear" w:color="auto" w:fill="auto"/>
            <w:noWrap/>
            <w:vAlign w:val="bottom"/>
            <w:hideMark/>
          </w:tcPr>
          <w:p w14:paraId="68277EA7"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7.6100%</w:t>
            </w:r>
          </w:p>
        </w:tc>
        <w:tc>
          <w:tcPr>
            <w:tcW w:w="667" w:type="pct"/>
            <w:tcBorders>
              <w:top w:val="nil"/>
              <w:left w:val="nil"/>
              <w:bottom w:val="single" w:sz="4" w:space="0" w:color="auto"/>
              <w:right w:val="single" w:sz="4" w:space="0" w:color="auto"/>
            </w:tcBorders>
            <w:shd w:val="clear" w:color="auto" w:fill="auto"/>
            <w:noWrap/>
            <w:vAlign w:val="bottom"/>
            <w:hideMark/>
          </w:tcPr>
          <w:p w14:paraId="4E32C0F5"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100.3229%</w:t>
            </w:r>
          </w:p>
        </w:tc>
        <w:tc>
          <w:tcPr>
            <w:tcW w:w="601" w:type="pct"/>
            <w:tcBorders>
              <w:top w:val="nil"/>
              <w:left w:val="nil"/>
              <w:bottom w:val="single" w:sz="4" w:space="0" w:color="auto"/>
              <w:right w:val="single" w:sz="4" w:space="0" w:color="auto"/>
            </w:tcBorders>
            <w:shd w:val="clear" w:color="auto" w:fill="auto"/>
            <w:noWrap/>
            <w:vAlign w:val="bottom"/>
            <w:hideMark/>
          </w:tcPr>
          <w:p w14:paraId="0C214D40"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4,012,916 </w:t>
            </w:r>
          </w:p>
        </w:tc>
      </w:tr>
      <w:tr w:rsidR="000402B5" w:rsidRPr="00745799" w14:paraId="32E72336"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50A0A3B7"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4</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3DB58629"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C</w:t>
            </w:r>
          </w:p>
        </w:tc>
        <w:tc>
          <w:tcPr>
            <w:tcW w:w="831" w:type="pct"/>
            <w:tcBorders>
              <w:top w:val="nil"/>
              <w:left w:val="nil"/>
              <w:bottom w:val="single" w:sz="4" w:space="0" w:color="auto"/>
              <w:right w:val="single" w:sz="4" w:space="0" w:color="auto"/>
            </w:tcBorders>
            <w:shd w:val="clear" w:color="auto" w:fill="auto"/>
            <w:noWrap/>
            <w:vAlign w:val="bottom"/>
            <w:hideMark/>
          </w:tcPr>
          <w:p w14:paraId="77E8B533"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AMGN60294235 </w:t>
            </w:r>
          </w:p>
        </w:tc>
        <w:tc>
          <w:tcPr>
            <w:tcW w:w="801" w:type="pct"/>
            <w:tcBorders>
              <w:top w:val="nil"/>
              <w:left w:val="nil"/>
              <w:bottom w:val="single" w:sz="4" w:space="0" w:color="auto"/>
              <w:right w:val="single" w:sz="4" w:space="0" w:color="auto"/>
            </w:tcBorders>
            <w:shd w:val="clear" w:color="auto" w:fill="auto"/>
            <w:noWrap/>
            <w:vAlign w:val="bottom"/>
            <w:hideMark/>
          </w:tcPr>
          <w:p w14:paraId="357C4B5B"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10,000,000 </w:t>
            </w:r>
          </w:p>
        </w:tc>
        <w:tc>
          <w:tcPr>
            <w:tcW w:w="715" w:type="pct"/>
            <w:tcBorders>
              <w:top w:val="nil"/>
              <w:left w:val="nil"/>
              <w:bottom w:val="single" w:sz="4" w:space="0" w:color="auto"/>
              <w:right w:val="single" w:sz="4" w:space="0" w:color="auto"/>
            </w:tcBorders>
            <w:shd w:val="clear" w:color="auto" w:fill="auto"/>
            <w:noWrap/>
            <w:vAlign w:val="bottom"/>
            <w:hideMark/>
          </w:tcPr>
          <w:p w14:paraId="7C63B633"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10,000,000 </w:t>
            </w:r>
          </w:p>
        </w:tc>
        <w:tc>
          <w:tcPr>
            <w:tcW w:w="600" w:type="pct"/>
            <w:tcBorders>
              <w:top w:val="nil"/>
              <w:left w:val="nil"/>
              <w:bottom w:val="single" w:sz="4" w:space="0" w:color="auto"/>
              <w:right w:val="single" w:sz="4" w:space="0" w:color="auto"/>
            </w:tcBorders>
            <w:shd w:val="clear" w:color="auto" w:fill="auto"/>
            <w:noWrap/>
            <w:vAlign w:val="bottom"/>
            <w:hideMark/>
          </w:tcPr>
          <w:p w14:paraId="1851C20F"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7.6080%</w:t>
            </w:r>
          </w:p>
        </w:tc>
        <w:tc>
          <w:tcPr>
            <w:tcW w:w="667" w:type="pct"/>
            <w:tcBorders>
              <w:top w:val="nil"/>
              <w:left w:val="nil"/>
              <w:bottom w:val="single" w:sz="4" w:space="0" w:color="auto"/>
              <w:right w:val="single" w:sz="4" w:space="0" w:color="auto"/>
            </w:tcBorders>
            <w:shd w:val="clear" w:color="auto" w:fill="auto"/>
            <w:noWrap/>
            <w:vAlign w:val="bottom"/>
            <w:hideMark/>
          </w:tcPr>
          <w:p w14:paraId="138E72EC"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100.3246%</w:t>
            </w:r>
          </w:p>
        </w:tc>
        <w:tc>
          <w:tcPr>
            <w:tcW w:w="601" w:type="pct"/>
            <w:tcBorders>
              <w:top w:val="nil"/>
              <w:left w:val="nil"/>
              <w:bottom w:val="single" w:sz="4" w:space="0" w:color="auto"/>
              <w:right w:val="single" w:sz="4" w:space="0" w:color="auto"/>
            </w:tcBorders>
            <w:shd w:val="clear" w:color="auto" w:fill="auto"/>
            <w:noWrap/>
            <w:vAlign w:val="bottom"/>
            <w:hideMark/>
          </w:tcPr>
          <w:p w14:paraId="5ADB876C"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10,032,460 </w:t>
            </w:r>
          </w:p>
        </w:tc>
      </w:tr>
      <w:tr w:rsidR="000402B5" w:rsidRPr="00745799" w14:paraId="2E5EC1FD"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683E9473"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5</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3D1E4B5"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E</w:t>
            </w:r>
          </w:p>
        </w:tc>
        <w:tc>
          <w:tcPr>
            <w:tcW w:w="831" w:type="pct"/>
            <w:tcBorders>
              <w:top w:val="nil"/>
              <w:left w:val="nil"/>
              <w:bottom w:val="single" w:sz="4" w:space="0" w:color="auto"/>
              <w:right w:val="single" w:sz="4" w:space="0" w:color="auto"/>
            </w:tcBorders>
            <w:shd w:val="clear" w:color="auto" w:fill="auto"/>
            <w:noWrap/>
            <w:vAlign w:val="bottom"/>
            <w:hideMark/>
          </w:tcPr>
          <w:p w14:paraId="663FC0EE"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AMGB20072287 </w:t>
            </w:r>
          </w:p>
        </w:tc>
        <w:tc>
          <w:tcPr>
            <w:tcW w:w="801" w:type="pct"/>
            <w:tcBorders>
              <w:top w:val="nil"/>
              <w:left w:val="nil"/>
              <w:bottom w:val="single" w:sz="4" w:space="0" w:color="auto"/>
              <w:right w:val="single" w:sz="4" w:space="0" w:color="auto"/>
            </w:tcBorders>
            <w:shd w:val="clear" w:color="auto" w:fill="auto"/>
            <w:noWrap/>
            <w:vAlign w:val="bottom"/>
            <w:hideMark/>
          </w:tcPr>
          <w:p w14:paraId="36D947BF"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4,000,000 </w:t>
            </w:r>
          </w:p>
        </w:tc>
        <w:tc>
          <w:tcPr>
            <w:tcW w:w="715" w:type="pct"/>
            <w:tcBorders>
              <w:top w:val="nil"/>
              <w:left w:val="nil"/>
              <w:bottom w:val="single" w:sz="4" w:space="0" w:color="auto"/>
              <w:right w:val="single" w:sz="4" w:space="0" w:color="auto"/>
            </w:tcBorders>
            <w:shd w:val="clear" w:color="auto" w:fill="auto"/>
            <w:noWrap/>
            <w:vAlign w:val="bottom"/>
            <w:hideMark/>
          </w:tcPr>
          <w:p w14:paraId="48A249B2"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4,000,000 </w:t>
            </w:r>
          </w:p>
        </w:tc>
        <w:tc>
          <w:tcPr>
            <w:tcW w:w="600" w:type="pct"/>
            <w:tcBorders>
              <w:top w:val="nil"/>
              <w:left w:val="nil"/>
              <w:bottom w:val="single" w:sz="4" w:space="0" w:color="auto"/>
              <w:right w:val="single" w:sz="4" w:space="0" w:color="auto"/>
            </w:tcBorders>
            <w:shd w:val="clear" w:color="auto" w:fill="auto"/>
            <w:noWrap/>
            <w:vAlign w:val="bottom"/>
            <w:hideMark/>
          </w:tcPr>
          <w:p w14:paraId="14F20D4E"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7.6050%</w:t>
            </w:r>
          </w:p>
        </w:tc>
        <w:tc>
          <w:tcPr>
            <w:tcW w:w="667" w:type="pct"/>
            <w:tcBorders>
              <w:top w:val="nil"/>
              <w:left w:val="nil"/>
              <w:bottom w:val="single" w:sz="4" w:space="0" w:color="auto"/>
              <w:right w:val="single" w:sz="4" w:space="0" w:color="auto"/>
            </w:tcBorders>
            <w:shd w:val="clear" w:color="auto" w:fill="auto"/>
            <w:noWrap/>
            <w:vAlign w:val="bottom"/>
            <w:hideMark/>
          </w:tcPr>
          <w:p w14:paraId="24F5226F"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100.3271%</w:t>
            </w:r>
          </w:p>
        </w:tc>
        <w:tc>
          <w:tcPr>
            <w:tcW w:w="601" w:type="pct"/>
            <w:tcBorders>
              <w:top w:val="nil"/>
              <w:left w:val="nil"/>
              <w:bottom w:val="single" w:sz="4" w:space="0" w:color="auto"/>
              <w:right w:val="single" w:sz="4" w:space="0" w:color="auto"/>
            </w:tcBorders>
            <w:shd w:val="clear" w:color="auto" w:fill="auto"/>
            <w:noWrap/>
            <w:vAlign w:val="bottom"/>
            <w:hideMark/>
          </w:tcPr>
          <w:p w14:paraId="6B36BF88"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4,013,084 </w:t>
            </w:r>
          </w:p>
        </w:tc>
      </w:tr>
      <w:tr w:rsidR="000402B5" w:rsidRPr="00745799" w14:paraId="53C80035"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0444CAE0"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6</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5E279D2F"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w:t>
            </w:r>
          </w:p>
        </w:tc>
        <w:tc>
          <w:tcPr>
            <w:tcW w:w="831" w:type="pct"/>
            <w:tcBorders>
              <w:top w:val="nil"/>
              <w:left w:val="nil"/>
              <w:bottom w:val="single" w:sz="4" w:space="0" w:color="auto"/>
              <w:right w:val="single" w:sz="4" w:space="0" w:color="auto"/>
            </w:tcBorders>
            <w:shd w:val="clear" w:color="auto" w:fill="auto"/>
            <w:noWrap/>
            <w:vAlign w:val="bottom"/>
            <w:hideMark/>
          </w:tcPr>
          <w:p w14:paraId="30C5FB8D"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AMGB30163472 </w:t>
            </w:r>
          </w:p>
        </w:tc>
        <w:tc>
          <w:tcPr>
            <w:tcW w:w="801" w:type="pct"/>
            <w:tcBorders>
              <w:top w:val="nil"/>
              <w:left w:val="nil"/>
              <w:bottom w:val="single" w:sz="4" w:space="0" w:color="auto"/>
              <w:right w:val="single" w:sz="4" w:space="0" w:color="auto"/>
            </w:tcBorders>
            <w:shd w:val="clear" w:color="auto" w:fill="auto"/>
            <w:noWrap/>
            <w:vAlign w:val="bottom"/>
            <w:hideMark/>
          </w:tcPr>
          <w:p w14:paraId="36502425"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8,000,000 </w:t>
            </w:r>
          </w:p>
        </w:tc>
        <w:tc>
          <w:tcPr>
            <w:tcW w:w="715" w:type="pct"/>
            <w:tcBorders>
              <w:top w:val="nil"/>
              <w:left w:val="nil"/>
              <w:bottom w:val="single" w:sz="4" w:space="0" w:color="auto"/>
              <w:right w:val="single" w:sz="4" w:space="0" w:color="auto"/>
            </w:tcBorders>
            <w:shd w:val="clear" w:color="auto" w:fill="auto"/>
            <w:noWrap/>
            <w:vAlign w:val="bottom"/>
            <w:hideMark/>
          </w:tcPr>
          <w:p w14:paraId="3B8763B4"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8,000,000 </w:t>
            </w:r>
          </w:p>
        </w:tc>
        <w:tc>
          <w:tcPr>
            <w:tcW w:w="600" w:type="pct"/>
            <w:tcBorders>
              <w:top w:val="nil"/>
              <w:left w:val="nil"/>
              <w:bottom w:val="single" w:sz="4" w:space="0" w:color="auto"/>
              <w:right w:val="single" w:sz="4" w:space="0" w:color="auto"/>
            </w:tcBorders>
            <w:shd w:val="clear" w:color="auto" w:fill="auto"/>
            <w:noWrap/>
            <w:vAlign w:val="bottom"/>
            <w:hideMark/>
          </w:tcPr>
          <w:p w14:paraId="5408B613"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7.6030%</w:t>
            </w:r>
          </w:p>
        </w:tc>
        <w:tc>
          <w:tcPr>
            <w:tcW w:w="667" w:type="pct"/>
            <w:tcBorders>
              <w:top w:val="nil"/>
              <w:left w:val="nil"/>
              <w:bottom w:val="single" w:sz="4" w:space="0" w:color="auto"/>
              <w:right w:val="single" w:sz="4" w:space="0" w:color="auto"/>
            </w:tcBorders>
            <w:shd w:val="clear" w:color="auto" w:fill="auto"/>
            <w:noWrap/>
            <w:vAlign w:val="bottom"/>
            <w:hideMark/>
          </w:tcPr>
          <w:p w14:paraId="6D3DCDE4"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100.3288%</w:t>
            </w:r>
          </w:p>
        </w:tc>
        <w:tc>
          <w:tcPr>
            <w:tcW w:w="601" w:type="pct"/>
            <w:tcBorders>
              <w:top w:val="nil"/>
              <w:left w:val="nil"/>
              <w:bottom w:val="single" w:sz="4" w:space="0" w:color="auto"/>
              <w:right w:val="single" w:sz="4" w:space="0" w:color="auto"/>
            </w:tcBorders>
            <w:shd w:val="clear" w:color="auto" w:fill="auto"/>
            <w:noWrap/>
            <w:vAlign w:val="bottom"/>
            <w:hideMark/>
          </w:tcPr>
          <w:p w14:paraId="77109F9B"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8,026,304 </w:t>
            </w:r>
          </w:p>
        </w:tc>
      </w:tr>
      <w:tr w:rsidR="000402B5" w:rsidRPr="00745799" w14:paraId="72DD8F33"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3ABCD7AE"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7</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79AB13A9"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A</w:t>
            </w:r>
          </w:p>
        </w:tc>
        <w:tc>
          <w:tcPr>
            <w:tcW w:w="831" w:type="pct"/>
            <w:tcBorders>
              <w:top w:val="nil"/>
              <w:left w:val="nil"/>
              <w:bottom w:val="single" w:sz="4" w:space="0" w:color="auto"/>
              <w:right w:val="single" w:sz="4" w:space="0" w:color="auto"/>
            </w:tcBorders>
            <w:shd w:val="clear" w:color="auto" w:fill="auto"/>
            <w:noWrap/>
            <w:vAlign w:val="bottom"/>
            <w:hideMark/>
          </w:tcPr>
          <w:p w14:paraId="331E385A"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AMGN60294235 </w:t>
            </w:r>
          </w:p>
        </w:tc>
        <w:tc>
          <w:tcPr>
            <w:tcW w:w="801" w:type="pct"/>
            <w:tcBorders>
              <w:top w:val="nil"/>
              <w:left w:val="nil"/>
              <w:bottom w:val="single" w:sz="4" w:space="0" w:color="auto"/>
              <w:right w:val="single" w:sz="4" w:space="0" w:color="auto"/>
            </w:tcBorders>
            <w:shd w:val="clear" w:color="auto" w:fill="auto"/>
            <w:noWrap/>
            <w:vAlign w:val="bottom"/>
            <w:hideMark/>
          </w:tcPr>
          <w:p w14:paraId="29649536"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6,000,000 </w:t>
            </w:r>
          </w:p>
        </w:tc>
        <w:tc>
          <w:tcPr>
            <w:tcW w:w="715" w:type="pct"/>
            <w:tcBorders>
              <w:top w:val="nil"/>
              <w:left w:val="nil"/>
              <w:bottom w:val="single" w:sz="4" w:space="0" w:color="auto"/>
              <w:right w:val="single" w:sz="4" w:space="0" w:color="auto"/>
            </w:tcBorders>
            <w:shd w:val="clear" w:color="auto" w:fill="auto"/>
            <w:noWrap/>
            <w:vAlign w:val="bottom"/>
            <w:hideMark/>
          </w:tcPr>
          <w:p w14:paraId="12BCFB28"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6,000,000 </w:t>
            </w:r>
          </w:p>
        </w:tc>
        <w:tc>
          <w:tcPr>
            <w:tcW w:w="600" w:type="pct"/>
            <w:tcBorders>
              <w:top w:val="nil"/>
              <w:left w:val="nil"/>
              <w:bottom w:val="single" w:sz="4" w:space="0" w:color="auto"/>
              <w:right w:val="single" w:sz="4" w:space="0" w:color="auto"/>
            </w:tcBorders>
            <w:shd w:val="clear" w:color="auto" w:fill="auto"/>
            <w:noWrap/>
            <w:vAlign w:val="bottom"/>
            <w:hideMark/>
          </w:tcPr>
          <w:p w14:paraId="76FBEC65"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7.5850%</w:t>
            </w:r>
          </w:p>
        </w:tc>
        <w:tc>
          <w:tcPr>
            <w:tcW w:w="667" w:type="pct"/>
            <w:tcBorders>
              <w:top w:val="nil"/>
              <w:left w:val="nil"/>
              <w:bottom w:val="single" w:sz="4" w:space="0" w:color="auto"/>
              <w:right w:val="single" w:sz="4" w:space="0" w:color="auto"/>
            </w:tcBorders>
            <w:shd w:val="clear" w:color="auto" w:fill="auto"/>
            <w:noWrap/>
            <w:vAlign w:val="bottom"/>
            <w:hideMark/>
          </w:tcPr>
          <w:p w14:paraId="39A8C7BE"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100.3440%</w:t>
            </w:r>
          </w:p>
        </w:tc>
        <w:tc>
          <w:tcPr>
            <w:tcW w:w="601" w:type="pct"/>
            <w:tcBorders>
              <w:top w:val="nil"/>
              <w:left w:val="nil"/>
              <w:bottom w:val="single" w:sz="4" w:space="0" w:color="auto"/>
              <w:right w:val="single" w:sz="4" w:space="0" w:color="auto"/>
            </w:tcBorders>
            <w:shd w:val="clear" w:color="auto" w:fill="auto"/>
            <w:noWrap/>
            <w:vAlign w:val="bottom"/>
            <w:hideMark/>
          </w:tcPr>
          <w:p w14:paraId="1B0390FA"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6,020,640 </w:t>
            </w:r>
          </w:p>
        </w:tc>
      </w:tr>
      <w:tr w:rsidR="000402B5" w:rsidRPr="00745799" w14:paraId="0ABFB15A"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38CB8333"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8</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7275161D"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w:t>
            </w:r>
          </w:p>
        </w:tc>
        <w:tc>
          <w:tcPr>
            <w:tcW w:w="831" w:type="pct"/>
            <w:tcBorders>
              <w:top w:val="nil"/>
              <w:left w:val="nil"/>
              <w:bottom w:val="single" w:sz="4" w:space="0" w:color="auto"/>
              <w:right w:val="single" w:sz="4" w:space="0" w:color="auto"/>
            </w:tcBorders>
            <w:shd w:val="clear" w:color="auto" w:fill="auto"/>
            <w:noWrap/>
            <w:vAlign w:val="bottom"/>
            <w:hideMark/>
          </w:tcPr>
          <w:p w14:paraId="10DE4788"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AMGB20072287 </w:t>
            </w:r>
          </w:p>
        </w:tc>
        <w:tc>
          <w:tcPr>
            <w:tcW w:w="801" w:type="pct"/>
            <w:tcBorders>
              <w:top w:val="nil"/>
              <w:left w:val="nil"/>
              <w:bottom w:val="single" w:sz="4" w:space="0" w:color="auto"/>
              <w:right w:val="single" w:sz="4" w:space="0" w:color="auto"/>
            </w:tcBorders>
            <w:shd w:val="clear" w:color="auto" w:fill="auto"/>
            <w:noWrap/>
            <w:vAlign w:val="bottom"/>
            <w:hideMark/>
          </w:tcPr>
          <w:p w14:paraId="3A6ADC96"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12,000,000 </w:t>
            </w:r>
          </w:p>
        </w:tc>
        <w:tc>
          <w:tcPr>
            <w:tcW w:w="715" w:type="pct"/>
            <w:tcBorders>
              <w:top w:val="nil"/>
              <w:left w:val="nil"/>
              <w:bottom w:val="single" w:sz="4" w:space="0" w:color="auto"/>
              <w:right w:val="single" w:sz="4" w:space="0" w:color="auto"/>
            </w:tcBorders>
            <w:shd w:val="clear" w:color="auto" w:fill="auto"/>
            <w:noWrap/>
            <w:vAlign w:val="bottom"/>
            <w:hideMark/>
          </w:tcPr>
          <w:p w14:paraId="309D3877"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10,000,000 </w:t>
            </w:r>
          </w:p>
        </w:tc>
        <w:tc>
          <w:tcPr>
            <w:tcW w:w="600" w:type="pct"/>
            <w:tcBorders>
              <w:top w:val="nil"/>
              <w:left w:val="nil"/>
              <w:bottom w:val="single" w:sz="4" w:space="0" w:color="auto"/>
              <w:right w:val="single" w:sz="4" w:space="0" w:color="auto"/>
            </w:tcBorders>
            <w:shd w:val="clear" w:color="auto" w:fill="auto"/>
            <w:noWrap/>
            <w:vAlign w:val="bottom"/>
            <w:hideMark/>
          </w:tcPr>
          <w:p w14:paraId="1A8BFC22"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7.5800%</w:t>
            </w:r>
          </w:p>
        </w:tc>
        <w:tc>
          <w:tcPr>
            <w:tcW w:w="667" w:type="pct"/>
            <w:tcBorders>
              <w:top w:val="nil"/>
              <w:left w:val="nil"/>
              <w:bottom w:val="single" w:sz="4" w:space="0" w:color="auto"/>
              <w:right w:val="single" w:sz="4" w:space="0" w:color="auto"/>
            </w:tcBorders>
            <w:shd w:val="clear" w:color="auto" w:fill="auto"/>
            <w:noWrap/>
            <w:vAlign w:val="bottom"/>
            <w:hideMark/>
          </w:tcPr>
          <w:p w14:paraId="07546219"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100.3482%</w:t>
            </w:r>
          </w:p>
        </w:tc>
        <w:tc>
          <w:tcPr>
            <w:tcW w:w="601" w:type="pct"/>
            <w:tcBorders>
              <w:top w:val="nil"/>
              <w:left w:val="nil"/>
              <w:bottom w:val="single" w:sz="4" w:space="0" w:color="auto"/>
              <w:right w:val="single" w:sz="4" w:space="0" w:color="auto"/>
            </w:tcBorders>
            <w:shd w:val="clear" w:color="auto" w:fill="auto"/>
            <w:noWrap/>
            <w:vAlign w:val="bottom"/>
            <w:hideMark/>
          </w:tcPr>
          <w:p w14:paraId="4B43FFF8"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10,034,820 </w:t>
            </w:r>
          </w:p>
        </w:tc>
      </w:tr>
      <w:tr w:rsidR="000402B5" w:rsidRPr="00745799" w14:paraId="47B0A554" w14:textId="77777777" w:rsidTr="000402B5">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77037E84"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9</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5C199054"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C</w:t>
            </w:r>
          </w:p>
        </w:tc>
        <w:tc>
          <w:tcPr>
            <w:tcW w:w="831" w:type="pct"/>
            <w:tcBorders>
              <w:top w:val="nil"/>
              <w:left w:val="nil"/>
              <w:bottom w:val="single" w:sz="4" w:space="0" w:color="auto"/>
              <w:right w:val="single" w:sz="4" w:space="0" w:color="auto"/>
            </w:tcBorders>
            <w:shd w:val="clear" w:color="auto" w:fill="auto"/>
            <w:noWrap/>
            <w:vAlign w:val="bottom"/>
            <w:hideMark/>
          </w:tcPr>
          <w:p w14:paraId="5BC2C274"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AMGN60294235 </w:t>
            </w:r>
          </w:p>
        </w:tc>
        <w:tc>
          <w:tcPr>
            <w:tcW w:w="801" w:type="pct"/>
            <w:tcBorders>
              <w:top w:val="nil"/>
              <w:left w:val="nil"/>
              <w:bottom w:val="single" w:sz="4" w:space="0" w:color="auto"/>
              <w:right w:val="single" w:sz="4" w:space="0" w:color="auto"/>
            </w:tcBorders>
            <w:shd w:val="clear" w:color="auto" w:fill="auto"/>
            <w:noWrap/>
            <w:vAlign w:val="bottom"/>
            <w:hideMark/>
          </w:tcPr>
          <w:p w14:paraId="59AAB11C"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5,000,000 </w:t>
            </w:r>
          </w:p>
        </w:tc>
        <w:tc>
          <w:tcPr>
            <w:tcW w:w="715" w:type="pct"/>
            <w:tcBorders>
              <w:top w:val="nil"/>
              <w:left w:val="nil"/>
              <w:bottom w:val="single" w:sz="4" w:space="0" w:color="auto"/>
              <w:right w:val="single" w:sz="4" w:space="0" w:color="auto"/>
            </w:tcBorders>
            <w:shd w:val="clear" w:color="auto" w:fill="auto"/>
            <w:noWrap/>
            <w:vAlign w:val="bottom"/>
            <w:hideMark/>
          </w:tcPr>
          <w:p w14:paraId="04595844"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   </w:t>
            </w:r>
          </w:p>
        </w:tc>
        <w:tc>
          <w:tcPr>
            <w:tcW w:w="600" w:type="pct"/>
            <w:tcBorders>
              <w:top w:val="nil"/>
              <w:left w:val="nil"/>
              <w:bottom w:val="single" w:sz="4" w:space="0" w:color="auto"/>
              <w:right w:val="single" w:sz="4" w:space="0" w:color="auto"/>
            </w:tcBorders>
            <w:shd w:val="clear" w:color="auto" w:fill="auto"/>
            <w:noWrap/>
            <w:vAlign w:val="bottom"/>
            <w:hideMark/>
          </w:tcPr>
          <w:p w14:paraId="729BDB0D"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7.5580%</w:t>
            </w:r>
          </w:p>
        </w:tc>
        <w:tc>
          <w:tcPr>
            <w:tcW w:w="667" w:type="pct"/>
            <w:tcBorders>
              <w:top w:val="nil"/>
              <w:left w:val="nil"/>
              <w:bottom w:val="single" w:sz="4" w:space="0" w:color="auto"/>
              <w:right w:val="single" w:sz="4" w:space="0" w:color="auto"/>
            </w:tcBorders>
            <w:shd w:val="clear" w:color="auto" w:fill="auto"/>
            <w:noWrap/>
            <w:vAlign w:val="bottom"/>
            <w:hideMark/>
          </w:tcPr>
          <w:p w14:paraId="602F8452"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100.3667%</w:t>
            </w:r>
          </w:p>
        </w:tc>
        <w:tc>
          <w:tcPr>
            <w:tcW w:w="601" w:type="pct"/>
            <w:tcBorders>
              <w:top w:val="nil"/>
              <w:left w:val="nil"/>
              <w:bottom w:val="single" w:sz="4" w:space="0" w:color="auto"/>
              <w:right w:val="single" w:sz="4" w:space="0" w:color="auto"/>
            </w:tcBorders>
            <w:shd w:val="clear" w:color="auto" w:fill="auto"/>
            <w:noWrap/>
            <w:vAlign w:val="bottom"/>
            <w:hideMark/>
          </w:tcPr>
          <w:p w14:paraId="19F42EB5"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   </w:t>
            </w:r>
          </w:p>
        </w:tc>
      </w:tr>
      <w:tr w:rsidR="000402B5" w:rsidRPr="00745799" w14:paraId="7C8DE4C3" w14:textId="77777777" w:rsidTr="00A44D61">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5EC35D9B"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10</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7EAF833"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w:t>
            </w:r>
          </w:p>
        </w:tc>
        <w:tc>
          <w:tcPr>
            <w:tcW w:w="831" w:type="pct"/>
            <w:tcBorders>
              <w:top w:val="nil"/>
              <w:left w:val="nil"/>
              <w:bottom w:val="single" w:sz="4" w:space="0" w:color="auto"/>
              <w:right w:val="single" w:sz="4" w:space="0" w:color="auto"/>
            </w:tcBorders>
            <w:shd w:val="clear" w:color="auto" w:fill="auto"/>
            <w:noWrap/>
            <w:vAlign w:val="bottom"/>
            <w:hideMark/>
          </w:tcPr>
          <w:p w14:paraId="5C407DCA" w14:textId="77777777" w:rsidR="00745799" w:rsidRPr="00745799" w:rsidRDefault="00745799" w:rsidP="00745799">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AMGB30163472 </w:t>
            </w:r>
          </w:p>
        </w:tc>
        <w:tc>
          <w:tcPr>
            <w:tcW w:w="801" w:type="pct"/>
            <w:tcBorders>
              <w:top w:val="nil"/>
              <w:left w:val="nil"/>
              <w:bottom w:val="single" w:sz="4" w:space="0" w:color="auto"/>
              <w:right w:val="single" w:sz="4" w:space="0" w:color="auto"/>
            </w:tcBorders>
            <w:shd w:val="clear" w:color="auto" w:fill="auto"/>
            <w:noWrap/>
            <w:vAlign w:val="bottom"/>
            <w:hideMark/>
          </w:tcPr>
          <w:p w14:paraId="3126903E"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10,000,000 </w:t>
            </w:r>
          </w:p>
        </w:tc>
        <w:tc>
          <w:tcPr>
            <w:tcW w:w="715" w:type="pct"/>
            <w:tcBorders>
              <w:top w:val="nil"/>
              <w:left w:val="nil"/>
              <w:bottom w:val="single" w:sz="4" w:space="0" w:color="auto"/>
              <w:right w:val="single" w:sz="4" w:space="0" w:color="auto"/>
            </w:tcBorders>
            <w:shd w:val="clear" w:color="auto" w:fill="auto"/>
            <w:noWrap/>
            <w:vAlign w:val="bottom"/>
            <w:hideMark/>
          </w:tcPr>
          <w:p w14:paraId="2F78568B"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   </w:t>
            </w:r>
          </w:p>
        </w:tc>
        <w:tc>
          <w:tcPr>
            <w:tcW w:w="600" w:type="pct"/>
            <w:tcBorders>
              <w:top w:val="nil"/>
              <w:left w:val="nil"/>
              <w:bottom w:val="single" w:sz="4" w:space="0" w:color="auto"/>
              <w:right w:val="single" w:sz="4" w:space="0" w:color="auto"/>
            </w:tcBorders>
            <w:shd w:val="clear" w:color="auto" w:fill="auto"/>
            <w:noWrap/>
            <w:vAlign w:val="bottom"/>
            <w:hideMark/>
          </w:tcPr>
          <w:p w14:paraId="369CD8EE"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7.5500%</w:t>
            </w:r>
          </w:p>
        </w:tc>
        <w:tc>
          <w:tcPr>
            <w:tcW w:w="667" w:type="pct"/>
            <w:tcBorders>
              <w:top w:val="nil"/>
              <w:left w:val="nil"/>
              <w:bottom w:val="single" w:sz="4" w:space="0" w:color="auto"/>
              <w:right w:val="single" w:sz="4" w:space="0" w:color="auto"/>
            </w:tcBorders>
            <w:shd w:val="clear" w:color="auto" w:fill="auto"/>
            <w:noWrap/>
            <w:vAlign w:val="bottom"/>
            <w:hideMark/>
          </w:tcPr>
          <w:p w14:paraId="3A3AF269"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100.3735%</w:t>
            </w:r>
          </w:p>
        </w:tc>
        <w:tc>
          <w:tcPr>
            <w:tcW w:w="601" w:type="pct"/>
            <w:tcBorders>
              <w:top w:val="nil"/>
              <w:left w:val="nil"/>
              <w:bottom w:val="single" w:sz="4" w:space="0" w:color="auto"/>
              <w:right w:val="single" w:sz="4" w:space="0" w:color="auto"/>
            </w:tcBorders>
            <w:shd w:val="clear" w:color="auto" w:fill="auto"/>
            <w:noWrap/>
            <w:vAlign w:val="bottom"/>
            <w:hideMark/>
          </w:tcPr>
          <w:p w14:paraId="027278B8" w14:textId="77777777" w:rsidR="00745799" w:rsidRPr="00745799" w:rsidRDefault="00745799" w:rsidP="00745799">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 xml:space="preserve">                          -   </w:t>
            </w:r>
          </w:p>
        </w:tc>
      </w:tr>
      <w:tr w:rsidR="000402B5" w:rsidRPr="00745799" w14:paraId="231D4FFE" w14:textId="77777777" w:rsidTr="00A44D61">
        <w:trPr>
          <w:trHeight w:val="300"/>
        </w:trPr>
        <w:tc>
          <w:tcPr>
            <w:tcW w:w="40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6A8DF657" w14:textId="2E0C3F6C" w:rsidR="00745799" w:rsidRPr="00745799" w:rsidRDefault="000402B5" w:rsidP="00745799">
            <w:pPr>
              <w:jc w:val="right"/>
              <w:rPr>
                <w:rFonts w:ascii="Calibri" w:eastAsia="Times New Roman" w:hAnsi="Calibri" w:cs="Calibri"/>
                <w:color w:val="000000"/>
                <w:lang w:eastAsia="en-US"/>
              </w:rPr>
            </w:pPr>
            <w:r>
              <w:rPr>
                <w:rFonts w:ascii="Calibri" w:eastAsia="Times New Roman" w:hAnsi="Calibri" w:cs="Calibri"/>
                <w:color w:val="000000"/>
                <w:lang w:eastAsia="en-US"/>
              </w:rPr>
              <w:t>Total</w:t>
            </w:r>
          </w:p>
        </w:tc>
        <w:tc>
          <w:tcPr>
            <w:tcW w:w="379"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63304EEE" w14:textId="77777777" w:rsidR="00745799" w:rsidRPr="00745799" w:rsidRDefault="00745799" w:rsidP="00745799">
            <w:pPr>
              <w:rPr>
                <w:rFonts w:ascii="Times New Roman" w:eastAsia="Times New Roman" w:hAnsi="Times New Roman" w:cs="Times New Roman"/>
                <w:sz w:val="20"/>
                <w:szCs w:val="20"/>
                <w:lang w:eastAsia="en-US"/>
              </w:rPr>
            </w:pPr>
          </w:p>
        </w:tc>
        <w:tc>
          <w:tcPr>
            <w:tcW w:w="831" w:type="pct"/>
            <w:tcBorders>
              <w:top w:val="single" w:sz="4" w:space="0" w:color="auto"/>
              <w:left w:val="nil"/>
              <w:bottom w:val="single" w:sz="4" w:space="0" w:color="auto"/>
              <w:right w:val="nil"/>
            </w:tcBorders>
            <w:shd w:val="clear" w:color="auto" w:fill="FABF8F" w:themeFill="accent6" w:themeFillTint="99"/>
            <w:noWrap/>
            <w:vAlign w:val="bottom"/>
            <w:hideMark/>
          </w:tcPr>
          <w:p w14:paraId="4F50ECCE" w14:textId="77777777" w:rsidR="00745799" w:rsidRPr="00745799" w:rsidRDefault="00745799" w:rsidP="00745799">
            <w:pPr>
              <w:rPr>
                <w:rFonts w:ascii="Times New Roman" w:eastAsia="Times New Roman" w:hAnsi="Times New Roman" w:cs="Times New Roman"/>
                <w:sz w:val="20"/>
                <w:szCs w:val="20"/>
                <w:lang w:eastAsia="en-US"/>
              </w:rPr>
            </w:pPr>
          </w:p>
        </w:tc>
        <w:tc>
          <w:tcPr>
            <w:tcW w:w="801" w:type="pct"/>
            <w:tcBorders>
              <w:top w:val="single" w:sz="4" w:space="0" w:color="auto"/>
              <w:left w:val="nil"/>
              <w:bottom w:val="single" w:sz="4" w:space="0" w:color="auto"/>
              <w:right w:val="nil"/>
            </w:tcBorders>
            <w:shd w:val="clear" w:color="auto" w:fill="FABF8F" w:themeFill="accent6" w:themeFillTint="99"/>
            <w:noWrap/>
            <w:vAlign w:val="bottom"/>
            <w:hideMark/>
          </w:tcPr>
          <w:p w14:paraId="6E998DB3" w14:textId="77777777" w:rsidR="00745799" w:rsidRPr="00745799" w:rsidRDefault="00745799" w:rsidP="00745799">
            <w:pPr>
              <w:rPr>
                <w:rFonts w:ascii="Times New Roman" w:eastAsia="Times New Roman" w:hAnsi="Times New Roman" w:cs="Times New Roman"/>
                <w:sz w:val="20"/>
                <w:szCs w:val="20"/>
                <w:lang w:eastAsia="en-US"/>
              </w:rPr>
            </w:pPr>
          </w:p>
        </w:tc>
        <w:tc>
          <w:tcPr>
            <w:tcW w:w="71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13DDF754" w14:textId="77777777" w:rsidR="00745799" w:rsidRPr="00745799" w:rsidRDefault="00745799" w:rsidP="00745799">
            <w:pPr>
              <w:jc w:val="right"/>
              <w:rPr>
                <w:rFonts w:ascii="Calibri" w:eastAsia="Times New Roman" w:hAnsi="Calibri" w:cs="Calibri"/>
                <w:b/>
                <w:bCs/>
                <w:color w:val="000000"/>
                <w:lang w:eastAsia="en-US"/>
              </w:rPr>
            </w:pPr>
            <w:r w:rsidRPr="00745799">
              <w:rPr>
                <w:rFonts w:ascii="Calibri" w:eastAsia="Times New Roman" w:hAnsi="Calibri" w:cs="Calibri"/>
                <w:b/>
                <w:bCs/>
                <w:color w:val="000000"/>
                <w:lang w:eastAsia="en-US"/>
              </w:rPr>
              <w:t xml:space="preserve">                    60,000,000 </w:t>
            </w:r>
          </w:p>
        </w:tc>
        <w:tc>
          <w:tcPr>
            <w:tcW w:w="600" w:type="pct"/>
            <w:tcBorders>
              <w:top w:val="single" w:sz="4" w:space="0" w:color="auto"/>
              <w:left w:val="nil"/>
              <w:bottom w:val="single" w:sz="4" w:space="0" w:color="auto"/>
              <w:right w:val="nil"/>
            </w:tcBorders>
            <w:shd w:val="clear" w:color="auto" w:fill="FABF8F" w:themeFill="accent6" w:themeFillTint="99"/>
            <w:noWrap/>
            <w:vAlign w:val="bottom"/>
            <w:hideMark/>
          </w:tcPr>
          <w:p w14:paraId="45660930" w14:textId="77777777" w:rsidR="00745799" w:rsidRPr="00745799" w:rsidRDefault="00745799" w:rsidP="00745799">
            <w:pPr>
              <w:jc w:val="right"/>
              <w:rPr>
                <w:rFonts w:ascii="Calibri" w:eastAsia="Times New Roman" w:hAnsi="Calibri" w:cs="Calibri"/>
                <w:b/>
                <w:bCs/>
                <w:color w:val="000000"/>
                <w:lang w:eastAsia="en-US"/>
              </w:rPr>
            </w:pPr>
          </w:p>
        </w:tc>
        <w:tc>
          <w:tcPr>
            <w:tcW w:w="667"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67B4EB3" w14:textId="77777777" w:rsidR="00745799" w:rsidRPr="00745799" w:rsidRDefault="00745799" w:rsidP="00745799">
            <w:pPr>
              <w:rPr>
                <w:rFonts w:ascii="Times New Roman" w:eastAsia="Times New Roman" w:hAnsi="Times New Roman" w:cs="Times New Roman"/>
                <w:sz w:val="20"/>
                <w:szCs w:val="20"/>
                <w:lang w:eastAsia="en-US"/>
              </w:rPr>
            </w:pPr>
          </w:p>
        </w:tc>
        <w:tc>
          <w:tcPr>
            <w:tcW w:w="60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7387282E" w14:textId="77777777" w:rsidR="00745799" w:rsidRPr="00745799" w:rsidRDefault="00745799" w:rsidP="00745799">
            <w:pPr>
              <w:rPr>
                <w:rFonts w:ascii="Calibri" w:eastAsia="Times New Roman" w:hAnsi="Calibri" w:cs="Calibri"/>
                <w:b/>
                <w:bCs/>
                <w:color w:val="000000"/>
                <w:lang w:eastAsia="en-US"/>
              </w:rPr>
            </w:pPr>
            <w:r w:rsidRPr="00745799">
              <w:rPr>
                <w:rFonts w:ascii="Calibri" w:eastAsia="Times New Roman" w:hAnsi="Calibri" w:cs="Calibri"/>
                <w:b/>
                <w:bCs/>
                <w:color w:val="000000"/>
                <w:lang w:eastAsia="en-US"/>
              </w:rPr>
              <w:t xml:space="preserve">        60,196,330 </w:t>
            </w:r>
          </w:p>
        </w:tc>
      </w:tr>
    </w:tbl>
    <w:p w14:paraId="7D025BCC" w14:textId="77777777" w:rsidR="00B373FE" w:rsidRDefault="00B373FE" w:rsidP="00B373FE">
      <w:pPr>
        <w:autoSpaceDE w:val="0"/>
        <w:autoSpaceDN w:val="0"/>
        <w:adjustRightInd w:val="0"/>
        <w:ind w:left="720" w:hanging="720"/>
        <w:jc w:val="both"/>
      </w:pPr>
    </w:p>
    <w:p w14:paraId="7A435584" w14:textId="6DF0D968" w:rsidR="003F011A" w:rsidRDefault="00305D0F" w:rsidP="00305D0F">
      <w:pPr>
        <w:autoSpaceDE w:val="0"/>
        <w:autoSpaceDN w:val="0"/>
        <w:adjustRightInd w:val="0"/>
        <w:ind w:left="720" w:hanging="720"/>
        <w:jc w:val="both"/>
        <w:rPr>
          <w:rFonts w:asciiTheme="majorHAnsi" w:hAnsiTheme="majorHAnsi" w:cstheme="majorHAnsi"/>
        </w:rPr>
      </w:pPr>
      <w:r>
        <w:rPr>
          <w:rFonts w:asciiTheme="majorHAnsi" w:hAnsiTheme="majorHAnsi" w:cstheme="majorHAnsi"/>
        </w:rPr>
        <w:t>26.5</w:t>
      </w:r>
      <w:r>
        <w:rPr>
          <w:rFonts w:asciiTheme="majorHAnsi" w:hAnsiTheme="majorHAnsi" w:cstheme="majorHAnsi"/>
        </w:rPr>
        <w:tab/>
      </w:r>
      <w:r w:rsidR="003F011A">
        <w:rPr>
          <w:rFonts w:asciiTheme="majorHAnsi" w:hAnsiTheme="majorHAnsi" w:cstheme="majorHAnsi"/>
        </w:rPr>
        <w:t xml:space="preserve">Table 4(b) indicates the </w:t>
      </w:r>
      <w:r w:rsidR="002D01FB">
        <w:rPr>
          <w:rFonts w:asciiTheme="majorHAnsi" w:hAnsiTheme="majorHAnsi" w:cstheme="majorHAnsi"/>
        </w:rPr>
        <w:t>in</w:t>
      </w:r>
      <w:r w:rsidR="00B22E21">
        <w:rPr>
          <w:rFonts w:asciiTheme="majorHAnsi" w:hAnsiTheme="majorHAnsi" w:cstheme="majorHAnsi"/>
        </w:rPr>
        <w:t>itial</w:t>
      </w:r>
      <w:r w:rsidR="002D01FB">
        <w:rPr>
          <w:rFonts w:asciiTheme="majorHAnsi" w:hAnsiTheme="majorHAnsi" w:cstheme="majorHAnsi"/>
        </w:rPr>
        <w:t xml:space="preserve"> </w:t>
      </w:r>
      <w:r w:rsidR="003F011A">
        <w:rPr>
          <w:rFonts w:asciiTheme="majorHAnsi" w:hAnsiTheme="majorHAnsi" w:cstheme="majorHAnsi"/>
        </w:rPr>
        <w:t>allocation of the destination bonds for successful bidders on the first source bond, based on investor preferences for bidding.</w:t>
      </w:r>
    </w:p>
    <w:p w14:paraId="7336161B" w14:textId="77777777" w:rsidR="003F011A" w:rsidRDefault="003F011A" w:rsidP="003F011A">
      <w:pPr>
        <w:autoSpaceDE w:val="0"/>
        <w:autoSpaceDN w:val="0"/>
        <w:adjustRightInd w:val="0"/>
        <w:ind w:left="720" w:hanging="720"/>
        <w:jc w:val="both"/>
        <w:rPr>
          <w:rFonts w:asciiTheme="majorHAnsi" w:hAnsiTheme="majorHAnsi" w:cstheme="majorHAnsi"/>
        </w:rPr>
      </w:pPr>
    </w:p>
    <w:tbl>
      <w:tblPr>
        <w:tblW w:w="9357" w:type="dxa"/>
        <w:tblLook w:val="04A0" w:firstRow="1" w:lastRow="0" w:firstColumn="1" w:lastColumn="0" w:noHBand="0" w:noVBand="1"/>
      </w:tblPr>
      <w:tblGrid>
        <w:gridCol w:w="2080"/>
        <w:gridCol w:w="1840"/>
        <w:gridCol w:w="1698"/>
        <w:gridCol w:w="1719"/>
        <w:gridCol w:w="2020"/>
      </w:tblGrid>
      <w:tr w:rsidR="002D01FB" w:rsidRPr="003F011A" w14:paraId="01134FD8" w14:textId="77777777" w:rsidTr="00A44D61">
        <w:trPr>
          <w:trHeight w:val="300"/>
        </w:trPr>
        <w:tc>
          <w:tcPr>
            <w:tcW w:w="9357" w:type="dxa"/>
            <w:gridSpan w:val="5"/>
            <w:tcBorders>
              <w:top w:val="nil"/>
              <w:left w:val="nil"/>
              <w:bottom w:val="single" w:sz="4" w:space="0" w:color="auto"/>
              <w:right w:val="nil"/>
            </w:tcBorders>
            <w:shd w:val="clear" w:color="auto" w:fill="auto"/>
            <w:noWrap/>
            <w:vAlign w:val="bottom"/>
          </w:tcPr>
          <w:p w14:paraId="629173C6" w14:textId="16512B24" w:rsidR="002D01FB" w:rsidRPr="003F011A" w:rsidRDefault="003F011A" w:rsidP="003F011A">
            <w:pPr>
              <w:rPr>
                <w:rFonts w:ascii="Calibri" w:eastAsia="Times New Roman" w:hAnsi="Calibri" w:cs="Calibri"/>
                <w:color w:val="000000"/>
                <w:lang w:eastAsia="en-US"/>
              </w:rPr>
            </w:pPr>
            <w:r>
              <w:rPr>
                <w:rFonts w:asciiTheme="majorHAnsi" w:hAnsiTheme="majorHAnsi" w:cstheme="majorHAnsi"/>
              </w:rPr>
              <w:t xml:space="preserve"> </w:t>
            </w:r>
            <w:r w:rsidR="002D01FB">
              <w:rPr>
                <w:rFonts w:ascii="Calibri" w:eastAsia="Times New Roman" w:hAnsi="Calibri" w:cs="Calibri"/>
                <w:color w:val="000000"/>
                <w:lang w:eastAsia="en-US"/>
              </w:rPr>
              <w:t>Table 4(b): Allocation of Destination Bonds for Bidding on First Source Bond (</w:t>
            </w:r>
            <w:r w:rsidR="002D01FB" w:rsidRPr="00641E7A">
              <w:rPr>
                <w:rFonts w:ascii="Calibri" w:eastAsia="Times New Roman" w:hAnsi="Calibri" w:cs="Calibri"/>
                <w:bCs/>
                <w:color w:val="000000"/>
                <w:lang w:eastAsia="en-US"/>
              </w:rPr>
              <w:t>AMGN60294193</w:t>
            </w:r>
            <w:r w:rsidR="002D01FB">
              <w:rPr>
                <w:rFonts w:ascii="Calibri" w:eastAsia="Times New Roman" w:hAnsi="Calibri" w:cs="Calibri"/>
                <w:bCs/>
                <w:color w:val="000000"/>
                <w:lang w:eastAsia="en-US"/>
              </w:rPr>
              <w:t>)</w:t>
            </w:r>
            <w:r w:rsidR="002D01FB">
              <w:rPr>
                <w:rFonts w:ascii="Calibri" w:eastAsia="Times New Roman" w:hAnsi="Calibri" w:cs="Calibri"/>
                <w:color w:val="000000"/>
                <w:lang w:eastAsia="en-US"/>
              </w:rPr>
              <w:t xml:space="preserve"> </w:t>
            </w:r>
          </w:p>
        </w:tc>
      </w:tr>
      <w:tr w:rsidR="002D01FB" w:rsidRPr="003F011A" w14:paraId="30D338AE" w14:textId="77777777" w:rsidTr="00A44D61">
        <w:trPr>
          <w:trHeight w:val="300"/>
        </w:trPr>
        <w:tc>
          <w:tcPr>
            <w:tcW w:w="2080" w:type="dxa"/>
            <w:vMerge w:val="restart"/>
            <w:tcBorders>
              <w:top w:val="single" w:sz="4" w:space="0" w:color="auto"/>
              <w:left w:val="single" w:sz="4" w:space="0" w:color="auto"/>
              <w:right w:val="single" w:sz="4" w:space="0" w:color="auto"/>
            </w:tcBorders>
            <w:shd w:val="clear" w:color="auto" w:fill="auto"/>
            <w:noWrap/>
            <w:vAlign w:val="bottom"/>
          </w:tcPr>
          <w:p w14:paraId="0952EBAC" w14:textId="45A12492" w:rsidR="002D01FB" w:rsidRDefault="002D01FB" w:rsidP="003F011A">
            <w:pPr>
              <w:rPr>
                <w:rFonts w:ascii="Calibri" w:eastAsia="Times New Roman" w:hAnsi="Calibri" w:cs="Calibri"/>
                <w:b/>
                <w:bCs/>
                <w:color w:val="000000"/>
                <w:lang w:eastAsia="en-US"/>
              </w:rPr>
            </w:pPr>
            <w:r>
              <w:rPr>
                <w:rFonts w:ascii="Calibri" w:eastAsia="Times New Roman" w:hAnsi="Calibri" w:cs="Calibri"/>
                <w:b/>
                <w:bCs/>
                <w:color w:val="000000"/>
                <w:lang w:eastAsia="en-US"/>
              </w:rPr>
              <w:t>Bidders</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0F238B" w14:textId="55ADF511" w:rsidR="002D01FB" w:rsidRPr="003F011A" w:rsidRDefault="002D01FB" w:rsidP="003F011A">
            <w:pPr>
              <w:rPr>
                <w:rFonts w:ascii="Calibri" w:eastAsia="Times New Roman" w:hAnsi="Calibri" w:cs="Calibri"/>
                <w:color w:val="000000"/>
                <w:lang w:eastAsia="en-US"/>
              </w:rPr>
            </w:pPr>
            <w:r>
              <w:rPr>
                <w:rFonts w:ascii="Calibri" w:eastAsia="Times New Roman" w:hAnsi="Calibri" w:cs="Calibri"/>
                <w:color w:val="000000"/>
                <w:lang w:eastAsia="en-US"/>
              </w:rPr>
              <w:t>Destination Bonds</w:t>
            </w:r>
          </w:p>
        </w:tc>
      </w:tr>
      <w:tr w:rsidR="002D01FB" w:rsidRPr="003F011A" w14:paraId="0E8E241B" w14:textId="77777777" w:rsidTr="00A44D61">
        <w:trPr>
          <w:trHeight w:val="300"/>
        </w:trPr>
        <w:tc>
          <w:tcPr>
            <w:tcW w:w="2080" w:type="dxa"/>
            <w:vMerge/>
            <w:tcBorders>
              <w:left w:val="single" w:sz="4" w:space="0" w:color="auto"/>
              <w:bottom w:val="single" w:sz="4" w:space="0" w:color="auto"/>
              <w:right w:val="single" w:sz="4" w:space="0" w:color="auto"/>
            </w:tcBorders>
            <w:shd w:val="clear" w:color="auto" w:fill="auto"/>
            <w:noWrap/>
            <w:vAlign w:val="bottom"/>
            <w:hideMark/>
          </w:tcPr>
          <w:p w14:paraId="77619036" w14:textId="59EF1FBB" w:rsidR="002D01FB" w:rsidRPr="003F011A" w:rsidRDefault="002D01FB" w:rsidP="003F011A">
            <w:pPr>
              <w:rPr>
                <w:rFonts w:ascii="Calibri" w:eastAsia="Times New Roman" w:hAnsi="Calibri" w:cs="Calibri"/>
                <w:b/>
                <w:bCs/>
                <w:color w:val="000000"/>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65D07" w14:textId="77777777" w:rsidR="002D01FB" w:rsidRPr="003F011A" w:rsidRDefault="002D01FB" w:rsidP="003F011A">
            <w:pPr>
              <w:rPr>
                <w:rFonts w:ascii="Calibri" w:eastAsia="Times New Roman" w:hAnsi="Calibri" w:cs="Calibri"/>
                <w:b/>
                <w:bCs/>
                <w:color w:val="000000"/>
                <w:lang w:eastAsia="en-US"/>
              </w:rPr>
            </w:pPr>
            <w:r w:rsidRPr="003F011A">
              <w:rPr>
                <w:rFonts w:ascii="Calibri" w:eastAsia="Times New Roman" w:hAnsi="Calibri" w:cs="Calibri"/>
                <w:b/>
                <w:bCs/>
                <w:color w:val="000000"/>
                <w:lang w:eastAsia="en-US"/>
              </w:rPr>
              <w:t>AMGB20072287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BC7A9" w14:textId="77777777" w:rsidR="002D01FB" w:rsidRPr="003F011A" w:rsidRDefault="002D01FB" w:rsidP="003F011A">
            <w:pPr>
              <w:rPr>
                <w:rFonts w:ascii="Calibri" w:eastAsia="Times New Roman" w:hAnsi="Calibri" w:cs="Calibri"/>
                <w:b/>
                <w:bCs/>
                <w:color w:val="000000"/>
                <w:lang w:eastAsia="en-US"/>
              </w:rPr>
            </w:pPr>
            <w:r w:rsidRPr="003F011A">
              <w:rPr>
                <w:rFonts w:ascii="Calibri" w:eastAsia="Times New Roman" w:hAnsi="Calibri" w:cs="Calibri"/>
                <w:b/>
                <w:bCs/>
                <w:color w:val="000000"/>
                <w:lang w:eastAsia="en-US"/>
              </w:rPr>
              <w:t>AMGB30163472</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76A72" w14:textId="77777777" w:rsidR="002D01FB" w:rsidRPr="003F011A" w:rsidRDefault="002D01FB" w:rsidP="003F011A">
            <w:pPr>
              <w:rPr>
                <w:rFonts w:ascii="Calibri" w:eastAsia="Times New Roman" w:hAnsi="Calibri" w:cs="Calibri"/>
                <w:b/>
                <w:bCs/>
                <w:color w:val="000000"/>
                <w:lang w:eastAsia="en-US"/>
              </w:rPr>
            </w:pPr>
            <w:r w:rsidRPr="003F011A">
              <w:rPr>
                <w:rFonts w:ascii="Calibri" w:eastAsia="Times New Roman" w:hAnsi="Calibri" w:cs="Calibri"/>
                <w:b/>
                <w:bCs/>
                <w:color w:val="000000"/>
                <w:lang w:eastAsia="en-US"/>
              </w:rPr>
              <w:t>AMGN60294235</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B7F44" w14:textId="77777777" w:rsidR="002D01FB" w:rsidRPr="003F011A" w:rsidRDefault="002D01FB" w:rsidP="002D01FB">
            <w:pPr>
              <w:jc w:val="center"/>
              <w:rPr>
                <w:rFonts w:ascii="Calibri" w:eastAsia="Times New Roman" w:hAnsi="Calibri" w:cs="Calibri"/>
                <w:b/>
                <w:color w:val="000000"/>
                <w:lang w:eastAsia="en-US"/>
              </w:rPr>
            </w:pPr>
            <w:r w:rsidRPr="003F011A">
              <w:rPr>
                <w:rFonts w:ascii="Calibri" w:eastAsia="Times New Roman" w:hAnsi="Calibri" w:cs="Calibri"/>
                <w:b/>
                <w:color w:val="000000"/>
                <w:lang w:eastAsia="en-US"/>
              </w:rPr>
              <w:t>Total</w:t>
            </w:r>
          </w:p>
        </w:tc>
      </w:tr>
      <w:tr w:rsidR="00A44D61" w:rsidRPr="003F011A" w14:paraId="790327A2" w14:textId="77777777" w:rsidTr="00A44D61">
        <w:trPr>
          <w:trHeight w:val="300"/>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7E0BCF76" w14:textId="77777777" w:rsidR="003F011A" w:rsidRPr="003F011A" w:rsidRDefault="003F011A" w:rsidP="003F011A">
            <w:pPr>
              <w:jc w:val="center"/>
              <w:rPr>
                <w:rFonts w:ascii="Calibri" w:eastAsia="Times New Roman" w:hAnsi="Calibri" w:cs="Calibri"/>
                <w:color w:val="000000"/>
                <w:lang w:eastAsia="en-US"/>
              </w:rPr>
            </w:pPr>
            <w:r w:rsidRPr="003F011A">
              <w:rPr>
                <w:rFonts w:ascii="Calibri" w:eastAsia="Times New Roman" w:hAnsi="Calibri" w:cs="Calibri"/>
                <w:color w:val="000000"/>
                <w:lang w:eastAsia="en-US"/>
              </w:rPr>
              <w:t>A</w:t>
            </w:r>
          </w:p>
        </w:tc>
        <w:tc>
          <w:tcPr>
            <w:tcW w:w="1840" w:type="dxa"/>
            <w:tcBorders>
              <w:top w:val="single" w:sz="4" w:space="0" w:color="auto"/>
              <w:left w:val="single" w:sz="4" w:space="0" w:color="auto"/>
              <w:bottom w:val="nil"/>
              <w:right w:val="single" w:sz="4" w:space="0" w:color="auto"/>
            </w:tcBorders>
            <w:shd w:val="clear" w:color="auto" w:fill="auto"/>
            <w:noWrap/>
            <w:vAlign w:val="bottom"/>
            <w:hideMark/>
          </w:tcPr>
          <w:p w14:paraId="2622CFCA"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1698" w:type="dxa"/>
            <w:tcBorders>
              <w:top w:val="single" w:sz="4" w:space="0" w:color="auto"/>
              <w:left w:val="single" w:sz="4" w:space="0" w:color="auto"/>
              <w:bottom w:val="nil"/>
              <w:right w:val="single" w:sz="4" w:space="0" w:color="auto"/>
            </w:tcBorders>
            <w:shd w:val="clear" w:color="auto" w:fill="auto"/>
            <w:noWrap/>
            <w:vAlign w:val="bottom"/>
            <w:hideMark/>
          </w:tcPr>
          <w:p w14:paraId="208A3DD8"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4,012,916</w:t>
            </w:r>
          </w:p>
        </w:tc>
        <w:tc>
          <w:tcPr>
            <w:tcW w:w="1719" w:type="dxa"/>
            <w:tcBorders>
              <w:top w:val="single" w:sz="4" w:space="0" w:color="auto"/>
              <w:left w:val="single" w:sz="4" w:space="0" w:color="auto"/>
              <w:bottom w:val="nil"/>
              <w:right w:val="single" w:sz="4" w:space="0" w:color="auto"/>
            </w:tcBorders>
            <w:shd w:val="clear" w:color="auto" w:fill="auto"/>
            <w:noWrap/>
            <w:vAlign w:val="bottom"/>
            <w:hideMark/>
          </w:tcPr>
          <w:p w14:paraId="7273498E"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6,020,640</w:t>
            </w:r>
          </w:p>
        </w:tc>
        <w:tc>
          <w:tcPr>
            <w:tcW w:w="2020" w:type="dxa"/>
            <w:tcBorders>
              <w:top w:val="single" w:sz="4" w:space="0" w:color="auto"/>
              <w:left w:val="single" w:sz="4" w:space="0" w:color="auto"/>
              <w:bottom w:val="nil"/>
              <w:right w:val="single" w:sz="4" w:space="0" w:color="auto"/>
            </w:tcBorders>
            <w:shd w:val="clear" w:color="auto" w:fill="auto"/>
            <w:noWrap/>
            <w:vAlign w:val="bottom"/>
            <w:hideMark/>
          </w:tcPr>
          <w:p w14:paraId="4BD9AE5E"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10,033,556</w:t>
            </w:r>
          </w:p>
        </w:tc>
      </w:tr>
      <w:tr w:rsidR="00A44D61" w:rsidRPr="003F011A" w14:paraId="54C5A522" w14:textId="77777777" w:rsidTr="00A44D61">
        <w:trPr>
          <w:trHeight w:val="300"/>
        </w:trPr>
        <w:tc>
          <w:tcPr>
            <w:tcW w:w="2080" w:type="dxa"/>
            <w:tcBorders>
              <w:top w:val="nil"/>
              <w:left w:val="single" w:sz="4" w:space="0" w:color="auto"/>
              <w:bottom w:val="nil"/>
              <w:right w:val="single" w:sz="4" w:space="0" w:color="auto"/>
            </w:tcBorders>
            <w:shd w:val="clear" w:color="auto" w:fill="auto"/>
            <w:noWrap/>
            <w:vAlign w:val="bottom"/>
            <w:hideMark/>
          </w:tcPr>
          <w:p w14:paraId="091469BE" w14:textId="77777777" w:rsidR="003F011A" w:rsidRPr="003F011A" w:rsidRDefault="003F011A" w:rsidP="003F011A">
            <w:pPr>
              <w:jc w:val="center"/>
              <w:rPr>
                <w:rFonts w:ascii="Calibri" w:eastAsia="Times New Roman" w:hAnsi="Calibri" w:cs="Calibri"/>
                <w:color w:val="000000"/>
                <w:lang w:eastAsia="en-US"/>
              </w:rPr>
            </w:pPr>
            <w:r w:rsidRPr="003F011A">
              <w:rPr>
                <w:rFonts w:ascii="Calibri" w:eastAsia="Times New Roman" w:hAnsi="Calibri" w:cs="Calibri"/>
                <w:color w:val="000000"/>
                <w:lang w:eastAsia="en-US"/>
              </w:rPr>
              <w:t>B</w:t>
            </w:r>
          </w:p>
        </w:tc>
        <w:tc>
          <w:tcPr>
            <w:tcW w:w="1840" w:type="dxa"/>
            <w:tcBorders>
              <w:top w:val="nil"/>
              <w:left w:val="single" w:sz="4" w:space="0" w:color="auto"/>
              <w:bottom w:val="nil"/>
              <w:right w:val="single" w:sz="4" w:space="0" w:color="auto"/>
            </w:tcBorders>
            <w:shd w:val="clear" w:color="auto" w:fill="auto"/>
            <w:noWrap/>
            <w:vAlign w:val="bottom"/>
            <w:hideMark/>
          </w:tcPr>
          <w:p w14:paraId="6F29431C"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10,034,820</w:t>
            </w:r>
          </w:p>
        </w:tc>
        <w:tc>
          <w:tcPr>
            <w:tcW w:w="1698" w:type="dxa"/>
            <w:tcBorders>
              <w:top w:val="nil"/>
              <w:left w:val="single" w:sz="4" w:space="0" w:color="auto"/>
              <w:bottom w:val="nil"/>
              <w:right w:val="single" w:sz="4" w:space="0" w:color="auto"/>
            </w:tcBorders>
            <w:shd w:val="clear" w:color="auto" w:fill="auto"/>
            <w:noWrap/>
            <w:vAlign w:val="bottom"/>
            <w:hideMark/>
          </w:tcPr>
          <w:p w14:paraId="1D008601"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20,063,540</w:t>
            </w:r>
          </w:p>
        </w:tc>
        <w:tc>
          <w:tcPr>
            <w:tcW w:w="1719" w:type="dxa"/>
            <w:tcBorders>
              <w:top w:val="nil"/>
              <w:left w:val="single" w:sz="4" w:space="0" w:color="auto"/>
              <w:bottom w:val="nil"/>
              <w:right w:val="single" w:sz="4" w:space="0" w:color="auto"/>
            </w:tcBorders>
            <w:shd w:val="clear" w:color="auto" w:fill="auto"/>
            <w:noWrap/>
            <w:vAlign w:val="bottom"/>
            <w:hideMark/>
          </w:tcPr>
          <w:p w14:paraId="38219F84"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2020" w:type="dxa"/>
            <w:tcBorders>
              <w:top w:val="nil"/>
              <w:left w:val="single" w:sz="4" w:space="0" w:color="auto"/>
              <w:bottom w:val="nil"/>
              <w:right w:val="single" w:sz="4" w:space="0" w:color="auto"/>
            </w:tcBorders>
            <w:shd w:val="clear" w:color="auto" w:fill="auto"/>
            <w:noWrap/>
            <w:vAlign w:val="bottom"/>
            <w:hideMark/>
          </w:tcPr>
          <w:p w14:paraId="7CF16BE8"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30,098,360</w:t>
            </w:r>
          </w:p>
        </w:tc>
      </w:tr>
      <w:tr w:rsidR="00A44D61" w:rsidRPr="003F011A" w14:paraId="238F85A9" w14:textId="77777777" w:rsidTr="00A44D61">
        <w:trPr>
          <w:trHeight w:val="300"/>
        </w:trPr>
        <w:tc>
          <w:tcPr>
            <w:tcW w:w="2080" w:type="dxa"/>
            <w:tcBorders>
              <w:top w:val="nil"/>
              <w:left w:val="single" w:sz="4" w:space="0" w:color="auto"/>
              <w:bottom w:val="nil"/>
              <w:right w:val="single" w:sz="4" w:space="0" w:color="auto"/>
            </w:tcBorders>
            <w:shd w:val="clear" w:color="auto" w:fill="auto"/>
            <w:noWrap/>
            <w:vAlign w:val="bottom"/>
            <w:hideMark/>
          </w:tcPr>
          <w:p w14:paraId="3D5CDAF3" w14:textId="77777777" w:rsidR="003F011A" w:rsidRPr="003F011A" w:rsidRDefault="003F011A" w:rsidP="003F011A">
            <w:pPr>
              <w:jc w:val="center"/>
              <w:rPr>
                <w:rFonts w:ascii="Calibri" w:eastAsia="Times New Roman" w:hAnsi="Calibri" w:cs="Calibri"/>
                <w:color w:val="000000"/>
                <w:lang w:eastAsia="en-US"/>
              </w:rPr>
            </w:pPr>
            <w:r w:rsidRPr="003F011A">
              <w:rPr>
                <w:rFonts w:ascii="Calibri" w:eastAsia="Times New Roman" w:hAnsi="Calibri" w:cs="Calibri"/>
                <w:color w:val="000000"/>
                <w:lang w:eastAsia="en-US"/>
              </w:rPr>
              <w:t>C</w:t>
            </w:r>
          </w:p>
        </w:tc>
        <w:tc>
          <w:tcPr>
            <w:tcW w:w="1840" w:type="dxa"/>
            <w:tcBorders>
              <w:top w:val="nil"/>
              <w:left w:val="single" w:sz="4" w:space="0" w:color="auto"/>
              <w:bottom w:val="nil"/>
              <w:right w:val="single" w:sz="4" w:space="0" w:color="auto"/>
            </w:tcBorders>
            <w:shd w:val="clear" w:color="auto" w:fill="auto"/>
            <w:noWrap/>
            <w:vAlign w:val="bottom"/>
            <w:hideMark/>
          </w:tcPr>
          <w:p w14:paraId="2E486EB3"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1698" w:type="dxa"/>
            <w:tcBorders>
              <w:top w:val="nil"/>
              <w:left w:val="single" w:sz="4" w:space="0" w:color="auto"/>
              <w:bottom w:val="nil"/>
              <w:right w:val="single" w:sz="4" w:space="0" w:color="auto"/>
            </w:tcBorders>
            <w:shd w:val="clear" w:color="auto" w:fill="auto"/>
            <w:noWrap/>
            <w:vAlign w:val="bottom"/>
            <w:hideMark/>
          </w:tcPr>
          <w:p w14:paraId="2BCB9B60"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1719" w:type="dxa"/>
            <w:tcBorders>
              <w:top w:val="nil"/>
              <w:left w:val="single" w:sz="4" w:space="0" w:color="auto"/>
              <w:bottom w:val="nil"/>
              <w:right w:val="single" w:sz="4" w:space="0" w:color="auto"/>
            </w:tcBorders>
            <w:shd w:val="clear" w:color="auto" w:fill="auto"/>
            <w:noWrap/>
            <w:vAlign w:val="bottom"/>
            <w:hideMark/>
          </w:tcPr>
          <w:p w14:paraId="3D147D41"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10,032,460</w:t>
            </w:r>
          </w:p>
        </w:tc>
        <w:tc>
          <w:tcPr>
            <w:tcW w:w="2020" w:type="dxa"/>
            <w:tcBorders>
              <w:top w:val="nil"/>
              <w:left w:val="single" w:sz="4" w:space="0" w:color="auto"/>
              <w:bottom w:val="nil"/>
              <w:right w:val="single" w:sz="4" w:space="0" w:color="auto"/>
            </w:tcBorders>
            <w:shd w:val="clear" w:color="auto" w:fill="auto"/>
            <w:noWrap/>
            <w:vAlign w:val="bottom"/>
            <w:hideMark/>
          </w:tcPr>
          <w:p w14:paraId="5615F61C"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10,032,460</w:t>
            </w:r>
          </w:p>
        </w:tc>
      </w:tr>
      <w:tr w:rsidR="00A44D61" w:rsidRPr="003F011A" w14:paraId="0B6ECB9D" w14:textId="77777777" w:rsidTr="00A44D61">
        <w:trPr>
          <w:trHeight w:val="300"/>
        </w:trPr>
        <w:tc>
          <w:tcPr>
            <w:tcW w:w="2080" w:type="dxa"/>
            <w:tcBorders>
              <w:top w:val="nil"/>
              <w:left w:val="single" w:sz="4" w:space="0" w:color="auto"/>
              <w:right w:val="single" w:sz="4" w:space="0" w:color="auto"/>
            </w:tcBorders>
            <w:shd w:val="clear" w:color="auto" w:fill="auto"/>
            <w:noWrap/>
            <w:vAlign w:val="bottom"/>
            <w:hideMark/>
          </w:tcPr>
          <w:p w14:paraId="5407770A" w14:textId="77777777" w:rsidR="003F011A" w:rsidRPr="003F011A" w:rsidRDefault="003F011A" w:rsidP="003F011A">
            <w:pPr>
              <w:jc w:val="center"/>
              <w:rPr>
                <w:rFonts w:ascii="Calibri" w:eastAsia="Times New Roman" w:hAnsi="Calibri" w:cs="Calibri"/>
                <w:color w:val="000000"/>
                <w:lang w:eastAsia="en-US"/>
              </w:rPr>
            </w:pPr>
            <w:r w:rsidRPr="003F011A">
              <w:rPr>
                <w:rFonts w:ascii="Calibri" w:eastAsia="Times New Roman" w:hAnsi="Calibri" w:cs="Calibri"/>
                <w:color w:val="000000"/>
                <w:lang w:eastAsia="en-US"/>
              </w:rPr>
              <w:t>D</w:t>
            </w:r>
          </w:p>
        </w:tc>
        <w:tc>
          <w:tcPr>
            <w:tcW w:w="1840" w:type="dxa"/>
            <w:tcBorders>
              <w:top w:val="nil"/>
              <w:left w:val="single" w:sz="4" w:space="0" w:color="auto"/>
              <w:right w:val="single" w:sz="4" w:space="0" w:color="auto"/>
            </w:tcBorders>
            <w:shd w:val="clear" w:color="auto" w:fill="auto"/>
            <w:noWrap/>
            <w:vAlign w:val="bottom"/>
            <w:hideMark/>
          </w:tcPr>
          <w:p w14:paraId="3D6EA1E2"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1698" w:type="dxa"/>
            <w:tcBorders>
              <w:top w:val="nil"/>
              <w:left w:val="single" w:sz="4" w:space="0" w:color="auto"/>
              <w:right w:val="single" w:sz="4" w:space="0" w:color="auto"/>
            </w:tcBorders>
            <w:shd w:val="clear" w:color="auto" w:fill="auto"/>
            <w:noWrap/>
            <w:vAlign w:val="bottom"/>
            <w:hideMark/>
          </w:tcPr>
          <w:p w14:paraId="5845407A"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1719" w:type="dxa"/>
            <w:tcBorders>
              <w:top w:val="nil"/>
              <w:left w:val="single" w:sz="4" w:space="0" w:color="auto"/>
              <w:right w:val="single" w:sz="4" w:space="0" w:color="auto"/>
            </w:tcBorders>
            <w:shd w:val="clear" w:color="auto" w:fill="auto"/>
            <w:noWrap/>
            <w:vAlign w:val="bottom"/>
            <w:hideMark/>
          </w:tcPr>
          <w:p w14:paraId="73C77F4E"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6,018,870</w:t>
            </w:r>
          </w:p>
        </w:tc>
        <w:tc>
          <w:tcPr>
            <w:tcW w:w="2020" w:type="dxa"/>
            <w:tcBorders>
              <w:top w:val="nil"/>
              <w:left w:val="single" w:sz="4" w:space="0" w:color="auto"/>
              <w:right w:val="single" w:sz="4" w:space="0" w:color="auto"/>
            </w:tcBorders>
            <w:shd w:val="clear" w:color="auto" w:fill="auto"/>
            <w:noWrap/>
            <w:vAlign w:val="bottom"/>
            <w:hideMark/>
          </w:tcPr>
          <w:p w14:paraId="476BBE42"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6,018,870</w:t>
            </w:r>
          </w:p>
        </w:tc>
      </w:tr>
      <w:tr w:rsidR="002D01FB" w:rsidRPr="003F011A" w14:paraId="10C107B9" w14:textId="77777777" w:rsidTr="00A44D6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485ED26" w14:textId="77777777" w:rsidR="003F011A" w:rsidRPr="003F011A" w:rsidRDefault="003F011A" w:rsidP="003F011A">
            <w:pPr>
              <w:jc w:val="center"/>
              <w:rPr>
                <w:rFonts w:ascii="Calibri" w:eastAsia="Times New Roman" w:hAnsi="Calibri" w:cs="Calibri"/>
                <w:color w:val="000000"/>
                <w:lang w:eastAsia="en-US"/>
              </w:rPr>
            </w:pPr>
            <w:r w:rsidRPr="003F011A">
              <w:rPr>
                <w:rFonts w:ascii="Calibri" w:eastAsia="Times New Roman" w:hAnsi="Calibri" w:cs="Calibri"/>
                <w:color w:val="000000"/>
                <w:lang w:eastAsia="en-US"/>
              </w:rPr>
              <w:t>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0E79D9B"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4,013,084</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2095EBC6"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14:paraId="3282C1B4" w14:textId="77777777" w:rsidR="003F011A" w:rsidRPr="003F011A" w:rsidRDefault="003F011A" w:rsidP="003F011A">
            <w:pPr>
              <w:rPr>
                <w:rFonts w:ascii="Calibri" w:eastAsia="Times New Roman" w:hAnsi="Calibri" w:cs="Calibri"/>
                <w:color w:val="000000"/>
                <w:lang w:eastAsia="en-US"/>
              </w:rPr>
            </w:pPr>
            <w:r w:rsidRPr="003F011A">
              <w:rPr>
                <w:rFonts w:ascii="Calibri" w:eastAsia="Times New Roman" w:hAnsi="Calibri" w:cs="Calibri"/>
                <w:color w:val="000000"/>
                <w:lang w:eastAsia="en-US"/>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4DE7C3"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4,013,084</w:t>
            </w:r>
          </w:p>
        </w:tc>
      </w:tr>
      <w:tr w:rsidR="00A44D61" w:rsidRPr="003F011A" w14:paraId="7D0BC2EE" w14:textId="77777777" w:rsidTr="00A44D61">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C8D" w14:textId="77777777" w:rsidR="003F011A" w:rsidRPr="003F011A" w:rsidRDefault="003F011A" w:rsidP="003F011A">
            <w:pPr>
              <w:jc w:val="center"/>
              <w:rPr>
                <w:rFonts w:ascii="Calibri" w:eastAsia="Times New Roman" w:hAnsi="Calibri" w:cs="Calibri"/>
                <w:color w:val="000000"/>
                <w:lang w:eastAsia="en-US"/>
              </w:rPr>
            </w:pPr>
            <w:r w:rsidRPr="003F011A">
              <w:rPr>
                <w:rFonts w:ascii="Calibri" w:eastAsia="Times New Roman" w:hAnsi="Calibri" w:cs="Calibri"/>
                <w:color w:val="000000"/>
                <w:lang w:eastAsia="en-US"/>
              </w:rPr>
              <w:t>Total</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9DD7"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14,047,904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E1B2B"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24,076,456</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52733"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22,071,970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D9C8E" w14:textId="77777777" w:rsidR="003F011A" w:rsidRPr="003F011A" w:rsidRDefault="003F011A" w:rsidP="003F011A">
            <w:pPr>
              <w:jc w:val="right"/>
              <w:rPr>
                <w:rFonts w:ascii="Calibri" w:eastAsia="Times New Roman" w:hAnsi="Calibri" w:cs="Calibri"/>
                <w:color w:val="000000"/>
                <w:lang w:eastAsia="en-US"/>
              </w:rPr>
            </w:pPr>
            <w:r w:rsidRPr="003F011A">
              <w:rPr>
                <w:rFonts w:ascii="Calibri" w:eastAsia="Times New Roman" w:hAnsi="Calibri" w:cs="Calibri"/>
                <w:color w:val="000000"/>
                <w:lang w:eastAsia="en-US"/>
              </w:rPr>
              <w:t>60,196,330</w:t>
            </w:r>
          </w:p>
        </w:tc>
      </w:tr>
    </w:tbl>
    <w:p w14:paraId="56A93CB2" w14:textId="549EF108" w:rsidR="003F011A" w:rsidRDefault="00305D0F" w:rsidP="00B22E21">
      <w:pPr>
        <w:autoSpaceDE w:val="0"/>
        <w:autoSpaceDN w:val="0"/>
        <w:adjustRightInd w:val="0"/>
        <w:ind w:left="720" w:hanging="720"/>
        <w:jc w:val="both"/>
        <w:rPr>
          <w:rFonts w:asciiTheme="majorHAnsi" w:hAnsiTheme="majorHAnsi" w:cstheme="majorHAnsi"/>
        </w:rPr>
      </w:pPr>
      <w:r>
        <w:rPr>
          <w:rFonts w:asciiTheme="majorHAnsi" w:hAnsiTheme="majorHAnsi" w:cstheme="majorHAnsi"/>
        </w:rPr>
        <w:lastRenderedPageBreak/>
        <w:t>26.6</w:t>
      </w:r>
      <w:r>
        <w:rPr>
          <w:rFonts w:asciiTheme="majorHAnsi" w:hAnsiTheme="majorHAnsi" w:cstheme="majorHAnsi"/>
        </w:rPr>
        <w:tab/>
      </w:r>
      <w:r w:rsidR="002D01FB" w:rsidRPr="000402B5">
        <w:rPr>
          <w:rFonts w:asciiTheme="majorHAnsi" w:hAnsiTheme="majorHAnsi" w:cstheme="majorHAnsi"/>
        </w:rPr>
        <w:t xml:space="preserve">Tables </w:t>
      </w:r>
      <w:r w:rsidR="002D01FB">
        <w:rPr>
          <w:rFonts w:asciiTheme="majorHAnsi" w:hAnsiTheme="majorHAnsi" w:cstheme="majorHAnsi"/>
        </w:rPr>
        <w:t>5</w:t>
      </w:r>
      <w:r w:rsidR="002D01FB" w:rsidRPr="000402B5">
        <w:rPr>
          <w:rFonts w:asciiTheme="majorHAnsi" w:hAnsiTheme="majorHAnsi" w:cstheme="majorHAnsi"/>
        </w:rPr>
        <w:t xml:space="preserve"> (a) and (b) provides bid analysis and allocation result on</w:t>
      </w:r>
      <w:r w:rsidR="002D01FB">
        <w:rPr>
          <w:rFonts w:asciiTheme="majorHAnsi" w:hAnsiTheme="majorHAnsi" w:cstheme="majorHAnsi"/>
        </w:rPr>
        <w:t xml:space="preserve"> </w:t>
      </w:r>
      <w:r w:rsidR="002D01FB" w:rsidRPr="000402B5">
        <w:rPr>
          <w:rFonts w:asciiTheme="majorHAnsi" w:hAnsiTheme="majorHAnsi" w:cstheme="majorHAnsi"/>
        </w:rPr>
        <w:t>switch auctions</w:t>
      </w:r>
      <w:r w:rsidR="002D01FB">
        <w:rPr>
          <w:rFonts w:asciiTheme="majorHAnsi" w:hAnsiTheme="majorHAnsi" w:cstheme="majorHAnsi"/>
        </w:rPr>
        <w:t xml:space="preserve"> for the second source bond (</w:t>
      </w:r>
      <w:r w:rsidR="002D01FB" w:rsidRPr="008B7A79">
        <w:rPr>
          <w:rFonts w:ascii="Calibri" w:eastAsia="Times New Roman" w:hAnsi="Calibri" w:cs="Calibri"/>
          <w:bCs/>
          <w:color w:val="000000"/>
          <w:lang w:eastAsia="en-US"/>
        </w:rPr>
        <w:t>AMGN36294194</w:t>
      </w:r>
      <w:r w:rsidR="002D01FB" w:rsidRPr="000402B5">
        <w:rPr>
          <w:rFonts w:asciiTheme="majorHAnsi" w:eastAsia="Times New Roman" w:hAnsiTheme="majorHAnsi" w:cstheme="majorHAnsi"/>
          <w:bCs/>
          <w:color w:val="000000"/>
          <w:lang w:eastAsia="en-US"/>
        </w:rPr>
        <w:t>)</w:t>
      </w:r>
      <w:r w:rsidR="002D01FB">
        <w:rPr>
          <w:rFonts w:asciiTheme="majorHAnsi" w:hAnsiTheme="majorHAnsi" w:cstheme="majorHAnsi"/>
        </w:rPr>
        <w:t>. Table 5(a) indicates that b</w:t>
      </w:r>
      <w:r w:rsidR="002D01FB" w:rsidRPr="000402B5">
        <w:rPr>
          <w:rFonts w:asciiTheme="majorHAnsi" w:hAnsiTheme="majorHAnsi" w:cstheme="majorHAnsi"/>
        </w:rPr>
        <w:t>ased on a cut-off yield of 7.5</w:t>
      </w:r>
      <w:r w:rsidR="00B56AF6">
        <w:rPr>
          <w:rFonts w:asciiTheme="majorHAnsi" w:hAnsiTheme="majorHAnsi" w:cstheme="majorHAnsi"/>
        </w:rPr>
        <w:t>5</w:t>
      </w:r>
      <w:r w:rsidR="002D01FB" w:rsidRPr="000402B5">
        <w:rPr>
          <w:rFonts w:asciiTheme="majorHAnsi" w:hAnsiTheme="majorHAnsi" w:cstheme="majorHAnsi"/>
        </w:rPr>
        <w:t xml:space="preserve">%, out of total bid amount of ARM </w:t>
      </w:r>
      <w:r w:rsidR="00B56AF6">
        <w:rPr>
          <w:rFonts w:asciiTheme="majorHAnsi" w:hAnsiTheme="majorHAnsi" w:cstheme="majorHAnsi"/>
        </w:rPr>
        <w:t>58</w:t>
      </w:r>
      <w:r w:rsidR="002D01FB" w:rsidRPr="000402B5">
        <w:rPr>
          <w:rFonts w:asciiTheme="majorHAnsi" w:hAnsiTheme="majorHAnsi" w:cstheme="majorHAnsi"/>
        </w:rPr>
        <w:t xml:space="preserve"> million,</w:t>
      </w:r>
      <w:r w:rsidR="002D01FB">
        <w:rPr>
          <w:rFonts w:asciiTheme="majorHAnsi" w:hAnsiTheme="majorHAnsi" w:cstheme="majorHAnsi"/>
        </w:rPr>
        <w:t xml:space="preserve"> </w:t>
      </w:r>
      <w:r w:rsidR="00B56AF6">
        <w:rPr>
          <w:rFonts w:asciiTheme="majorHAnsi" w:hAnsiTheme="majorHAnsi" w:cstheme="majorHAnsi"/>
        </w:rPr>
        <w:t xml:space="preserve">in comparison to </w:t>
      </w:r>
      <w:r w:rsidR="002D01FB">
        <w:rPr>
          <w:rFonts w:asciiTheme="majorHAnsi" w:hAnsiTheme="majorHAnsi" w:cstheme="majorHAnsi"/>
        </w:rPr>
        <w:t>the targeted amount of ARM 60 million</w:t>
      </w:r>
      <w:r w:rsidR="00B56AF6">
        <w:rPr>
          <w:rFonts w:asciiTheme="majorHAnsi" w:hAnsiTheme="majorHAnsi" w:cstheme="majorHAnsi"/>
        </w:rPr>
        <w:t>, the entire bid amount of ARM 58 million</w:t>
      </w:r>
      <w:r w:rsidR="002D01FB">
        <w:rPr>
          <w:rFonts w:asciiTheme="majorHAnsi" w:hAnsiTheme="majorHAnsi" w:cstheme="majorHAnsi"/>
        </w:rPr>
        <w:t xml:space="preserve"> in terms of face value is allocated. Based on the allocated yields and the equivalent dirty prices,</w:t>
      </w:r>
      <w:r w:rsidR="00B56AF6">
        <w:rPr>
          <w:rFonts w:asciiTheme="majorHAnsi" w:hAnsiTheme="majorHAnsi" w:cstheme="majorHAnsi"/>
        </w:rPr>
        <w:t xml:space="preserve"> </w:t>
      </w:r>
      <w:r w:rsidR="002D01FB">
        <w:rPr>
          <w:rFonts w:asciiTheme="majorHAnsi" w:hAnsiTheme="majorHAnsi" w:cstheme="majorHAnsi"/>
        </w:rPr>
        <w:t xml:space="preserve">the government will be required to pay a total amount of ARM </w:t>
      </w:r>
      <w:r w:rsidR="00B56AF6">
        <w:rPr>
          <w:rFonts w:asciiTheme="majorHAnsi" w:hAnsiTheme="majorHAnsi" w:cstheme="majorHAnsi"/>
        </w:rPr>
        <w:t>58</w:t>
      </w:r>
      <w:r w:rsidR="002D01FB">
        <w:rPr>
          <w:rFonts w:asciiTheme="majorHAnsi" w:hAnsiTheme="majorHAnsi" w:cstheme="majorHAnsi"/>
        </w:rPr>
        <w:t>.</w:t>
      </w:r>
      <w:r w:rsidR="00B56AF6">
        <w:rPr>
          <w:rFonts w:asciiTheme="majorHAnsi" w:hAnsiTheme="majorHAnsi" w:cstheme="majorHAnsi"/>
        </w:rPr>
        <w:t>7</w:t>
      </w:r>
      <w:r w:rsidR="002D01FB">
        <w:rPr>
          <w:rFonts w:asciiTheme="majorHAnsi" w:hAnsiTheme="majorHAnsi" w:cstheme="majorHAnsi"/>
        </w:rPr>
        <w:t xml:space="preserve"> million to the investors for retiring</w:t>
      </w:r>
      <w:r w:rsidR="00B56AF6">
        <w:rPr>
          <w:rFonts w:asciiTheme="majorHAnsi" w:hAnsiTheme="majorHAnsi" w:cstheme="majorHAnsi"/>
        </w:rPr>
        <w:t xml:space="preserve"> </w:t>
      </w:r>
      <w:r w:rsidR="002D01FB">
        <w:rPr>
          <w:rFonts w:asciiTheme="majorHAnsi" w:hAnsiTheme="majorHAnsi" w:cstheme="majorHAnsi"/>
        </w:rPr>
        <w:t xml:space="preserve">the bond. </w:t>
      </w:r>
    </w:p>
    <w:tbl>
      <w:tblPr>
        <w:tblW w:w="5686" w:type="pct"/>
        <w:tblInd w:w="-5" w:type="dxa"/>
        <w:tblLayout w:type="fixed"/>
        <w:tblLook w:val="04A0" w:firstRow="1" w:lastRow="0" w:firstColumn="1" w:lastColumn="0" w:noHBand="0" w:noVBand="1"/>
      </w:tblPr>
      <w:tblGrid>
        <w:gridCol w:w="884"/>
        <w:gridCol w:w="825"/>
        <w:gridCol w:w="1810"/>
        <w:gridCol w:w="1745"/>
        <w:gridCol w:w="1557"/>
        <w:gridCol w:w="1307"/>
        <w:gridCol w:w="1453"/>
        <w:gridCol w:w="1309"/>
      </w:tblGrid>
      <w:tr w:rsidR="002D01FB" w:rsidRPr="00745799" w14:paraId="48B792D9" w14:textId="77777777" w:rsidTr="00E45687">
        <w:trPr>
          <w:trHeight w:val="582"/>
        </w:trPr>
        <w:tc>
          <w:tcPr>
            <w:tcW w:w="5000" w:type="pct"/>
            <w:gridSpan w:val="8"/>
            <w:tcBorders>
              <w:top w:val="nil"/>
              <w:bottom w:val="single" w:sz="4" w:space="0" w:color="auto"/>
            </w:tcBorders>
            <w:shd w:val="clear" w:color="auto" w:fill="auto"/>
            <w:noWrap/>
            <w:vAlign w:val="bottom"/>
          </w:tcPr>
          <w:p w14:paraId="34DE217D" w14:textId="172C09E7" w:rsidR="002D01FB" w:rsidRPr="00745799" w:rsidRDefault="002D01FB" w:rsidP="00E45687">
            <w:pPr>
              <w:jc w:val="center"/>
              <w:rPr>
                <w:rFonts w:ascii="Calibri" w:eastAsia="Times New Roman" w:hAnsi="Calibri" w:cs="Calibri"/>
                <w:color w:val="000000"/>
                <w:lang w:eastAsia="en-US"/>
              </w:rPr>
            </w:pPr>
            <w:r>
              <w:rPr>
                <w:rFonts w:ascii="Calibri" w:eastAsia="Times New Roman" w:hAnsi="Calibri" w:cs="Calibri"/>
                <w:color w:val="000000"/>
                <w:lang w:eastAsia="en-US"/>
              </w:rPr>
              <w:t xml:space="preserve">Table 5(a): Allocation for Source Bond </w:t>
            </w:r>
            <w:r w:rsidRPr="008B7A79">
              <w:rPr>
                <w:rFonts w:ascii="Calibri" w:eastAsia="Times New Roman" w:hAnsi="Calibri" w:cs="Calibri"/>
                <w:bCs/>
                <w:color w:val="000000"/>
                <w:lang w:eastAsia="en-US"/>
              </w:rPr>
              <w:t>AMGN36294194</w:t>
            </w:r>
          </w:p>
        </w:tc>
      </w:tr>
      <w:tr w:rsidR="002D01FB" w:rsidRPr="00745799" w14:paraId="0CCDC223" w14:textId="77777777" w:rsidTr="00E45687">
        <w:trPr>
          <w:trHeight w:val="582"/>
        </w:trPr>
        <w:tc>
          <w:tcPr>
            <w:tcW w:w="406"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458971E3" w14:textId="77777777" w:rsidR="002D01FB" w:rsidRPr="00745799" w:rsidRDefault="002D01FB" w:rsidP="00E45687">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Bid No.</w:t>
            </w:r>
          </w:p>
        </w:tc>
        <w:tc>
          <w:tcPr>
            <w:tcW w:w="379"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44E2F040" w14:textId="77777777" w:rsidR="002D01FB" w:rsidRPr="00745799" w:rsidRDefault="002D01FB" w:rsidP="00E45687">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Bidder</w:t>
            </w:r>
          </w:p>
        </w:tc>
        <w:tc>
          <w:tcPr>
            <w:tcW w:w="831"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51279879" w14:textId="77777777" w:rsidR="002D01FB" w:rsidRPr="00745799" w:rsidRDefault="002D01FB" w:rsidP="00E45687">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Destination Bond</w:t>
            </w:r>
          </w:p>
        </w:tc>
        <w:tc>
          <w:tcPr>
            <w:tcW w:w="80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77112FE6" w14:textId="77777777" w:rsidR="002D01FB" w:rsidRPr="00745799" w:rsidRDefault="002D01FB" w:rsidP="00E45687">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Bid Face Value</w:t>
            </w:r>
          </w:p>
        </w:tc>
        <w:tc>
          <w:tcPr>
            <w:tcW w:w="715"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9677181" w14:textId="77777777" w:rsidR="002D01FB" w:rsidRPr="00745799" w:rsidRDefault="002D01FB" w:rsidP="00E45687">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Allocated FV</w:t>
            </w:r>
          </w:p>
        </w:tc>
        <w:tc>
          <w:tcPr>
            <w:tcW w:w="600"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14:paraId="407A51E2" w14:textId="77777777" w:rsidR="002D01FB" w:rsidRPr="00745799" w:rsidRDefault="002D01FB" w:rsidP="00E45687">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Allocation Yield</w:t>
            </w:r>
          </w:p>
        </w:tc>
        <w:tc>
          <w:tcPr>
            <w:tcW w:w="667"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14:paraId="2FA413C9" w14:textId="77777777" w:rsidR="002D01FB" w:rsidRPr="00745799" w:rsidRDefault="002D01FB" w:rsidP="00E45687">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Dirty Price per 100</w:t>
            </w:r>
          </w:p>
        </w:tc>
        <w:tc>
          <w:tcPr>
            <w:tcW w:w="60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14:paraId="4497C0D7" w14:textId="77777777" w:rsidR="002D01FB" w:rsidRPr="00745799" w:rsidRDefault="002D01FB" w:rsidP="00E45687">
            <w:pPr>
              <w:jc w:val="right"/>
              <w:rPr>
                <w:rFonts w:ascii="Calibri" w:eastAsia="Times New Roman" w:hAnsi="Calibri" w:cs="Calibri"/>
                <w:color w:val="000000"/>
                <w:lang w:eastAsia="en-US"/>
              </w:rPr>
            </w:pPr>
            <w:r w:rsidRPr="00745799">
              <w:rPr>
                <w:rFonts w:ascii="Calibri" w:eastAsia="Times New Roman" w:hAnsi="Calibri" w:cs="Calibri"/>
                <w:color w:val="000000"/>
                <w:lang w:eastAsia="en-US"/>
              </w:rPr>
              <w:t>Pay to Investor</w:t>
            </w:r>
          </w:p>
        </w:tc>
      </w:tr>
      <w:tr w:rsidR="002D01FB" w:rsidRPr="00745799" w14:paraId="7201FF87" w14:textId="77777777" w:rsidTr="00E45687">
        <w:trPr>
          <w:trHeight w:val="300"/>
        </w:trPr>
        <w:tc>
          <w:tcPr>
            <w:tcW w:w="406" w:type="pct"/>
            <w:tcBorders>
              <w:top w:val="single" w:sz="4" w:space="0" w:color="auto"/>
              <w:left w:val="single" w:sz="4" w:space="0" w:color="auto"/>
              <w:bottom w:val="single" w:sz="4" w:space="0" w:color="auto"/>
              <w:right w:val="nil"/>
            </w:tcBorders>
            <w:shd w:val="clear" w:color="auto" w:fill="auto"/>
            <w:noWrap/>
            <w:vAlign w:val="bottom"/>
            <w:hideMark/>
          </w:tcPr>
          <w:p w14:paraId="4C9D7DE0"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1</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2C6F3" w14:textId="4B5432D5"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A</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0CC74A8C" w14:textId="3C98FDA3"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AMGB20072287 </w:t>
            </w:r>
          </w:p>
        </w:tc>
        <w:tc>
          <w:tcPr>
            <w:tcW w:w="801" w:type="pct"/>
            <w:tcBorders>
              <w:top w:val="single" w:sz="4" w:space="0" w:color="auto"/>
              <w:left w:val="nil"/>
              <w:bottom w:val="single" w:sz="4" w:space="0" w:color="auto"/>
              <w:right w:val="single" w:sz="4" w:space="0" w:color="auto"/>
            </w:tcBorders>
            <w:shd w:val="clear" w:color="auto" w:fill="auto"/>
            <w:noWrap/>
            <w:vAlign w:val="bottom"/>
            <w:hideMark/>
          </w:tcPr>
          <w:p w14:paraId="54839069" w14:textId="4764F947"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10,000,000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5647E4C9" w14:textId="524C2C05"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10,000,000 </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1F20C84A" w14:textId="23CC0C0C"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7.6250%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47B08D7C" w14:textId="4E2806B4"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101.1479%</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14:paraId="5B309647" w14:textId="43E29B51"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10,114,790 </w:t>
            </w:r>
          </w:p>
        </w:tc>
      </w:tr>
      <w:tr w:rsidR="002D01FB" w:rsidRPr="00745799" w14:paraId="00B94559"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51B4C0CC"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2</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1E553B89" w14:textId="3C5B01BD"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A</w:t>
            </w:r>
          </w:p>
        </w:tc>
        <w:tc>
          <w:tcPr>
            <w:tcW w:w="831" w:type="pct"/>
            <w:tcBorders>
              <w:top w:val="nil"/>
              <w:left w:val="nil"/>
              <w:bottom w:val="single" w:sz="4" w:space="0" w:color="auto"/>
              <w:right w:val="single" w:sz="4" w:space="0" w:color="auto"/>
            </w:tcBorders>
            <w:shd w:val="clear" w:color="auto" w:fill="auto"/>
            <w:noWrap/>
            <w:vAlign w:val="bottom"/>
            <w:hideMark/>
          </w:tcPr>
          <w:p w14:paraId="46D9C00D" w14:textId="69D60DC3"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AMGB30163472 </w:t>
            </w:r>
          </w:p>
        </w:tc>
        <w:tc>
          <w:tcPr>
            <w:tcW w:w="801" w:type="pct"/>
            <w:tcBorders>
              <w:top w:val="nil"/>
              <w:left w:val="nil"/>
              <w:bottom w:val="single" w:sz="4" w:space="0" w:color="auto"/>
              <w:right w:val="single" w:sz="4" w:space="0" w:color="auto"/>
            </w:tcBorders>
            <w:shd w:val="clear" w:color="auto" w:fill="auto"/>
            <w:noWrap/>
            <w:vAlign w:val="bottom"/>
            <w:hideMark/>
          </w:tcPr>
          <w:p w14:paraId="2AA97EED" w14:textId="0EE69FCE"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4,000,000 </w:t>
            </w:r>
          </w:p>
        </w:tc>
        <w:tc>
          <w:tcPr>
            <w:tcW w:w="715" w:type="pct"/>
            <w:tcBorders>
              <w:top w:val="nil"/>
              <w:left w:val="nil"/>
              <w:bottom w:val="single" w:sz="4" w:space="0" w:color="auto"/>
              <w:right w:val="single" w:sz="4" w:space="0" w:color="auto"/>
            </w:tcBorders>
            <w:shd w:val="clear" w:color="auto" w:fill="auto"/>
            <w:noWrap/>
            <w:vAlign w:val="bottom"/>
            <w:hideMark/>
          </w:tcPr>
          <w:p w14:paraId="43771986" w14:textId="09288E93"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4,000,000 </w:t>
            </w:r>
          </w:p>
        </w:tc>
        <w:tc>
          <w:tcPr>
            <w:tcW w:w="600" w:type="pct"/>
            <w:tcBorders>
              <w:top w:val="nil"/>
              <w:left w:val="nil"/>
              <w:bottom w:val="single" w:sz="4" w:space="0" w:color="auto"/>
              <w:right w:val="single" w:sz="4" w:space="0" w:color="auto"/>
            </w:tcBorders>
            <w:shd w:val="clear" w:color="auto" w:fill="auto"/>
            <w:noWrap/>
            <w:vAlign w:val="bottom"/>
            <w:hideMark/>
          </w:tcPr>
          <w:p w14:paraId="4B1AF1D6" w14:textId="323537FD"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7.6200%</w:t>
            </w:r>
          </w:p>
        </w:tc>
        <w:tc>
          <w:tcPr>
            <w:tcW w:w="667" w:type="pct"/>
            <w:tcBorders>
              <w:top w:val="nil"/>
              <w:left w:val="nil"/>
              <w:bottom w:val="single" w:sz="4" w:space="0" w:color="auto"/>
              <w:right w:val="single" w:sz="4" w:space="0" w:color="auto"/>
            </w:tcBorders>
            <w:shd w:val="clear" w:color="auto" w:fill="auto"/>
            <w:noWrap/>
            <w:vAlign w:val="bottom"/>
            <w:hideMark/>
          </w:tcPr>
          <w:p w14:paraId="63BC7582" w14:textId="42D5EA19"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101.1522%</w:t>
            </w:r>
          </w:p>
        </w:tc>
        <w:tc>
          <w:tcPr>
            <w:tcW w:w="601" w:type="pct"/>
            <w:tcBorders>
              <w:top w:val="nil"/>
              <w:left w:val="nil"/>
              <w:bottom w:val="single" w:sz="4" w:space="0" w:color="auto"/>
              <w:right w:val="single" w:sz="4" w:space="0" w:color="auto"/>
            </w:tcBorders>
            <w:shd w:val="clear" w:color="auto" w:fill="auto"/>
            <w:noWrap/>
            <w:vAlign w:val="bottom"/>
            <w:hideMark/>
          </w:tcPr>
          <w:p w14:paraId="4FF4E31A" w14:textId="61B5417A"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4,046,088 </w:t>
            </w:r>
          </w:p>
        </w:tc>
      </w:tr>
      <w:tr w:rsidR="002D01FB" w:rsidRPr="00745799" w14:paraId="04A69184"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5EA62632"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3</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7143537" w14:textId="1F58EFED"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B</w:t>
            </w:r>
          </w:p>
        </w:tc>
        <w:tc>
          <w:tcPr>
            <w:tcW w:w="831" w:type="pct"/>
            <w:tcBorders>
              <w:top w:val="nil"/>
              <w:left w:val="nil"/>
              <w:bottom w:val="single" w:sz="4" w:space="0" w:color="auto"/>
              <w:right w:val="single" w:sz="4" w:space="0" w:color="auto"/>
            </w:tcBorders>
            <w:shd w:val="clear" w:color="auto" w:fill="auto"/>
            <w:noWrap/>
            <w:vAlign w:val="bottom"/>
            <w:hideMark/>
          </w:tcPr>
          <w:p w14:paraId="4D4A573F" w14:textId="3C61EC32"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AMGN60294235 </w:t>
            </w:r>
          </w:p>
        </w:tc>
        <w:tc>
          <w:tcPr>
            <w:tcW w:w="801" w:type="pct"/>
            <w:tcBorders>
              <w:top w:val="nil"/>
              <w:left w:val="nil"/>
              <w:bottom w:val="single" w:sz="4" w:space="0" w:color="auto"/>
              <w:right w:val="single" w:sz="4" w:space="0" w:color="auto"/>
            </w:tcBorders>
            <w:shd w:val="clear" w:color="auto" w:fill="auto"/>
            <w:noWrap/>
            <w:vAlign w:val="bottom"/>
            <w:hideMark/>
          </w:tcPr>
          <w:p w14:paraId="3801E4AD" w14:textId="3B7EB017"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8,000,000 </w:t>
            </w:r>
          </w:p>
        </w:tc>
        <w:tc>
          <w:tcPr>
            <w:tcW w:w="715" w:type="pct"/>
            <w:tcBorders>
              <w:top w:val="nil"/>
              <w:left w:val="nil"/>
              <w:bottom w:val="single" w:sz="4" w:space="0" w:color="auto"/>
              <w:right w:val="single" w:sz="4" w:space="0" w:color="auto"/>
            </w:tcBorders>
            <w:shd w:val="clear" w:color="auto" w:fill="auto"/>
            <w:noWrap/>
            <w:vAlign w:val="bottom"/>
            <w:hideMark/>
          </w:tcPr>
          <w:p w14:paraId="3BAEA40E" w14:textId="69AA5C18"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8,000,000 </w:t>
            </w:r>
          </w:p>
        </w:tc>
        <w:tc>
          <w:tcPr>
            <w:tcW w:w="600" w:type="pct"/>
            <w:tcBorders>
              <w:top w:val="nil"/>
              <w:left w:val="nil"/>
              <w:bottom w:val="single" w:sz="4" w:space="0" w:color="auto"/>
              <w:right w:val="single" w:sz="4" w:space="0" w:color="auto"/>
            </w:tcBorders>
            <w:shd w:val="clear" w:color="auto" w:fill="auto"/>
            <w:noWrap/>
            <w:vAlign w:val="bottom"/>
            <w:hideMark/>
          </w:tcPr>
          <w:p w14:paraId="35D87372" w14:textId="42E0D82C"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7.6100%</w:t>
            </w:r>
          </w:p>
        </w:tc>
        <w:tc>
          <w:tcPr>
            <w:tcW w:w="667" w:type="pct"/>
            <w:tcBorders>
              <w:top w:val="nil"/>
              <w:left w:val="nil"/>
              <w:bottom w:val="single" w:sz="4" w:space="0" w:color="auto"/>
              <w:right w:val="single" w:sz="4" w:space="0" w:color="auto"/>
            </w:tcBorders>
            <w:shd w:val="clear" w:color="auto" w:fill="auto"/>
            <w:noWrap/>
            <w:vAlign w:val="bottom"/>
            <w:hideMark/>
          </w:tcPr>
          <w:p w14:paraId="4BD1A565" w14:textId="7CF5E17A"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101.1606%</w:t>
            </w:r>
          </w:p>
        </w:tc>
        <w:tc>
          <w:tcPr>
            <w:tcW w:w="601" w:type="pct"/>
            <w:tcBorders>
              <w:top w:val="nil"/>
              <w:left w:val="nil"/>
              <w:bottom w:val="single" w:sz="4" w:space="0" w:color="auto"/>
              <w:right w:val="single" w:sz="4" w:space="0" w:color="auto"/>
            </w:tcBorders>
            <w:shd w:val="clear" w:color="auto" w:fill="auto"/>
            <w:noWrap/>
            <w:vAlign w:val="bottom"/>
            <w:hideMark/>
          </w:tcPr>
          <w:p w14:paraId="44C2EA62" w14:textId="1DD731BD"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8,092,848 </w:t>
            </w:r>
          </w:p>
        </w:tc>
      </w:tr>
      <w:tr w:rsidR="002D01FB" w:rsidRPr="00745799" w14:paraId="6A62355C"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05291540"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4</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1420F6BE" w14:textId="6E8F19E6"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C</w:t>
            </w:r>
          </w:p>
        </w:tc>
        <w:tc>
          <w:tcPr>
            <w:tcW w:w="831" w:type="pct"/>
            <w:tcBorders>
              <w:top w:val="nil"/>
              <w:left w:val="nil"/>
              <w:bottom w:val="single" w:sz="4" w:space="0" w:color="auto"/>
              <w:right w:val="single" w:sz="4" w:space="0" w:color="auto"/>
            </w:tcBorders>
            <w:shd w:val="clear" w:color="auto" w:fill="auto"/>
            <w:noWrap/>
            <w:vAlign w:val="bottom"/>
            <w:hideMark/>
          </w:tcPr>
          <w:p w14:paraId="4FA69D3B" w14:textId="1EFC2197"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AMGB30163472 </w:t>
            </w:r>
          </w:p>
        </w:tc>
        <w:tc>
          <w:tcPr>
            <w:tcW w:w="801" w:type="pct"/>
            <w:tcBorders>
              <w:top w:val="nil"/>
              <w:left w:val="nil"/>
              <w:bottom w:val="single" w:sz="4" w:space="0" w:color="auto"/>
              <w:right w:val="single" w:sz="4" w:space="0" w:color="auto"/>
            </w:tcBorders>
            <w:shd w:val="clear" w:color="auto" w:fill="auto"/>
            <w:noWrap/>
            <w:vAlign w:val="bottom"/>
            <w:hideMark/>
          </w:tcPr>
          <w:p w14:paraId="45EAC1D7" w14:textId="51D037F8"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715" w:type="pct"/>
            <w:tcBorders>
              <w:top w:val="nil"/>
              <w:left w:val="nil"/>
              <w:bottom w:val="single" w:sz="4" w:space="0" w:color="auto"/>
              <w:right w:val="single" w:sz="4" w:space="0" w:color="auto"/>
            </w:tcBorders>
            <w:shd w:val="clear" w:color="auto" w:fill="auto"/>
            <w:noWrap/>
            <w:vAlign w:val="bottom"/>
            <w:hideMark/>
          </w:tcPr>
          <w:p w14:paraId="5A1B340A" w14:textId="6768228C"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600" w:type="pct"/>
            <w:tcBorders>
              <w:top w:val="nil"/>
              <w:left w:val="nil"/>
              <w:bottom w:val="single" w:sz="4" w:space="0" w:color="auto"/>
              <w:right w:val="single" w:sz="4" w:space="0" w:color="auto"/>
            </w:tcBorders>
            <w:shd w:val="clear" w:color="auto" w:fill="auto"/>
            <w:noWrap/>
            <w:vAlign w:val="bottom"/>
            <w:hideMark/>
          </w:tcPr>
          <w:p w14:paraId="60A842CA" w14:textId="6C0B5798"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7.6080%</w:t>
            </w:r>
          </w:p>
        </w:tc>
        <w:tc>
          <w:tcPr>
            <w:tcW w:w="667" w:type="pct"/>
            <w:tcBorders>
              <w:top w:val="nil"/>
              <w:left w:val="nil"/>
              <w:bottom w:val="single" w:sz="4" w:space="0" w:color="auto"/>
              <w:right w:val="single" w:sz="4" w:space="0" w:color="auto"/>
            </w:tcBorders>
            <w:shd w:val="clear" w:color="auto" w:fill="auto"/>
            <w:noWrap/>
            <w:vAlign w:val="bottom"/>
            <w:hideMark/>
          </w:tcPr>
          <w:p w14:paraId="32173373" w14:textId="60648209"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101.1623%</w:t>
            </w:r>
          </w:p>
        </w:tc>
        <w:tc>
          <w:tcPr>
            <w:tcW w:w="601" w:type="pct"/>
            <w:tcBorders>
              <w:top w:val="nil"/>
              <w:left w:val="nil"/>
              <w:bottom w:val="single" w:sz="4" w:space="0" w:color="auto"/>
              <w:right w:val="single" w:sz="4" w:space="0" w:color="auto"/>
            </w:tcBorders>
            <w:shd w:val="clear" w:color="auto" w:fill="auto"/>
            <w:noWrap/>
            <w:vAlign w:val="bottom"/>
            <w:hideMark/>
          </w:tcPr>
          <w:p w14:paraId="3F1D841D" w14:textId="6F33545D"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5,058,115 </w:t>
            </w:r>
          </w:p>
        </w:tc>
      </w:tr>
      <w:tr w:rsidR="002D01FB" w:rsidRPr="00745799" w14:paraId="26F23A87"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54A5E8AE"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5</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7BDC4861" w14:textId="50204CC3"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C</w:t>
            </w:r>
          </w:p>
        </w:tc>
        <w:tc>
          <w:tcPr>
            <w:tcW w:w="831" w:type="pct"/>
            <w:tcBorders>
              <w:top w:val="nil"/>
              <w:left w:val="nil"/>
              <w:bottom w:val="single" w:sz="4" w:space="0" w:color="auto"/>
              <w:right w:val="single" w:sz="4" w:space="0" w:color="auto"/>
            </w:tcBorders>
            <w:shd w:val="clear" w:color="auto" w:fill="auto"/>
            <w:noWrap/>
            <w:vAlign w:val="bottom"/>
            <w:hideMark/>
          </w:tcPr>
          <w:p w14:paraId="4CD1A407" w14:textId="2F17296D"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AMGB20072287 </w:t>
            </w:r>
          </w:p>
        </w:tc>
        <w:tc>
          <w:tcPr>
            <w:tcW w:w="801" w:type="pct"/>
            <w:tcBorders>
              <w:top w:val="nil"/>
              <w:left w:val="nil"/>
              <w:bottom w:val="single" w:sz="4" w:space="0" w:color="auto"/>
              <w:right w:val="single" w:sz="4" w:space="0" w:color="auto"/>
            </w:tcBorders>
            <w:shd w:val="clear" w:color="auto" w:fill="auto"/>
            <w:noWrap/>
            <w:vAlign w:val="bottom"/>
            <w:hideMark/>
          </w:tcPr>
          <w:p w14:paraId="218E84E0" w14:textId="7031F75F"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6,000,000 </w:t>
            </w:r>
          </w:p>
        </w:tc>
        <w:tc>
          <w:tcPr>
            <w:tcW w:w="715" w:type="pct"/>
            <w:tcBorders>
              <w:top w:val="nil"/>
              <w:left w:val="nil"/>
              <w:bottom w:val="single" w:sz="4" w:space="0" w:color="auto"/>
              <w:right w:val="single" w:sz="4" w:space="0" w:color="auto"/>
            </w:tcBorders>
            <w:shd w:val="clear" w:color="auto" w:fill="auto"/>
            <w:noWrap/>
            <w:vAlign w:val="bottom"/>
            <w:hideMark/>
          </w:tcPr>
          <w:p w14:paraId="738C412A" w14:textId="4290B8F8"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6,000,000 </w:t>
            </w:r>
          </w:p>
        </w:tc>
        <w:tc>
          <w:tcPr>
            <w:tcW w:w="600" w:type="pct"/>
            <w:tcBorders>
              <w:top w:val="nil"/>
              <w:left w:val="nil"/>
              <w:bottom w:val="single" w:sz="4" w:space="0" w:color="auto"/>
              <w:right w:val="single" w:sz="4" w:space="0" w:color="auto"/>
            </w:tcBorders>
            <w:shd w:val="clear" w:color="auto" w:fill="auto"/>
            <w:noWrap/>
            <w:vAlign w:val="bottom"/>
            <w:hideMark/>
          </w:tcPr>
          <w:p w14:paraId="66ACE683" w14:textId="4C041478"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7.6050%</w:t>
            </w:r>
          </w:p>
        </w:tc>
        <w:tc>
          <w:tcPr>
            <w:tcW w:w="667" w:type="pct"/>
            <w:tcBorders>
              <w:top w:val="nil"/>
              <w:left w:val="nil"/>
              <w:bottom w:val="single" w:sz="4" w:space="0" w:color="auto"/>
              <w:right w:val="single" w:sz="4" w:space="0" w:color="auto"/>
            </w:tcBorders>
            <w:shd w:val="clear" w:color="auto" w:fill="auto"/>
            <w:noWrap/>
            <w:vAlign w:val="bottom"/>
            <w:hideMark/>
          </w:tcPr>
          <w:p w14:paraId="12140BFB" w14:textId="298A0A9B"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101.1649%</w:t>
            </w:r>
          </w:p>
        </w:tc>
        <w:tc>
          <w:tcPr>
            <w:tcW w:w="601" w:type="pct"/>
            <w:tcBorders>
              <w:top w:val="nil"/>
              <w:left w:val="nil"/>
              <w:bottom w:val="single" w:sz="4" w:space="0" w:color="auto"/>
              <w:right w:val="single" w:sz="4" w:space="0" w:color="auto"/>
            </w:tcBorders>
            <w:shd w:val="clear" w:color="auto" w:fill="auto"/>
            <w:noWrap/>
            <w:vAlign w:val="bottom"/>
            <w:hideMark/>
          </w:tcPr>
          <w:p w14:paraId="261C4E3D" w14:textId="4D71126B"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6,069,894 </w:t>
            </w:r>
          </w:p>
        </w:tc>
      </w:tr>
      <w:tr w:rsidR="002D01FB" w:rsidRPr="00745799" w14:paraId="1065C70A"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35BC01A5"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6</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897DE0D" w14:textId="749C6FC7"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D</w:t>
            </w:r>
          </w:p>
        </w:tc>
        <w:tc>
          <w:tcPr>
            <w:tcW w:w="831" w:type="pct"/>
            <w:tcBorders>
              <w:top w:val="nil"/>
              <w:left w:val="nil"/>
              <w:bottom w:val="single" w:sz="4" w:space="0" w:color="auto"/>
              <w:right w:val="single" w:sz="4" w:space="0" w:color="auto"/>
            </w:tcBorders>
            <w:shd w:val="clear" w:color="auto" w:fill="auto"/>
            <w:noWrap/>
            <w:vAlign w:val="bottom"/>
            <w:hideMark/>
          </w:tcPr>
          <w:p w14:paraId="452E5AA9" w14:textId="30A94171"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AMGB30163472 </w:t>
            </w:r>
          </w:p>
        </w:tc>
        <w:tc>
          <w:tcPr>
            <w:tcW w:w="801" w:type="pct"/>
            <w:tcBorders>
              <w:top w:val="nil"/>
              <w:left w:val="nil"/>
              <w:bottom w:val="single" w:sz="4" w:space="0" w:color="auto"/>
              <w:right w:val="single" w:sz="4" w:space="0" w:color="auto"/>
            </w:tcBorders>
            <w:shd w:val="clear" w:color="auto" w:fill="auto"/>
            <w:noWrap/>
            <w:vAlign w:val="bottom"/>
            <w:hideMark/>
          </w:tcPr>
          <w:p w14:paraId="1E58D93E" w14:textId="08585B9A"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715" w:type="pct"/>
            <w:tcBorders>
              <w:top w:val="nil"/>
              <w:left w:val="nil"/>
              <w:bottom w:val="single" w:sz="4" w:space="0" w:color="auto"/>
              <w:right w:val="single" w:sz="4" w:space="0" w:color="auto"/>
            </w:tcBorders>
            <w:shd w:val="clear" w:color="auto" w:fill="auto"/>
            <w:noWrap/>
            <w:vAlign w:val="bottom"/>
            <w:hideMark/>
          </w:tcPr>
          <w:p w14:paraId="5192DCD0" w14:textId="727732F3"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600" w:type="pct"/>
            <w:tcBorders>
              <w:top w:val="nil"/>
              <w:left w:val="nil"/>
              <w:bottom w:val="single" w:sz="4" w:space="0" w:color="auto"/>
              <w:right w:val="single" w:sz="4" w:space="0" w:color="auto"/>
            </w:tcBorders>
            <w:shd w:val="clear" w:color="auto" w:fill="auto"/>
            <w:noWrap/>
            <w:vAlign w:val="bottom"/>
            <w:hideMark/>
          </w:tcPr>
          <w:p w14:paraId="0A2E07BC" w14:textId="7D3B3C6D"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7.6030%</w:t>
            </w:r>
          </w:p>
        </w:tc>
        <w:tc>
          <w:tcPr>
            <w:tcW w:w="667" w:type="pct"/>
            <w:tcBorders>
              <w:top w:val="nil"/>
              <w:left w:val="nil"/>
              <w:bottom w:val="single" w:sz="4" w:space="0" w:color="auto"/>
              <w:right w:val="single" w:sz="4" w:space="0" w:color="auto"/>
            </w:tcBorders>
            <w:shd w:val="clear" w:color="auto" w:fill="auto"/>
            <w:noWrap/>
            <w:vAlign w:val="bottom"/>
            <w:hideMark/>
          </w:tcPr>
          <w:p w14:paraId="22EB678E" w14:textId="238A186D"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101.1666%</w:t>
            </w:r>
          </w:p>
        </w:tc>
        <w:tc>
          <w:tcPr>
            <w:tcW w:w="601" w:type="pct"/>
            <w:tcBorders>
              <w:top w:val="nil"/>
              <w:left w:val="nil"/>
              <w:bottom w:val="single" w:sz="4" w:space="0" w:color="auto"/>
              <w:right w:val="single" w:sz="4" w:space="0" w:color="auto"/>
            </w:tcBorders>
            <w:shd w:val="clear" w:color="auto" w:fill="auto"/>
            <w:noWrap/>
            <w:vAlign w:val="bottom"/>
            <w:hideMark/>
          </w:tcPr>
          <w:p w14:paraId="3BF0652A" w14:textId="0713E7B5"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5,058,330 </w:t>
            </w:r>
          </w:p>
        </w:tc>
      </w:tr>
      <w:tr w:rsidR="002D01FB" w:rsidRPr="00745799" w14:paraId="59827B87"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2B9188C0"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7</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937F77C" w14:textId="7B9788C4"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B</w:t>
            </w:r>
          </w:p>
        </w:tc>
        <w:tc>
          <w:tcPr>
            <w:tcW w:w="831" w:type="pct"/>
            <w:tcBorders>
              <w:top w:val="nil"/>
              <w:left w:val="nil"/>
              <w:bottom w:val="single" w:sz="4" w:space="0" w:color="auto"/>
              <w:right w:val="single" w:sz="4" w:space="0" w:color="auto"/>
            </w:tcBorders>
            <w:shd w:val="clear" w:color="auto" w:fill="auto"/>
            <w:noWrap/>
            <w:vAlign w:val="bottom"/>
            <w:hideMark/>
          </w:tcPr>
          <w:p w14:paraId="431DF955" w14:textId="236764D7"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AMGB20072287 </w:t>
            </w:r>
          </w:p>
        </w:tc>
        <w:tc>
          <w:tcPr>
            <w:tcW w:w="801" w:type="pct"/>
            <w:tcBorders>
              <w:top w:val="nil"/>
              <w:left w:val="nil"/>
              <w:bottom w:val="single" w:sz="4" w:space="0" w:color="auto"/>
              <w:right w:val="single" w:sz="4" w:space="0" w:color="auto"/>
            </w:tcBorders>
            <w:shd w:val="clear" w:color="auto" w:fill="auto"/>
            <w:noWrap/>
            <w:vAlign w:val="bottom"/>
            <w:hideMark/>
          </w:tcPr>
          <w:p w14:paraId="6FF30EF0" w14:textId="6537E7B1"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8,000,000 </w:t>
            </w:r>
          </w:p>
        </w:tc>
        <w:tc>
          <w:tcPr>
            <w:tcW w:w="715" w:type="pct"/>
            <w:tcBorders>
              <w:top w:val="nil"/>
              <w:left w:val="nil"/>
              <w:bottom w:val="single" w:sz="4" w:space="0" w:color="auto"/>
              <w:right w:val="single" w:sz="4" w:space="0" w:color="auto"/>
            </w:tcBorders>
            <w:shd w:val="clear" w:color="auto" w:fill="auto"/>
            <w:noWrap/>
            <w:vAlign w:val="bottom"/>
            <w:hideMark/>
          </w:tcPr>
          <w:p w14:paraId="5A90FDF4" w14:textId="6ADE156B"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8,000,000 </w:t>
            </w:r>
          </w:p>
        </w:tc>
        <w:tc>
          <w:tcPr>
            <w:tcW w:w="600" w:type="pct"/>
            <w:tcBorders>
              <w:top w:val="nil"/>
              <w:left w:val="nil"/>
              <w:bottom w:val="single" w:sz="4" w:space="0" w:color="auto"/>
              <w:right w:val="single" w:sz="4" w:space="0" w:color="auto"/>
            </w:tcBorders>
            <w:shd w:val="clear" w:color="auto" w:fill="auto"/>
            <w:noWrap/>
            <w:vAlign w:val="bottom"/>
            <w:hideMark/>
          </w:tcPr>
          <w:p w14:paraId="076B61B8" w14:textId="47D52612"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7.5850%</w:t>
            </w:r>
          </w:p>
        </w:tc>
        <w:tc>
          <w:tcPr>
            <w:tcW w:w="667" w:type="pct"/>
            <w:tcBorders>
              <w:top w:val="nil"/>
              <w:left w:val="nil"/>
              <w:bottom w:val="single" w:sz="4" w:space="0" w:color="auto"/>
              <w:right w:val="single" w:sz="4" w:space="0" w:color="auto"/>
            </w:tcBorders>
            <w:shd w:val="clear" w:color="auto" w:fill="auto"/>
            <w:noWrap/>
            <w:vAlign w:val="bottom"/>
            <w:hideMark/>
          </w:tcPr>
          <w:p w14:paraId="3D908EC9" w14:textId="5B2BB5D5"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101.1818%</w:t>
            </w:r>
          </w:p>
        </w:tc>
        <w:tc>
          <w:tcPr>
            <w:tcW w:w="601" w:type="pct"/>
            <w:tcBorders>
              <w:top w:val="nil"/>
              <w:left w:val="nil"/>
              <w:bottom w:val="single" w:sz="4" w:space="0" w:color="auto"/>
              <w:right w:val="single" w:sz="4" w:space="0" w:color="auto"/>
            </w:tcBorders>
            <w:shd w:val="clear" w:color="auto" w:fill="auto"/>
            <w:noWrap/>
            <w:vAlign w:val="bottom"/>
            <w:hideMark/>
          </w:tcPr>
          <w:p w14:paraId="6DC27EAC" w14:textId="06D62982"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8,094,544 </w:t>
            </w:r>
          </w:p>
        </w:tc>
      </w:tr>
      <w:tr w:rsidR="002D01FB" w:rsidRPr="00745799" w14:paraId="393AE9A6"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7DC9CB5F"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8</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18BF9D7" w14:textId="4DE6D443"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A</w:t>
            </w:r>
          </w:p>
        </w:tc>
        <w:tc>
          <w:tcPr>
            <w:tcW w:w="831" w:type="pct"/>
            <w:tcBorders>
              <w:top w:val="nil"/>
              <w:left w:val="nil"/>
              <w:bottom w:val="single" w:sz="4" w:space="0" w:color="auto"/>
              <w:right w:val="single" w:sz="4" w:space="0" w:color="auto"/>
            </w:tcBorders>
            <w:shd w:val="clear" w:color="auto" w:fill="auto"/>
            <w:noWrap/>
            <w:vAlign w:val="bottom"/>
            <w:hideMark/>
          </w:tcPr>
          <w:p w14:paraId="31FC9089" w14:textId="17EBEAAC"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AMGN60294235 </w:t>
            </w:r>
          </w:p>
        </w:tc>
        <w:tc>
          <w:tcPr>
            <w:tcW w:w="801" w:type="pct"/>
            <w:tcBorders>
              <w:top w:val="nil"/>
              <w:left w:val="nil"/>
              <w:bottom w:val="single" w:sz="4" w:space="0" w:color="auto"/>
              <w:right w:val="single" w:sz="4" w:space="0" w:color="auto"/>
            </w:tcBorders>
            <w:shd w:val="clear" w:color="auto" w:fill="auto"/>
            <w:noWrap/>
            <w:vAlign w:val="bottom"/>
            <w:hideMark/>
          </w:tcPr>
          <w:p w14:paraId="4141B308" w14:textId="393AF13D"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715" w:type="pct"/>
            <w:tcBorders>
              <w:top w:val="nil"/>
              <w:left w:val="nil"/>
              <w:bottom w:val="single" w:sz="4" w:space="0" w:color="auto"/>
              <w:right w:val="single" w:sz="4" w:space="0" w:color="auto"/>
            </w:tcBorders>
            <w:shd w:val="clear" w:color="auto" w:fill="auto"/>
            <w:noWrap/>
            <w:vAlign w:val="bottom"/>
            <w:hideMark/>
          </w:tcPr>
          <w:p w14:paraId="107E1CE4" w14:textId="743ADB7A"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600" w:type="pct"/>
            <w:tcBorders>
              <w:top w:val="nil"/>
              <w:left w:val="nil"/>
              <w:bottom w:val="single" w:sz="4" w:space="0" w:color="auto"/>
              <w:right w:val="single" w:sz="4" w:space="0" w:color="auto"/>
            </w:tcBorders>
            <w:shd w:val="clear" w:color="auto" w:fill="auto"/>
            <w:noWrap/>
            <w:vAlign w:val="bottom"/>
            <w:hideMark/>
          </w:tcPr>
          <w:p w14:paraId="51270848" w14:textId="32753FA3"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7.5800%</w:t>
            </w:r>
          </w:p>
        </w:tc>
        <w:tc>
          <w:tcPr>
            <w:tcW w:w="667" w:type="pct"/>
            <w:tcBorders>
              <w:top w:val="nil"/>
              <w:left w:val="nil"/>
              <w:bottom w:val="single" w:sz="4" w:space="0" w:color="auto"/>
              <w:right w:val="single" w:sz="4" w:space="0" w:color="auto"/>
            </w:tcBorders>
            <w:shd w:val="clear" w:color="auto" w:fill="auto"/>
            <w:noWrap/>
            <w:vAlign w:val="bottom"/>
            <w:hideMark/>
          </w:tcPr>
          <w:p w14:paraId="6175877F" w14:textId="2B25F5C1"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101.1861%</w:t>
            </w:r>
          </w:p>
        </w:tc>
        <w:tc>
          <w:tcPr>
            <w:tcW w:w="601" w:type="pct"/>
            <w:tcBorders>
              <w:top w:val="nil"/>
              <w:left w:val="nil"/>
              <w:bottom w:val="single" w:sz="4" w:space="0" w:color="auto"/>
              <w:right w:val="single" w:sz="4" w:space="0" w:color="auto"/>
            </w:tcBorders>
            <w:shd w:val="clear" w:color="auto" w:fill="auto"/>
            <w:noWrap/>
            <w:vAlign w:val="bottom"/>
            <w:hideMark/>
          </w:tcPr>
          <w:p w14:paraId="74DC0F11" w14:textId="5E86AD98"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5,059,305 </w:t>
            </w:r>
          </w:p>
        </w:tc>
      </w:tr>
      <w:tr w:rsidR="002D01FB" w:rsidRPr="00745799" w14:paraId="3BD8E31E" w14:textId="77777777" w:rsidTr="00E45687">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2422637E"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9</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564F989C" w14:textId="7D93529F"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B</w:t>
            </w:r>
          </w:p>
        </w:tc>
        <w:tc>
          <w:tcPr>
            <w:tcW w:w="831" w:type="pct"/>
            <w:tcBorders>
              <w:top w:val="nil"/>
              <w:left w:val="nil"/>
              <w:bottom w:val="single" w:sz="4" w:space="0" w:color="auto"/>
              <w:right w:val="single" w:sz="4" w:space="0" w:color="auto"/>
            </w:tcBorders>
            <w:shd w:val="clear" w:color="auto" w:fill="auto"/>
            <w:noWrap/>
            <w:vAlign w:val="bottom"/>
            <w:hideMark/>
          </w:tcPr>
          <w:p w14:paraId="469E8F95" w14:textId="776AB1E0"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AMGB30163472 </w:t>
            </w:r>
          </w:p>
        </w:tc>
        <w:tc>
          <w:tcPr>
            <w:tcW w:w="801" w:type="pct"/>
            <w:tcBorders>
              <w:top w:val="nil"/>
              <w:left w:val="nil"/>
              <w:bottom w:val="single" w:sz="4" w:space="0" w:color="auto"/>
              <w:right w:val="single" w:sz="4" w:space="0" w:color="auto"/>
            </w:tcBorders>
            <w:shd w:val="clear" w:color="auto" w:fill="auto"/>
            <w:noWrap/>
            <w:vAlign w:val="bottom"/>
            <w:hideMark/>
          </w:tcPr>
          <w:p w14:paraId="4BF72B15" w14:textId="76E6B4E6"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715" w:type="pct"/>
            <w:tcBorders>
              <w:top w:val="nil"/>
              <w:left w:val="nil"/>
              <w:bottom w:val="single" w:sz="4" w:space="0" w:color="auto"/>
              <w:right w:val="single" w:sz="4" w:space="0" w:color="auto"/>
            </w:tcBorders>
            <w:shd w:val="clear" w:color="auto" w:fill="auto"/>
            <w:noWrap/>
            <w:vAlign w:val="bottom"/>
            <w:hideMark/>
          </w:tcPr>
          <w:p w14:paraId="643CAA4E" w14:textId="7DB83A39"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5,000,000 </w:t>
            </w:r>
          </w:p>
        </w:tc>
        <w:tc>
          <w:tcPr>
            <w:tcW w:w="600" w:type="pct"/>
            <w:tcBorders>
              <w:top w:val="nil"/>
              <w:left w:val="nil"/>
              <w:bottom w:val="single" w:sz="4" w:space="0" w:color="auto"/>
              <w:right w:val="single" w:sz="4" w:space="0" w:color="auto"/>
            </w:tcBorders>
            <w:shd w:val="clear" w:color="auto" w:fill="auto"/>
            <w:noWrap/>
            <w:vAlign w:val="bottom"/>
            <w:hideMark/>
          </w:tcPr>
          <w:p w14:paraId="065E5ED6" w14:textId="21279D4A"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7.5580%</w:t>
            </w:r>
          </w:p>
        </w:tc>
        <w:tc>
          <w:tcPr>
            <w:tcW w:w="667" w:type="pct"/>
            <w:tcBorders>
              <w:top w:val="nil"/>
              <w:left w:val="nil"/>
              <w:bottom w:val="single" w:sz="4" w:space="0" w:color="auto"/>
              <w:right w:val="single" w:sz="4" w:space="0" w:color="auto"/>
            </w:tcBorders>
            <w:shd w:val="clear" w:color="auto" w:fill="auto"/>
            <w:noWrap/>
            <w:vAlign w:val="bottom"/>
            <w:hideMark/>
          </w:tcPr>
          <w:p w14:paraId="6D68EBD1" w14:textId="6875B749"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101.2047%</w:t>
            </w:r>
          </w:p>
        </w:tc>
        <w:tc>
          <w:tcPr>
            <w:tcW w:w="601" w:type="pct"/>
            <w:tcBorders>
              <w:top w:val="nil"/>
              <w:left w:val="nil"/>
              <w:bottom w:val="single" w:sz="4" w:space="0" w:color="auto"/>
              <w:right w:val="single" w:sz="4" w:space="0" w:color="auto"/>
            </w:tcBorders>
            <w:shd w:val="clear" w:color="auto" w:fill="auto"/>
            <w:noWrap/>
            <w:vAlign w:val="bottom"/>
            <w:hideMark/>
          </w:tcPr>
          <w:p w14:paraId="6D2B93FB" w14:textId="72BDEF83"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5,060,235 </w:t>
            </w:r>
          </w:p>
        </w:tc>
      </w:tr>
      <w:tr w:rsidR="002D01FB" w:rsidRPr="00745799" w14:paraId="76BDC6A2" w14:textId="77777777" w:rsidTr="00B56AF6">
        <w:trPr>
          <w:trHeight w:val="300"/>
        </w:trPr>
        <w:tc>
          <w:tcPr>
            <w:tcW w:w="406" w:type="pct"/>
            <w:tcBorders>
              <w:top w:val="nil"/>
              <w:left w:val="single" w:sz="4" w:space="0" w:color="auto"/>
              <w:bottom w:val="single" w:sz="4" w:space="0" w:color="auto"/>
              <w:right w:val="nil"/>
            </w:tcBorders>
            <w:shd w:val="clear" w:color="auto" w:fill="auto"/>
            <w:noWrap/>
            <w:vAlign w:val="bottom"/>
            <w:hideMark/>
          </w:tcPr>
          <w:p w14:paraId="0A8DD523" w14:textId="77777777" w:rsidR="002D01FB" w:rsidRPr="00745799" w:rsidRDefault="002D01FB" w:rsidP="002D01FB">
            <w:pPr>
              <w:jc w:val="center"/>
              <w:rPr>
                <w:rFonts w:ascii="Calibri" w:eastAsia="Times New Roman" w:hAnsi="Calibri" w:cs="Calibri"/>
                <w:color w:val="000000"/>
                <w:lang w:eastAsia="en-US"/>
              </w:rPr>
            </w:pPr>
            <w:r w:rsidRPr="00745799">
              <w:rPr>
                <w:rFonts w:ascii="Calibri" w:eastAsia="Times New Roman" w:hAnsi="Calibri" w:cs="Calibri"/>
                <w:color w:val="000000"/>
                <w:lang w:eastAsia="en-US"/>
              </w:rPr>
              <w:t>10</w:t>
            </w:r>
          </w:p>
        </w:tc>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7E364E04" w14:textId="6B2CB35B"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A</w:t>
            </w:r>
          </w:p>
        </w:tc>
        <w:tc>
          <w:tcPr>
            <w:tcW w:w="831" w:type="pct"/>
            <w:tcBorders>
              <w:top w:val="nil"/>
              <w:left w:val="nil"/>
              <w:bottom w:val="single" w:sz="4" w:space="0" w:color="auto"/>
              <w:right w:val="single" w:sz="4" w:space="0" w:color="auto"/>
            </w:tcBorders>
            <w:shd w:val="clear" w:color="auto" w:fill="auto"/>
            <w:noWrap/>
            <w:vAlign w:val="bottom"/>
            <w:hideMark/>
          </w:tcPr>
          <w:p w14:paraId="045BF966" w14:textId="198C313B" w:rsidR="002D01FB" w:rsidRPr="00745799" w:rsidRDefault="002D01FB" w:rsidP="002D01FB">
            <w:pPr>
              <w:jc w:val="center"/>
              <w:rPr>
                <w:rFonts w:ascii="Calibri" w:eastAsia="Times New Roman" w:hAnsi="Calibri" w:cs="Calibri"/>
                <w:color w:val="000000"/>
                <w:lang w:eastAsia="en-US"/>
              </w:rPr>
            </w:pPr>
            <w:r>
              <w:rPr>
                <w:rFonts w:ascii="Calibri" w:hAnsi="Calibri" w:cs="Calibri"/>
                <w:color w:val="000000"/>
              </w:rPr>
              <w:t xml:space="preserve"> AMGB20072287 </w:t>
            </w:r>
          </w:p>
        </w:tc>
        <w:tc>
          <w:tcPr>
            <w:tcW w:w="801" w:type="pct"/>
            <w:tcBorders>
              <w:top w:val="nil"/>
              <w:left w:val="nil"/>
              <w:bottom w:val="single" w:sz="4" w:space="0" w:color="auto"/>
              <w:right w:val="single" w:sz="4" w:space="0" w:color="auto"/>
            </w:tcBorders>
            <w:shd w:val="clear" w:color="auto" w:fill="auto"/>
            <w:noWrap/>
            <w:vAlign w:val="bottom"/>
            <w:hideMark/>
          </w:tcPr>
          <w:p w14:paraId="577B80F7" w14:textId="4322F2CA"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2,000,000 </w:t>
            </w:r>
          </w:p>
        </w:tc>
        <w:tc>
          <w:tcPr>
            <w:tcW w:w="715" w:type="pct"/>
            <w:tcBorders>
              <w:top w:val="nil"/>
              <w:left w:val="nil"/>
              <w:bottom w:val="single" w:sz="4" w:space="0" w:color="auto"/>
              <w:right w:val="single" w:sz="4" w:space="0" w:color="auto"/>
            </w:tcBorders>
            <w:shd w:val="clear" w:color="auto" w:fill="auto"/>
            <w:noWrap/>
            <w:vAlign w:val="bottom"/>
            <w:hideMark/>
          </w:tcPr>
          <w:p w14:paraId="380F6570" w14:textId="72C3F23F"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2,000,000 </w:t>
            </w:r>
          </w:p>
        </w:tc>
        <w:tc>
          <w:tcPr>
            <w:tcW w:w="600" w:type="pct"/>
            <w:tcBorders>
              <w:top w:val="nil"/>
              <w:left w:val="nil"/>
              <w:bottom w:val="single" w:sz="4" w:space="0" w:color="auto"/>
              <w:right w:val="single" w:sz="4" w:space="0" w:color="auto"/>
            </w:tcBorders>
            <w:shd w:val="clear" w:color="auto" w:fill="auto"/>
            <w:noWrap/>
            <w:vAlign w:val="bottom"/>
            <w:hideMark/>
          </w:tcPr>
          <w:p w14:paraId="41B34E22" w14:textId="172A9997"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7.5500%</w:t>
            </w:r>
          </w:p>
        </w:tc>
        <w:tc>
          <w:tcPr>
            <w:tcW w:w="667" w:type="pct"/>
            <w:tcBorders>
              <w:top w:val="nil"/>
              <w:left w:val="nil"/>
              <w:bottom w:val="single" w:sz="4" w:space="0" w:color="auto"/>
              <w:right w:val="single" w:sz="4" w:space="0" w:color="auto"/>
            </w:tcBorders>
            <w:shd w:val="clear" w:color="auto" w:fill="auto"/>
            <w:noWrap/>
            <w:vAlign w:val="bottom"/>
            <w:hideMark/>
          </w:tcPr>
          <w:p w14:paraId="16C93D07" w14:textId="0146C29D"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101.2115%</w:t>
            </w:r>
          </w:p>
        </w:tc>
        <w:tc>
          <w:tcPr>
            <w:tcW w:w="601" w:type="pct"/>
            <w:tcBorders>
              <w:top w:val="nil"/>
              <w:left w:val="nil"/>
              <w:bottom w:val="single" w:sz="4" w:space="0" w:color="auto"/>
              <w:right w:val="single" w:sz="4" w:space="0" w:color="auto"/>
            </w:tcBorders>
            <w:shd w:val="clear" w:color="auto" w:fill="auto"/>
            <w:noWrap/>
            <w:vAlign w:val="bottom"/>
            <w:hideMark/>
          </w:tcPr>
          <w:p w14:paraId="413704BE" w14:textId="53323CD3" w:rsidR="002D01FB" w:rsidRPr="00745799" w:rsidRDefault="002D01FB" w:rsidP="002D01FB">
            <w:pPr>
              <w:jc w:val="right"/>
              <w:rPr>
                <w:rFonts w:ascii="Calibri" w:eastAsia="Times New Roman" w:hAnsi="Calibri" w:cs="Calibri"/>
                <w:color w:val="000000"/>
                <w:lang w:eastAsia="en-US"/>
              </w:rPr>
            </w:pPr>
            <w:r>
              <w:rPr>
                <w:rFonts w:ascii="Calibri" w:hAnsi="Calibri" w:cs="Calibri"/>
                <w:color w:val="000000"/>
              </w:rPr>
              <w:t xml:space="preserve">          2,024,230 </w:t>
            </w:r>
          </w:p>
        </w:tc>
      </w:tr>
      <w:tr w:rsidR="002D01FB" w:rsidRPr="00745799" w14:paraId="1C9CADD4" w14:textId="77777777" w:rsidTr="00B56AF6">
        <w:trPr>
          <w:trHeight w:val="300"/>
        </w:trPr>
        <w:tc>
          <w:tcPr>
            <w:tcW w:w="40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697A3E58" w14:textId="77777777" w:rsidR="002D01FB" w:rsidRPr="00745799" w:rsidRDefault="002D01FB" w:rsidP="00B56AF6">
            <w:pPr>
              <w:rPr>
                <w:rFonts w:ascii="Calibri" w:eastAsia="Times New Roman" w:hAnsi="Calibri" w:cs="Calibri"/>
                <w:color w:val="000000"/>
                <w:lang w:eastAsia="en-US"/>
              </w:rPr>
            </w:pPr>
            <w:r>
              <w:rPr>
                <w:rFonts w:ascii="Calibri" w:eastAsia="Times New Roman" w:hAnsi="Calibri" w:cs="Calibri"/>
                <w:color w:val="000000"/>
                <w:lang w:eastAsia="en-US"/>
              </w:rPr>
              <w:t>Total</w:t>
            </w:r>
          </w:p>
        </w:tc>
        <w:tc>
          <w:tcPr>
            <w:tcW w:w="379" w:type="pct"/>
            <w:tcBorders>
              <w:top w:val="single" w:sz="4" w:space="0" w:color="auto"/>
              <w:left w:val="single" w:sz="4" w:space="0" w:color="auto"/>
              <w:bottom w:val="single" w:sz="4" w:space="0" w:color="auto"/>
              <w:right w:val="nil"/>
            </w:tcBorders>
            <w:shd w:val="clear" w:color="auto" w:fill="FABF8F" w:themeFill="accent6" w:themeFillTint="99"/>
            <w:noWrap/>
            <w:vAlign w:val="bottom"/>
            <w:hideMark/>
          </w:tcPr>
          <w:p w14:paraId="11B69BCD" w14:textId="77777777" w:rsidR="002D01FB" w:rsidRPr="00745799" w:rsidRDefault="002D01FB" w:rsidP="00E45687">
            <w:pPr>
              <w:rPr>
                <w:rFonts w:ascii="Times New Roman" w:eastAsia="Times New Roman" w:hAnsi="Times New Roman" w:cs="Times New Roman"/>
                <w:sz w:val="20"/>
                <w:szCs w:val="20"/>
                <w:lang w:eastAsia="en-US"/>
              </w:rPr>
            </w:pPr>
          </w:p>
        </w:tc>
        <w:tc>
          <w:tcPr>
            <w:tcW w:w="831" w:type="pct"/>
            <w:tcBorders>
              <w:top w:val="single" w:sz="4" w:space="0" w:color="auto"/>
              <w:left w:val="nil"/>
              <w:bottom w:val="single" w:sz="4" w:space="0" w:color="auto"/>
              <w:right w:val="nil"/>
            </w:tcBorders>
            <w:shd w:val="clear" w:color="auto" w:fill="FABF8F" w:themeFill="accent6" w:themeFillTint="99"/>
            <w:noWrap/>
            <w:vAlign w:val="bottom"/>
            <w:hideMark/>
          </w:tcPr>
          <w:p w14:paraId="2583B52E" w14:textId="77777777" w:rsidR="002D01FB" w:rsidRPr="00745799" w:rsidRDefault="002D01FB" w:rsidP="00E45687">
            <w:pPr>
              <w:rPr>
                <w:rFonts w:ascii="Times New Roman" w:eastAsia="Times New Roman" w:hAnsi="Times New Roman" w:cs="Times New Roman"/>
                <w:sz w:val="20"/>
                <w:szCs w:val="20"/>
                <w:lang w:eastAsia="en-US"/>
              </w:rPr>
            </w:pPr>
          </w:p>
        </w:tc>
        <w:tc>
          <w:tcPr>
            <w:tcW w:w="801" w:type="pct"/>
            <w:tcBorders>
              <w:top w:val="single" w:sz="4" w:space="0" w:color="auto"/>
              <w:left w:val="nil"/>
              <w:bottom w:val="single" w:sz="4" w:space="0" w:color="auto"/>
              <w:right w:val="nil"/>
            </w:tcBorders>
            <w:shd w:val="clear" w:color="auto" w:fill="FABF8F" w:themeFill="accent6" w:themeFillTint="99"/>
            <w:noWrap/>
            <w:vAlign w:val="bottom"/>
            <w:hideMark/>
          </w:tcPr>
          <w:p w14:paraId="48CA77E8" w14:textId="77777777" w:rsidR="002D01FB" w:rsidRPr="00745799" w:rsidRDefault="002D01FB" w:rsidP="00E45687">
            <w:pPr>
              <w:rPr>
                <w:rFonts w:ascii="Times New Roman" w:eastAsia="Times New Roman" w:hAnsi="Times New Roman" w:cs="Times New Roman"/>
                <w:sz w:val="20"/>
                <w:szCs w:val="20"/>
                <w:lang w:eastAsia="en-US"/>
              </w:rPr>
            </w:pPr>
          </w:p>
        </w:tc>
        <w:tc>
          <w:tcPr>
            <w:tcW w:w="71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1A66E317" w14:textId="24785004" w:rsidR="002D01FB" w:rsidRPr="00745799" w:rsidRDefault="002D01FB" w:rsidP="00B56AF6">
            <w:pPr>
              <w:jc w:val="right"/>
              <w:rPr>
                <w:rFonts w:ascii="Calibri" w:eastAsia="Times New Roman" w:hAnsi="Calibri" w:cs="Calibri"/>
                <w:b/>
                <w:bCs/>
                <w:color w:val="000000"/>
                <w:lang w:eastAsia="en-US"/>
              </w:rPr>
            </w:pPr>
            <w:r w:rsidRPr="00745799">
              <w:rPr>
                <w:rFonts w:ascii="Calibri" w:eastAsia="Times New Roman" w:hAnsi="Calibri" w:cs="Calibri"/>
                <w:b/>
                <w:bCs/>
                <w:color w:val="000000"/>
                <w:lang w:eastAsia="en-US"/>
              </w:rPr>
              <w:t xml:space="preserve">                   </w:t>
            </w:r>
            <w:r w:rsidR="00B56AF6">
              <w:rPr>
                <w:rFonts w:ascii="Calibri" w:hAnsi="Calibri" w:cs="Calibri"/>
                <w:b/>
                <w:bCs/>
                <w:color w:val="000000"/>
              </w:rPr>
              <w:t xml:space="preserve">        58,000,000 </w:t>
            </w:r>
            <w:r w:rsidRPr="00745799">
              <w:rPr>
                <w:rFonts w:ascii="Calibri" w:eastAsia="Times New Roman" w:hAnsi="Calibri" w:cs="Calibri"/>
                <w:b/>
                <w:bCs/>
                <w:color w:val="000000"/>
                <w:lang w:eastAsia="en-US"/>
              </w:rPr>
              <w:t xml:space="preserve"> </w:t>
            </w:r>
          </w:p>
        </w:tc>
        <w:tc>
          <w:tcPr>
            <w:tcW w:w="600" w:type="pct"/>
            <w:tcBorders>
              <w:top w:val="single" w:sz="4" w:space="0" w:color="auto"/>
              <w:left w:val="nil"/>
              <w:bottom w:val="single" w:sz="4" w:space="0" w:color="auto"/>
              <w:right w:val="nil"/>
            </w:tcBorders>
            <w:shd w:val="clear" w:color="auto" w:fill="FABF8F" w:themeFill="accent6" w:themeFillTint="99"/>
            <w:noWrap/>
            <w:vAlign w:val="bottom"/>
            <w:hideMark/>
          </w:tcPr>
          <w:p w14:paraId="78229ABB" w14:textId="77777777" w:rsidR="002D01FB" w:rsidRPr="00745799" w:rsidRDefault="002D01FB" w:rsidP="00B56AF6">
            <w:pPr>
              <w:rPr>
                <w:rFonts w:ascii="Calibri" w:eastAsia="Times New Roman" w:hAnsi="Calibri" w:cs="Calibri"/>
                <w:b/>
                <w:bCs/>
                <w:color w:val="000000"/>
                <w:lang w:eastAsia="en-US"/>
              </w:rPr>
            </w:pPr>
          </w:p>
        </w:tc>
        <w:tc>
          <w:tcPr>
            <w:tcW w:w="667"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296ECAC" w14:textId="77777777" w:rsidR="002D01FB" w:rsidRPr="00745799" w:rsidRDefault="002D01FB" w:rsidP="00E45687">
            <w:pPr>
              <w:rPr>
                <w:rFonts w:ascii="Times New Roman" w:eastAsia="Times New Roman" w:hAnsi="Times New Roman" w:cs="Times New Roman"/>
                <w:sz w:val="20"/>
                <w:szCs w:val="20"/>
                <w:lang w:eastAsia="en-US"/>
              </w:rPr>
            </w:pPr>
          </w:p>
        </w:tc>
        <w:tc>
          <w:tcPr>
            <w:tcW w:w="60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53025C53" w14:textId="36A28039" w:rsidR="002D01FB" w:rsidRPr="00745799" w:rsidRDefault="00B56AF6" w:rsidP="00E45687">
            <w:pPr>
              <w:rPr>
                <w:rFonts w:ascii="Calibri" w:eastAsia="Times New Roman" w:hAnsi="Calibri" w:cs="Calibri"/>
                <w:b/>
                <w:bCs/>
                <w:color w:val="000000"/>
                <w:lang w:eastAsia="en-US"/>
              </w:rPr>
            </w:pPr>
            <w:r>
              <w:rPr>
                <w:rFonts w:ascii="Calibri" w:hAnsi="Calibri" w:cs="Calibri"/>
                <w:b/>
                <w:bCs/>
                <w:color w:val="000000"/>
              </w:rPr>
              <w:t xml:space="preserve">58,678,379 </w:t>
            </w:r>
            <w:r w:rsidR="002D01FB" w:rsidRPr="00745799">
              <w:rPr>
                <w:rFonts w:ascii="Calibri" w:eastAsia="Times New Roman" w:hAnsi="Calibri" w:cs="Calibri"/>
                <w:b/>
                <w:bCs/>
                <w:color w:val="000000"/>
                <w:lang w:eastAsia="en-US"/>
              </w:rPr>
              <w:t xml:space="preserve"> </w:t>
            </w:r>
          </w:p>
        </w:tc>
      </w:tr>
    </w:tbl>
    <w:p w14:paraId="7A07A080" w14:textId="77777777" w:rsidR="002D01FB" w:rsidRDefault="002D01FB" w:rsidP="003F011A">
      <w:pPr>
        <w:autoSpaceDE w:val="0"/>
        <w:autoSpaceDN w:val="0"/>
        <w:adjustRightInd w:val="0"/>
        <w:ind w:left="720" w:hanging="720"/>
        <w:jc w:val="both"/>
        <w:rPr>
          <w:rFonts w:asciiTheme="majorHAnsi" w:hAnsiTheme="majorHAnsi" w:cstheme="majorHAnsi"/>
        </w:rPr>
      </w:pPr>
    </w:p>
    <w:p w14:paraId="64BB1355" w14:textId="3E0D72A0" w:rsidR="00B56AF6" w:rsidRDefault="00305D0F" w:rsidP="00305D0F">
      <w:pPr>
        <w:autoSpaceDE w:val="0"/>
        <w:autoSpaceDN w:val="0"/>
        <w:adjustRightInd w:val="0"/>
        <w:ind w:left="720" w:hanging="720"/>
        <w:jc w:val="both"/>
        <w:rPr>
          <w:rFonts w:asciiTheme="majorHAnsi" w:hAnsiTheme="majorHAnsi" w:cstheme="majorHAnsi"/>
        </w:rPr>
      </w:pPr>
      <w:r>
        <w:rPr>
          <w:rFonts w:asciiTheme="majorHAnsi" w:hAnsiTheme="majorHAnsi" w:cstheme="majorHAnsi"/>
        </w:rPr>
        <w:t>26.7</w:t>
      </w:r>
      <w:r>
        <w:rPr>
          <w:rFonts w:asciiTheme="majorHAnsi" w:hAnsiTheme="majorHAnsi" w:cstheme="majorHAnsi"/>
        </w:rPr>
        <w:tab/>
      </w:r>
      <w:r w:rsidR="00B56AF6">
        <w:rPr>
          <w:rFonts w:asciiTheme="majorHAnsi" w:hAnsiTheme="majorHAnsi" w:cstheme="majorHAnsi"/>
        </w:rPr>
        <w:t>Table 5(b) indicates the in</w:t>
      </w:r>
      <w:r w:rsidR="00B33ED3">
        <w:rPr>
          <w:rFonts w:asciiTheme="majorHAnsi" w:hAnsiTheme="majorHAnsi" w:cstheme="majorHAnsi"/>
        </w:rPr>
        <w:t>itial</w:t>
      </w:r>
      <w:r w:rsidR="00B56AF6">
        <w:rPr>
          <w:rFonts w:asciiTheme="majorHAnsi" w:hAnsiTheme="majorHAnsi" w:cstheme="majorHAnsi"/>
        </w:rPr>
        <w:t xml:space="preserve"> allocation of the destination bonds for successful bidders on the second source bond, based on investor preferences for bidding.</w:t>
      </w:r>
    </w:p>
    <w:p w14:paraId="17D87FBD" w14:textId="6AA19A07" w:rsidR="00B373FE" w:rsidRDefault="00B373FE" w:rsidP="00B373FE">
      <w:pPr>
        <w:autoSpaceDE w:val="0"/>
        <w:autoSpaceDN w:val="0"/>
        <w:adjustRightInd w:val="0"/>
        <w:ind w:left="720" w:hanging="720"/>
        <w:jc w:val="both"/>
      </w:pPr>
      <w:r>
        <w:t xml:space="preserve"> </w:t>
      </w:r>
    </w:p>
    <w:tbl>
      <w:tblPr>
        <w:tblW w:w="8931" w:type="dxa"/>
        <w:tblLook w:val="04A0" w:firstRow="1" w:lastRow="0" w:firstColumn="1" w:lastColumn="0" w:noHBand="0" w:noVBand="1"/>
      </w:tblPr>
      <w:tblGrid>
        <w:gridCol w:w="2080"/>
        <w:gridCol w:w="1698"/>
        <w:gridCol w:w="1698"/>
        <w:gridCol w:w="1977"/>
        <w:gridCol w:w="1478"/>
      </w:tblGrid>
      <w:tr w:rsidR="00B22E21" w:rsidRPr="00B22E21" w14:paraId="3369DACA" w14:textId="77777777" w:rsidTr="00B33ED3">
        <w:trPr>
          <w:trHeight w:val="300"/>
        </w:trPr>
        <w:tc>
          <w:tcPr>
            <w:tcW w:w="8931" w:type="dxa"/>
            <w:gridSpan w:val="5"/>
            <w:tcBorders>
              <w:top w:val="nil"/>
              <w:left w:val="nil"/>
              <w:bottom w:val="single" w:sz="4" w:space="0" w:color="auto"/>
              <w:right w:val="nil"/>
            </w:tcBorders>
            <w:shd w:val="clear" w:color="auto" w:fill="auto"/>
            <w:noWrap/>
            <w:vAlign w:val="bottom"/>
          </w:tcPr>
          <w:p w14:paraId="09AC55F2" w14:textId="3929B994" w:rsidR="00B22E21" w:rsidRPr="00B22E21" w:rsidRDefault="00B22E21" w:rsidP="00B22E21">
            <w:pPr>
              <w:rPr>
                <w:rFonts w:ascii="Calibri" w:eastAsia="Times New Roman" w:hAnsi="Calibri" w:cs="Calibri"/>
                <w:color w:val="000000"/>
                <w:lang w:eastAsia="en-US"/>
              </w:rPr>
            </w:pPr>
            <w:r>
              <w:rPr>
                <w:rFonts w:ascii="Calibri" w:eastAsia="Times New Roman" w:hAnsi="Calibri" w:cs="Calibri"/>
                <w:color w:val="000000"/>
                <w:lang w:eastAsia="en-US"/>
              </w:rPr>
              <w:t xml:space="preserve">Table 5(b): Allocation of Destination Bonds for Bidding on Second Source Bond </w:t>
            </w:r>
            <w:r w:rsidRPr="008B7A79">
              <w:rPr>
                <w:rFonts w:ascii="Calibri" w:eastAsia="Times New Roman" w:hAnsi="Calibri" w:cs="Calibri"/>
                <w:bCs/>
                <w:color w:val="000000"/>
                <w:lang w:eastAsia="en-US"/>
              </w:rPr>
              <w:t>AMGN36294194</w:t>
            </w:r>
          </w:p>
        </w:tc>
      </w:tr>
      <w:tr w:rsidR="00B33ED3" w:rsidRPr="00B33ED3" w14:paraId="1188949C" w14:textId="77777777" w:rsidTr="00B33ED3">
        <w:trPr>
          <w:trHeight w:val="300"/>
        </w:trPr>
        <w:tc>
          <w:tcPr>
            <w:tcW w:w="2080" w:type="dxa"/>
            <w:vMerge w:val="restart"/>
            <w:tcBorders>
              <w:top w:val="single" w:sz="4" w:space="0" w:color="auto"/>
              <w:left w:val="single" w:sz="4" w:space="0" w:color="auto"/>
              <w:right w:val="single" w:sz="4" w:space="0" w:color="auto"/>
            </w:tcBorders>
            <w:shd w:val="clear" w:color="auto" w:fill="auto"/>
            <w:noWrap/>
            <w:vAlign w:val="bottom"/>
          </w:tcPr>
          <w:p w14:paraId="6A389D00" w14:textId="5EE1338F" w:rsidR="00B33ED3" w:rsidRPr="00B33ED3" w:rsidRDefault="00B33ED3" w:rsidP="00B33ED3">
            <w:pPr>
              <w:jc w:val="center"/>
              <w:rPr>
                <w:rFonts w:ascii="Calibri" w:eastAsia="Times New Roman" w:hAnsi="Calibri" w:cs="Calibri"/>
                <w:b/>
                <w:bCs/>
                <w:lang w:eastAsia="en-US"/>
              </w:rPr>
            </w:pPr>
            <w:r w:rsidRPr="00B33ED3">
              <w:rPr>
                <w:rFonts w:ascii="Calibri" w:eastAsia="Times New Roman" w:hAnsi="Calibri" w:cs="Calibri"/>
                <w:b/>
                <w:bCs/>
                <w:lang w:eastAsia="en-US"/>
              </w:rPr>
              <w:t>Bidders</w:t>
            </w:r>
          </w:p>
        </w:tc>
        <w:tc>
          <w:tcPr>
            <w:tcW w:w="6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0366BA" w14:textId="3513AA94" w:rsidR="00B33ED3" w:rsidRPr="00B33ED3" w:rsidRDefault="00B33ED3" w:rsidP="00B22E21">
            <w:pPr>
              <w:jc w:val="center"/>
              <w:rPr>
                <w:rFonts w:ascii="Calibri" w:eastAsia="Times New Roman" w:hAnsi="Calibri" w:cs="Calibri"/>
                <w:lang w:eastAsia="en-US"/>
              </w:rPr>
            </w:pPr>
            <w:r w:rsidRPr="00B33ED3">
              <w:rPr>
                <w:rFonts w:ascii="Calibri" w:eastAsia="Times New Roman" w:hAnsi="Calibri" w:cs="Calibri"/>
                <w:lang w:eastAsia="en-US"/>
              </w:rPr>
              <w:t>Destination Bonds</w:t>
            </w:r>
          </w:p>
        </w:tc>
      </w:tr>
      <w:tr w:rsidR="00B33ED3" w:rsidRPr="00B22E21" w14:paraId="0BE5487C" w14:textId="77777777" w:rsidTr="00B33ED3">
        <w:trPr>
          <w:trHeight w:val="300"/>
        </w:trPr>
        <w:tc>
          <w:tcPr>
            <w:tcW w:w="2080" w:type="dxa"/>
            <w:vMerge/>
            <w:tcBorders>
              <w:top w:val="single" w:sz="4" w:space="0" w:color="auto"/>
              <w:left w:val="single" w:sz="4" w:space="0" w:color="auto"/>
              <w:right w:val="single" w:sz="4" w:space="0" w:color="auto"/>
            </w:tcBorders>
            <w:shd w:val="clear" w:color="auto" w:fill="auto"/>
            <w:noWrap/>
            <w:vAlign w:val="bottom"/>
            <w:hideMark/>
          </w:tcPr>
          <w:p w14:paraId="6DBD33DF" w14:textId="08DD91CC" w:rsidR="00B33ED3" w:rsidRPr="00B22E21" w:rsidRDefault="00B33ED3" w:rsidP="00B22E21">
            <w:pPr>
              <w:rPr>
                <w:rFonts w:ascii="Calibri" w:eastAsia="Times New Roman" w:hAnsi="Calibri" w:cs="Calibri"/>
                <w:b/>
                <w:bCs/>
                <w:color w:val="000000"/>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BE88D" w14:textId="77777777" w:rsidR="00B33ED3" w:rsidRPr="00B22E21" w:rsidRDefault="00B33ED3" w:rsidP="00B22E21">
            <w:pPr>
              <w:rPr>
                <w:rFonts w:ascii="Calibri" w:eastAsia="Times New Roman" w:hAnsi="Calibri" w:cs="Calibri"/>
                <w:b/>
                <w:bCs/>
                <w:color w:val="000000"/>
                <w:lang w:eastAsia="en-US"/>
              </w:rPr>
            </w:pPr>
            <w:r w:rsidRPr="00B22E21">
              <w:rPr>
                <w:rFonts w:ascii="Calibri" w:eastAsia="Times New Roman" w:hAnsi="Calibri" w:cs="Calibri"/>
                <w:b/>
                <w:bCs/>
                <w:color w:val="000000"/>
                <w:lang w:eastAsia="en-US"/>
              </w:rPr>
              <w:t>AMGB20072287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2A7C" w14:textId="77777777" w:rsidR="00B33ED3" w:rsidRPr="00B22E21" w:rsidRDefault="00B33ED3" w:rsidP="00B22E21">
            <w:pPr>
              <w:rPr>
                <w:rFonts w:ascii="Calibri" w:eastAsia="Times New Roman" w:hAnsi="Calibri" w:cs="Calibri"/>
                <w:b/>
                <w:bCs/>
                <w:color w:val="000000"/>
                <w:lang w:eastAsia="en-US"/>
              </w:rPr>
            </w:pPr>
            <w:r w:rsidRPr="00B22E21">
              <w:rPr>
                <w:rFonts w:ascii="Calibri" w:eastAsia="Times New Roman" w:hAnsi="Calibri" w:cs="Calibri"/>
                <w:b/>
                <w:bCs/>
                <w:color w:val="000000"/>
                <w:lang w:eastAsia="en-US"/>
              </w:rPr>
              <w:t>AMGB30163472</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B8E7" w14:textId="77777777" w:rsidR="00B33ED3" w:rsidRPr="00B22E21" w:rsidRDefault="00B33ED3" w:rsidP="00B22E21">
            <w:pPr>
              <w:rPr>
                <w:rFonts w:ascii="Calibri" w:eastAsia="Times New Roman" w:hAnsi="Calibri" w:cs="Calibri"/>
                <w:b/>
                <w:bCs/>
                <w:color w:val="000000"/>
                <w:lang w:eastAsia="en-US"/>
              </w:rPr>
            </w:pPr>
            <w:r w:rsidRPr="00B22E21">
              <w:rPr>
                <w:rFonts w:ascii="Calibri" w:eastAsia="Times New Roman" w:hAnsi="Calibri" w:cs="Calibri"/>
                <w:b/>
                <w:bCs/>
                <w:color w:val="000000"/>
                <w:lang w:eastAsia="en-US"/>
              </w:rPr>
              <w:t>AMGN60294235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1584C" w14:textId="77777777" w:rsidR="00B33ED3" w:rsidRPr="00B22E21" w:rsidRDefault="00B33ED3" w:rsidP="00B33ED3">
            <w:pPr>
              <w:jc w:val="center"/>
              <w:rPr>
                <w:rFonts w:ascii="Calibri" w:eastAsia="Times New Roman" w:hAnsi="Calibri" w:cs="Calibri"/>
                <w:color w:val="000000"/>
                <w:lang w:eastAsia="en-US"/>
              </w:rPr>
            </w:pPr>
            <w:r w:rsidRPr="00B22E21">
              <w:rPr>
                <w:rFonts w:ascii="Calibri" w:eastAsia="Times New Roman" w:hAnsi="Calibri" w:cs="Calibri"/>
                <w:color w:val="000000"/>
                <w:lang w:eastAsia="en-US"/>
              </w:rPr>
              <w:t>Total</w:t>
            </w:r>
          </w:p>
        </w:tc>
      </w:tr>
      <w:tr w:rsidR="00B33ED3" w:rsidRPr="00B22E21" w14:paraId="098B11CE" w14:textId="77777777" w:rsidTr="00B33ED3">
        <w:trPr>
          <w:trHeight w:val="399"/>
        </w:trPr>
        <w:tc>
          <w:tcPr>
            <w:tcW w:w="2080" w:type="dxa"/>
            <w:tcBorders>
              <w:left w:val="single" w:sz="4" w:space="0" w:color="auto"/>
              <w:bottom w:val="nil"/>
              <w:right w:val="single" w:sz="4" w:space="0" w:color="auto"/>
            </w:tcBorders>
            <w:shd w:val="clear" w:color="auto" w:fill="auto"/>
            <w:noWrap/>
            <w:vAlign w:val="bottom"/>
            <w:hideMark/>
          </w:tcPr>
          <w:p w14:paraId="761A6D99" w14:textId="77777777" w:rsidR="00B22E21" w:rsidRPr="00B22E21" w:rsidRDefault="00B22E21" w:rsidP="00B22E21">
            <w:pPr>
              <w:jc w:val="cente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A</w:t>
            </w:r>
          </w:p>
        </w:tc>
        <w:tc>
          <w:tcPr>
            <w:tcW w:w="1698" w:type="dxa"/>
            <w:tcBorders>
              <w:top w:val="single" w:sz="4" w:space="0" w:color="auto"/>
              <w:left w:val="single" w:sz="4" w:space="0" w:color="auto"/>
              <w:bottom w:val="nil"/>
              <w:right w:val="single" w:sz="4" w:space="0" w:color="auto"/>
            </w:tcBorders>
            <w:shd w:val="clear" w:color="auto" w:fill="auto"/>
            <w:noWrap/>
            <w:vAlign w:val="bottom"/>
            <w:hideMark/>
          </w:tcPr>
          <w:p w14:paraId="6EEB7B65" w14:textId="37E70FBB"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12,139,020 </w:t>
            </w:r>
          </w:p>
        </w:tc>
        <w:tc>
          <w:tcPr>
            <w:tcW w:w="1698" w:type="dxa"/>
            <w:tcBorders>
              <w:top w:val="single" w:sz="4" w:space="0" w:color="auto"/>
              <w:left w:val="single" w:sz="4" w:space="0" w:color="auto"/>
              <w:bottom w:val="nil"/>
              <w:right w:val="single" w:sz="4" w:space="0" w:color="auto"/>
            </w:tcBorders>
            <w:shd w:val="clear" w:color="auto" w:fill="auto"/>
            <w:noWrap/>
            <w:vAlign w:val="bottom"/>
            <w:hideMark/>
          </w:tcPr>
          <w:p w14:paraId="5AE9B26C"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4,046,088 </w:t>
            </w:r>
          </w:p>
        </w:tc>
        <w:tc>
          <w:tcPr>
            <w:tcW w:w="1977" w:type="dxa"/>
            <w:tcBorders>
              <w:top w:val="single" w:sz="4" w:space="0" w:color="auto"/>
              <w:left w:val="single" w:sz="4" w:space="0" w:color="auto"/>
              <w:bottom w:val="nil"/>
              <w:right w:val="single" w:sz="4" w:space="0" w:color="auto"/>
            </w:tcBorders>
            <w:shd w:val="clear" w:color="auto" w:fill="auto"/>
            <w:noWrap/>
            <w:vAlign w:val="bottom"/>
            <w:hideMark/>
          </w:tcPr>
          <w:p w14:paraId="526EC641"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5,059,305 </w:t>
            </w:r>
          </w:p>
        </w:tc>
        <w:tc>
          <w:tcPr>
            <w:tcW w:w="1478" w:type="dxa"/>
            <w:tcBorders>
              <w:top w:val="single" w:sz="4" w:space="0" w:color="auto"/>
              <w:left w:val="single" w:sz="4" w:space="0" w:color="auto"/>
              <w:bottom w:val="nil"/>
              <w:right w:val="single" w:sz="4" w:space="0" w:color="auto"/>
            </w:tcBorders>
            <w:shd w:val="clear" w:color="auto" w:fill="auto"/>
            <w:noWrap/>
            <w:vAlign w:val="bottom"/>
            <w:hideMark/>
          </w:tcPr>
          <w:p w14:paraId="7EB89077" w14:textId="77777777" w:rsidR="00B22E21" w:rsidRPr="00B22E21" w:rsidRDefault="00B22E21" w:rsidP="00B22E21">
            <w:pPr>
              <w:jc w:val="right"/>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21,244,413</w:t>
            </w:r>
          </w:p>
        </w:tc>
      </w:tr>
      <w:tr w:rsidR="00B33ED3" w:rsidRPr="00B22E21" w14:paraId="60A87A99" w14:textId="77777777" w:rsidTr="00B33ED3">
        <w:trPr>
          <w:trHeight w:val="431"/>
        </w:trPr>
        <w:tc>
          <w:tcPr>
            <w:tcW w:w="2080" w:type="dxa"/>
            <w:tcBorders>
              <w:top w:val="nil"/>
              <w:left w:val="single" w:sz="4" w:space="0" w:color="auto"/>
              <w:bottom w:val="nil"/>
              <w:right w:val="single" w:sz="4" w:space="0" w:color="auto"/>
            </w:tcBorders>
            <w:shd w:val="clear" w:color="auto" w:fill="auto"/>
            <w:noWrap/>
            <w:vAlign w:val="bottom"/>
            <w:hideMark/>
          </w:tcPr>
          <w:p w14:paraId="3736C6F5" w14:textId="77777777" w:rsidR="00B22E21" w:rsidRPr="00B22E21" w:rsidRDefault="00B22E21" w:rsidP="00B22E21">
            <w:pPr>
              <w:jc w:val="cente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B</w:t>
            </w:r>
          </w:p>
        </w:tc>
        <w:tc>
          <w:tcPr>
            <w:tcW w:w="1698" w:type="dxa"/>
            <w:tcBorders>
              <w:top w:val="nil"/>
              <w:left w:val="single" w:sz="4" w:space="0" w:color="auto"/>
              <w:bottom w:val="nil"/>
              <w:right w:val="single" w:sz="4" w:space="0" w:color="auto"/>
            </w:tcBorders>
            <w:shd w:val="clear" w:color="auto" w:fill="auto"/>
            <w:noWrap/>
            <w:vAlign w:val="bottom"/>
            <w:hideMark/>
          </w:tcPr>
          <w:p w14:paraId="4B7B648B"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8,094,544 </w:t>
            </w:r>
          </w:p>
        </w:tc>
        <w:tc>
          <w:tcPr>
            <w:tcW w:w="1698" w:type="dxa"/>
            <w:tcBorders>
              <w:top w:val="nil"/>
              <w:left w:val="single" w:sz="4" w:space="0" w:color="auto"/>
              <w:bottom w:val="nil"/>
              <w:right w:val="single" w:sz="4" w:space="0" w:color="auto"/>
            </w:tcBorders>
            <w:shd w:val="clear" w:color="auto" w:fill="auto"/>
            <w:noWrap/>
            <w:vAlign w:val="bottom"/>
            <w:hideMark/>
          </w:tcPr>
          <w:p w14:paraId="57CD0388"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5,060,235 </w:t>
            </w:r>
          </w:p>
        </w:tc>
        <w:tc>
          <w:tcPr>
            <w:tcW w:w="1977" w:type="dxa"/>
            <w:tcBorders>
              <w:top w:val="nil"/>
              <w:left w:val="single" w:sz="4" w:space="0" w:color="auto"/>
              <w:bottom w:val="nil"/>
              <w:right w:val="single" w:sz="4" w:space="0" w:color="auto"/>
            </w:tcBorders>
            <w:shd w:val="clear" w:color="auto" w:fill="auto"/>
            <w:noWrap/>
            <w:vAlign w:val="bottom"/>
            <w:hideMark/>
          </w:tcPr>
          <w:p w14:paraId="6F0D6CD8"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8,092,848 </w:t>
            </w:r>
          </w:p>
        </w:tc>
        <w:tc>
          <w:tcPr>
            <w:tcW w:w="1478" w:type="dxa"/>
            <w:tcBorders>
              <w:top w:val="nil"/>
              <w:left w:val="single" w:sz="4" w:space="0" w:color="auto"/>
              <w:bottom w:val="nil"/>
              <w:right w:val="single" w:sz="4" w:space="0" w:color="auto"/>
            </w:tcBorders>
            <w:shd w:val="clear" w:color="auto" w:fill="auto"/>
            <w:noWrap/>
            <w:vAlign w:val="bottom"/>
            <w:hideMark/>
          </w:tcPr>
          <w:p w14:paraId="71157EA5" w14:textId="77777777" w:rsidR="00B22E21" w:rsidRPr="00B22E21" w:rsidRDefault="00B22E21" w:rsidP="00B22E21">
            <w:pPr>
              <w:jc w:val="right"/>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21,247,627</w:t>
            </w:r>
          </w:p>
        </w:tc>
      </w:tr>
      <w:tr w:rsidR="00B33ED3" w:rsidRPr="00B22E21" w14:paraId="48055369" w14:textId="77777777" w:rsidTr="00B33ED3">
        <w:trPr>
          <w:trHeight w:val="300"/>
        </w:trPr>
        <w:tc>
          <w:tcPr>
            <w:tcW w:w="2080" w:type="dxa"/>
            <w:tcBorders>
              <w:top w:val="nil"/>
              <w:left w:val="single" w:sz="4" w:space="0" w:color="auto"/>
              <w:right w:val="single" w:sz="4" w:space="0" w:color="auto"/>
            </w:tcBorders>
            <w:shd w:val="clear" w:color="auto" w:fill="auto"/>
            <w:noWrap/>
            <w:vAlign w:val="bottom"/>
            <w:hideMark/>
          </w:tcPr>
          <w:p w14:paraId="3A7426C2" w14:textId="77777777" w:rsidR="00B22E21" w:rsidRPr="00B22E21" w:rsidRDefault="00B22E21" w:rsidP="00B22E21">
            <w:pPr>
              <w:jc w:val="cente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C</w:t>
            </w:r>
          </w:p>
        </w:tc>
        <w:tc>
          <w:tcPr>
            <w:tcW w:w="1698" w:type="dxa"/>
            <w:tcBorders>
              <w:top w:val="nil"/>
              <w:left w:val="single" w:sz="4" w:space="0" w:color="auto"/>
              <w:right w:val="single" w:sz="4" w:space="0" w:color="auto"/>
            </w:tcBorders>
            <w:shd w:val="clear" w:color="auto" w:fill="auto"/>
            <w:noWrap/>
            <w:vAlign w:val="bottom"/>
            <w:hideMark/>
          </w:tcPr>
          <w:p w14:paraId="14FFBEE4"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6,069,894 </w:t>
            </w:r>
          </w:p>
        </w:tc>
        <w:tc>
          <w:tcPr>
            <w:tcW w:w="1698" w:type="dxa"/>
            <w:tcBorders>
              <w:top w:val="nil"/>
              <w:left w:val="single" w:sz="4" w:space="0" w:color="auto"/>
              <w:right w:val="single" w:sz="4" w:space="0" w:color="auto"/>
            </w:tcBorders>
            <w:shd w:val="clear" w:color="auto" w:fill="auto"/>
            <w:noWrap/>
            <w:vAlign w:val="bottom"/>
            <w:hideMark/>
          </w:tcPr>
          <w:p w14:paraId="324ADF36"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5,058,115 </w:t>
            </w:r>
          </w:p>
        </w:tc>
        <w:tc>
          <w:tcPr>
            <w:tcW w:w="1977" w:type="dxa"/>
            <w:tcBorders>
              <w:top w:val="nil"/>
              <w:left w:val="single" w:sz="4" w:space="0" w:color="auto"/>
              <w:right w:val="single" w:sz="4" w:space="0" w:color="auto"/>
            </w:tcBorders>
            <w:shd w:val="clear" w:color="auto" w:fill="auto"/>
            <w:noWrap/>
            <w:vAlign w:val="bottom"/>
            <w:hideMark/>
          </w:tcPr>
          <w:p w14:paraId="7D61DECC"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w:t>
            </w:r>
          </w:p>
        </w:tc>
        <w:tc>
          <w:tcPr>
            <w:tcW w:w="1478" w:type="dxa"/>
            <w:tcBorders>
              <w:top w:val="nil"/>
              <w:left w:val="single" w:sz="4" w:space="0" w:color="auto"/>
              <w:right w:val="single" w:sz="4" w:space="0" w:color="auto"/>
            </w:tcBorders>
            <w:shd w:val="clear" w:color="auto" w:fill="auto"/>
            <w:noWrap/>
            <w:vAlign w:val="bottom"/>
            <w:hideMark/>
          </w:tcPr>
          <w:p w14:paraId="2EAD438D" w14:textId="77777777" w:rsidR="00B22E21" w:rsidRPr="00B22E21" w:rsidRDefault="00B22E21" w:rsidP="00B22E21">
            <w:pPr>
              <w:jc w:val="right"/>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11,128,009</w:t>
            </w:r>
          </w:p>
        </w:tc>
      </w:tr>
      <w:tr w:rsidR="00B33ED3" w:rsidRPr="00B22E21" w14:paraId="10CA8E97" w14:textId="77777777" w:rsidTr="00B33ED3">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F5DBF29" w14:textId="77777777" w:rsidR="00B22E21" w:rsidRPr="00B22E21" w:rsidRDefault="00B22E21" w:rsidP="00B22E21">
            <w:pPr>
              <w:jc w:val="cente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D</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1A7B3D79"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04F1F991"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5,058,330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1FFE267"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609D6222" w14:textId="77777777" w:rsidR="00B22E21" w:rsidRPr="00B22E21" w:rsidRDefault="00B22E21" w:rsidP="00B22E21">
            <w:pPr>
              <w:jc w:val="right"/>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5,058,330</w:t>
            </w:r>
          </w:p>
        </w:tc>
      </w:tr>
      <w:tr w:rsidR="00B33ED3" w:rsidRPr="00B22E21" w14:paraId="700D37F1" w14:textId="77777777" w:rsidTr="00B33ED3">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6A0B" w14:textId="77777777" w:rsidR="00B22E21" w:rsidRPr="00B22E21" w:rsidRDefault="00B22E21" w:rsidP="00B22E21">
            <w:pPr>
              <w:jc w:val="cente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Total</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E0A5"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26,303,458 </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D9B5" w14:textId="77777777"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19,222,768 </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BE56" w14:textId="110CECDA" w:rsidR="00B22E21" w:rsidRPr="00B22E21" w:rsidRDefault="00B22E21" w:rsidP="00B22E21">
            <w:pPr>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 xml:space="preserve">               13,152,153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AAAF4" w14:textId="77777777" w:rsidR="00B22E21" w:rsidRPr="00B22E21" w:rsidRDefault="00B22E21" w:rsidP="00B22E21">
            <w:pPr>
              <w:jc w:val="right"/>
              <w:rPr>
                <w:rFonts w:ascii="Calibri" w:eastAsia="Times New Roman" w:hAnsi="Calibri" w:cs="Calibri"/>
                <w:color w:val="000000"/>
                <w:sz w:val="20"/>
                <w:szCs w:val="20"/>
                <w:lang w:eastAsia="en-US"/>
              </w:rPr>
            </w:pPr>
            <w:r w:rsidRPr="00B22E21">
              <w:rPr>
                <w:rFonts w:ascii="Calibri" w:eastAsia="Times New Roman" w:hAnsi="Calibri" w:cs="Calibri"/>
                <w:color w:val="000000"/>
                <w:sz w:val="20"/>
                <w:szCs w:val="20"/>
                <w:lang w:eastAsia="en-US"/>
              </w:rPr>
              <w:t>58,678,379</w:t>
            </w:r>
          </w:p>
        </w:tc>
      </w:tr>
    </w:tbl>
    <w:p w14:paraId="12521B98" w14:textId="24F326E3" w:rsidR="00A0303A" w:rsidRDefault="00A0303A" w:rsidP="000621C7">
      <w:pPr>
        <w:ind w:left="360"/>
        <w:jc w:val="center"/>
        <w:rPr>
          <w:rFonts w:cs="Arial"/>
        </w:rPr>
      </w:pPr>
    </w:p>
    <w:p w14:paraId="461AEAF9" w14:textId="505D7278" w:rsidR="00B33ED3" w:rsidRDefault="00A44D61" w:rsidP="00A44D61">
      <w:pPr>
        <w:ind w:left="720" w:hanging="720"/>
        <w:jc w:val="both"/>
        <w:rPr>
          <w:rFonts w:cs="Arial"/>
        </w:rPr>
      </w:pPr>
      <w:r>
        <w:rPr>
          <w:rFonts w:cs="Arial"/>
        </w:rPr>
        <w:lastRenderedPageBreak/>
        <w:t>26.8</w:t>
      </w:r>
      <w:r>
        <w:rPr>
          <w:rFonts w:cs="Arial"/>
        </w:rPr>
        <w:tab/>
      </w:r>
      <w:r w:rsidR="00B33ED3">
        <w:rPr>
          <w:rFonts w:cs="Arial"/>
        </w:rPr>
        <w:t xml:space="preserve">Based on the information on initial allocation of destination bonds from Tables 4(b) and 5(b) relating to the two source bonds, </w:t>
      </w:r>
      <w:r w:rsidR="00B075F4">
        <w:rPr>
          <w:rFonts w:cs="Arial"/>
        </w:rPr>
        <w:t>T</w:t>
      </w:r>
      <w:r w:rsidR="00B33ED3">
        <w:rPr>
          <w:rFonts w:cs="Arial"/>
        </w:rPr>
        <w:t>able 6</w:t>
      </w:r>
      <w:r w:rsidR="00B075F4">
        <w:rPr>
          <w:rFonts w:cs="Arial"/>
        </w:rPr>
        <w:t xml:space="preserve"> </w:t>
      </w:r>
      <w:r>
        <w:rPr>
          <w:rFonts w:cs="Arial"/>
        </w:rPr>
        <w:t xml:space="preserve">indicates the final allocation for the three destination bonds. The allocation of the face value is rounded to </w:t>
      </w:r>
      <w:r w:rsidR="00B075F4">
        <w:rPr>
          <w:rFonts w:cs="Arial"/>
        </w:rPr>
        <w:t xml:space="preserve">ARM </w:t>
      </w:r>
      <w:r>
        <w:rPr>
          <w:rFonts w:cs="Arial"/>
        </w:rPr>
        <w:t>ten thousand units.</w:t>
      </w:r>
      <w:r w:rsidR="0042056C">
        <w:rPr>
          <w:rFonts w:cs="Arial"/>
        </w:rPr>
        <w:t xml:space="preserve"> </w:t>
      </w:r>
    </w:p>
    <w:p w14:paraId="05C24615" w14:textId="09074396" w:rsidR="00A44D61" w:rsidRDefault="00A44D61" w:rsidP="00A44D61">
      <w:pPr>
        <w:rPr>
          <w:rFonts w:cs="Arial"/>
        </w:rPr>
      </w:pPr>
    </w:p>
    <w:tbl>
      <w:tblPr>
        <w:tblW w:w="8995" w:type="dxa"/>
        <w:jc w:val="center"/>
        <w:tblLook w:val="04A0" w:firstRow="1" w:lastRow="0" w:firstColumn="1" w:lastColumn="0" w:noHBand="0" w:noVBand="1"/>
      </w:tblPr>
      <w:tblGrid>
        <w:gridCol w:w="2080"/>
        <w:gridCol w:w="1846"/>
        <w:gridCol w:w="1615"/>
        <w:gridCol w:w="1615"/>
        <w:gridCol w:w="2045"/>
      </w:tblGrid>
      <w:tr w:rsidR="00A44D61" w:rsidRPr="00A44D61" w14:paraId="20020205" w14:textId="77777777" w:rsidTr="0042056C">
        <w:trPr>
          <w:trHeight w:val="300"/>
          <w:jc w:val="center"/>
        </w:trPr>
        <w:tc>
          <w:tcPr>
            <w:tcW w:w="8995" w:type="dxa"/>
            <w:gridSpan w:val="5"/>
            <w:tcBorders>
              <w:top w:val="nil"/>
              <w:left w:val="nil"/>
              <w:bottom w:val="single" w:sz="4" w:space="0" w:color="auto"/>
              <w:right w:val="nil"/>
            </w:tcBorders>
            <w:shd w:val="clear" w:color="auto" w:fill="auto"/>
            <w:noWrap/>
            <w:vAlign w:val="bottom"/>
          </w:tcPr>
          <w:p w14:paraId="2F74698D" w14:textId="0AAA4D8C" w:rsidR="00A44D61" w:rsidRPr="00D220DF" w:rsidRDefault="00B075F4" w:rsidP="00A44D61">
            <w:pPr>
              <w:jc w:val="center"/>
              <w:rPr>
                <w:rFonts w:ascii="Calibri" w:eastAsia="Times New Roman" w:hAnsi="Calibri" w:cs="Calibri"/>
                <w:color w:val="000000"/>
                <w:lang w:eastAsia="en-US"/>
              </w:rPr>
            </w:pPr>
            <w:r w:rsidRPr="00D220DF">
              <w:rPr>
                <w:rFonts w:ascii="Calibri" w:eastAsia="Times New Roman" w:hAnsi="Calibri" w:cs="Calibri"/>
                <w:color w:val="000000"/>
                <w:lang w:eastAsia="en-US"/>
              </w:rPr>
              <w:t xml:space="preserve">Table 6: </w:t>
            </w:r>
            <w:r w:rsidR="00A44D61" w:rsidRPr="00D220DF">
              <w:rPr>
                <w:rFonts w:ascii="Calibri" w:eastAsia="Times New Roman" w:hAnsi="Calibri" w:cs="Calibri"/>
                <w:color w:val="000000"/>
                <w:lang w:eastAsia="en-US"/>
              </w:rPr>
              <w:t>Allocation of Destination Bonds by Bidders</w:t>
            </w:r>
          </w:p>
        </w:tc>
      </w:tr>
      <w:tr w:rsidR="00A44D61" w:rsidRPr="00A44D61" w14:paraId="3DE94FE0" w14:textId="77777777" w:rsidTr="0042056C">
        <w:trPr>
          <w:trHeight w:val="300"/>
          <w:jc w:val="center"/>
        </w:trPr>
        <w:tc>
          <w:tcPr>
            <w:tcW w:w="2080" w:type="dxa"/>
            <w:tcBorders>
              <w:top w:val="single" w:sz="4" w:space="0" w:color="auto"/>
              <w:left w:val="single" w:sz="4" w:space="0" w:color="auto"/>
              <w:bottom w:val="single" w:sz="4" w:space="0" w:color="auto"/>
              <w:right w:val="nil"/>
            </w:tcBorders>
            <w:shd w:val="clear" w:color="auto" w:fill="FABF8F" w:themeFill="accent6" w:themeFillTint="99"/>
            <w:noWrap/>
            <w:vAlign w:val="bottom"/>
          </w:tcPr>
          <w:p w14:paraId="224472FE" w14:textId="090E6AAD" w:rsidR="00A44D61" w:rsidRPr="00E45687" w:rsidRDefault="00A44D61" w:rsidP="00A44D61">
            <w:pPr>
              <w:rPr>
                <w:rFonts w:ascii="Calibri" w:eastAsia="Times New Roman" w:hAnsi="Calibri" w:cs="Calibri"/>
                <w:b/>
                <w:bCs/>
                <w:color w:val="000000"/>
                <w:lang w:eastAsia="en-US"/>
              </w:rPr>
            </w:pPr>
            <w:r w:rsidRPr="00E45687">
              <w:rPr>
                <w:rFonts w:ascii="Calibri" w:eastAsia="Times New Roman" w:hAnsi="Calibri" w:cs="Calibri"/>
                <w:b/>
                <w:bCs/>
                <w:color w:val="000000"/>
                <w:lang w:eastAsia="en-US"/>
              </w:rPr>
              <w:t>Bidders</w:t>
            </w:r>
          </w:p>
        </w:tc>
        <w:tc>
          <w:tcPr>
            <w:tcW w:w="1846" w:type="dxa"/>
            <w:tcBorders>
              <w:top w:val="single" w:sz="4" w:space="0" w:color="auto"/>
              <w:left w:val="nil"/>
              <w:bottom w:val="single" w:sz="4" w:space="0" w:color="auto"/>
              <w:right w:val="nil"/>
            </w:tcBorders>
            <w:shd w:val="clear" w:color="auto" w:fill="FABF8F" w:themeFill="accent6" w:themeFillTint="99"/>
            <w:noWrap/>
            <w:vAlign w:val="bottom"/>
          </w:tcPr>
          <w:p w14:paraId="36FC50F7" w14:textId="37ACF64E" w:rsidR="00A44D61" w:rsidRPr="00E45687" w:rsidRDefault="00A44D61" w:rsidP="00A44D61">
            <w:pPr>
              <w:rPr>
                <w:rFonts w:ascii="Calibri" w:eastAsia="Times New Roman" w:hAnsi="Calibri" w:cs="Calibri"/>
                <w:b/>
                <w:color w:val="000000"/>
                <w:lang w:eastAsia="en-US"/>
              </w:rPr>
            </w:pPr>
            <w:r w:rsidRPr="00A44D61">
              <w:rPr>
                <w:rFonts w:ascii="Calibri" w:eastAsia="Times New Roman" w:hAnsi="Calibri" w:cs="Calibri"/>
                <w:b/>
                <w:color w:val="000000"/>
                <w:lang w:eastAsia="en-US"/>
              </w:rPr>
              <w:t>Dirty Price to Match</w:t>
            </w:r>
          </w:p>
        </w:tc>
        <w:tc>
          <w:tcPr>
            <w:tcW w:w="1504" w:type="dxa"/>
            <w:tcBorders>
              <w:top w:val="single" w:sz="4" w:space="0" w:color="auto"/>
              <w:left w:val="nil"/>
              <w:bottom w:val="single" w:sz="4" w:space="0" w:color="auto"/>
              <w:right w:val="nil"/>
            </w:tcBorders>
            <w:shd w:val="clear" w:color="auto" w:fill="FABF8F" w:themeFill="accent6" w:themeFillTint="99"/>
            <w:noWrap/>
            <w:vAlign w:val="bottom"/>
          </w:tcPr>
          <w:p w14:paraId="08BAF3A4" w14:textId="0171ED59" w:rsidR="00A44D61" w:rsidRPr="00E45687" w:rsidRDefault="00A44D61" w:rsidP="00A44D61">
            <w:pPr>
              <w:rPr>
                <w:rFonts w:ascii="Calibri" w:eastAsia="Times New Roman" w:hAnsi="Calibri" w:cs="Calibri"/>
                <w:b/>
                <w:color w:val="000000"/>
                <w:lang w:eastAsia="en-US"/>
              </w:rPr>
            </w:pPr>
            <w:r w:rsidRPr="00A44D61">
              <w:rPr>
                <w:rFonts w:ascii="Calibri" w:eastAsia="Times New Roman" w:hAnsi="Calibri" w:cs="Calibri"/>
                <w:b/>
                <w:color w:val="000000"/>
                <w:lang w:eastAsia="en-US"/>
              </w:rPr>
              <w:t>FV Equivalent</w:t>
            </w:r>
          </w:p>
        </w:tc>
        <w:tc>
          <w:tcPr>
            <w:tcW w:w="1520" w:type="dxa"/>
            <w:tcBorders>
              <w:top w:val="single" w:sz="4" w:space="0" w:color="auto"/>
              <w:left w:val="nil"/>
              <w:bottom w:val="single" w:sz="4" w:space="0" w:color="auto"/>
              <w:right w:val="nil"/>
            </w:tcBorders>
            <w:shd w:val="clear" w:color="auto" w:fill="FABF8F" w:themeFill="accent6" w:themeFillTint="99"/>
            <w:noWrap/>
            <w:vAlign w:val="bottom"/>
          </w:tcPr>
          <w:p w14:paraId="0721A13D" w14:textId="0AAB2F19" w:rsidR="00A44D61" w:rsidRPr="00E45687" w:rsidRDefault="00A44D61" w:rsidP="00A44D61">
            <w:pPr>
              <w:rPr>
                <w:rFonts w:ascii="Calibri" w:eastAsia="Times New Roman" w:hAnsi="Calibri" w:cs="Calibri"/>
                <w:b/>
                <w:color w:val="000000"/>
                <w:lang w:eastAsia="en-US"/>
              </w:rPr>
            </w:pPr>
            <w:r w:rsidRPr="00A44D61">
              <w:rPr>
                <w:rFonts w:ascii="Calibri" w:eastAsia="Times New Roman" w:hAnsi="Calibri" w:cs="Calibri"/>
                <w:b/>
                <w:color w:val="000000"/>
                <w:lang w:eastAsia="en-US"/>
              </w:rPr>
              <w:t>Allocation FV</w:t>
            </w:r>
          </w:p>
        </w:tc>
        <w:tc>
          <w:tcPr>
            <w:tcW w:w="2045" w:type="dxa"/>
            <w:tcBorders>
              <w:top w:val="single" w:sz="4" w:space="0" w:color="auto"/>
              <w:left w:val="nil"/>
              <w:bottom w:val="single" w:sz="4" w:space="0" w:color="auto"/>
              <w:right w:val="single" w:sz="4" w:space="0" w:color="auto"/>
            </w:tcBorders>
            <w:shd w:val="clear" w:color="auto" w:fill="FABF8F" w:themeFill="accent6" w:themeFillTint="99"/>
            <w:noWrap/>
            <w:vAlign w:val="bottom"/>
          </w:tcPr>
          <w:p w14:paraId="30335FA7" w14:textId="643A9BA9" w:rsidR="00A44D61" w:rsidRPr="00E45687" w:rsidRDefault="00A44D61" w:rsidP="00A44D61">
            <w:pPr>
              <w:rPr>
                <w:rFonts w:ascii="Calibri" w:eastAsia="Times New Roman" w:hAnsi="Calibri" w:cs="Calibri"/>
                <w:b/>
                <w:color w:val="000000"/>
                <w:lang w:eastAsia="en-US"/>
              </w:rPr>
            </w:pPr>
            <w:r w:rsidRPr="00A44D61">
              <w:rPr>
                <w:rFonts w:ascii="Calibri" w:eastAsia="Times New Roman" w:hAnsi="Calibri" w:cs="Calibri"/>
                <w:b/>
                <w:color w:val="000000"/>
                <w:lang w:eastAsia="en-US"/>
              </w:rPr>
              <w:t>Receive from Investor</w:t>
            </w:r>
          </w:p>
        </w:tc>
      </w:tr>
      <w:tr w:rsidR="00B075F4" w:rsidRPr="00A44D61" w14:paraId="03A06A7C" w14:textId="77777777" w:rsidTr="0042056C">
        <w:trPr>
          <w:trHeight w:val="300"/>
          <w:jc w:val="center"/>
        </w:trPr>
        <w:tc>
          <w:tcPr>
            <w:tcW w:w="89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E24C" w14:textId="3936543C" w:rsidR="00B075F4" w:rsidRPr="00A44D61" w:rsidRDefault="00B075F4" w:rsidP="00A44D61">
            <w:pPr>
              <w:rPr>
                <w:rFonts w:ascii="Calibri" w:eastAsia="Times New Roman" w:hAnsi="Calibri" w:cs="Calibri"/>
                <w:color w:val="000000"/>
                <w:lang w:eastAsia="en-US"/>
              </w:rPr>
            </w:pPr>
            <w:r>
              <w:rPr>
                <w:rFonts w:ascii="Calibri" w:eastAsia="Times New Roman" w:hAnsi="Calibri" w:cs="Calibri"/>
                <w:b/>
                <w:bCs/>
                <w:color w:val="000000"/>
                <w:lang w:eastAsia="en-US"/>
              </w:rPr>
              <w:t xml:space="preserve">Destination Bond </w:t>
            </w:r>
            <w:r w:rsidRPr="00A44D61">
              <w:rPr>
                <w:rFonts w:ascii="Calibri" w:eastAsia="Times New Roman" w:hAnsi="Calibri" w:cs="Calibri"/>
                <w:b/>
                <w:bCs/>
                <w:color w:val="000000"/>
                <w:lang w:eastAsia="en-US"/>
              </w:rPr>
              <w:t>AMGB20072287</w:t>
            </w:r>
            <w:r w:rsidR="00E45687">
              <w:rPr>
                <w:rFonts w:ascii="Calibri" w:eastAsia="Times New Roman" w:hAnsi="Calibri" w:cs="Calibri"/>
                <w:b/>
                <w:bCs/>
                <w:color w:val="000000"/>
                <w:lang w:eastAsia="en-US"/>
              </w:rPr>
              <w:t>:</w:t>
            </w:r>
          </w:p>
        </w:tc>
      </w:tr>
      <w:tr w:rsidR="00A44D61" w:rsidRPr="00A44D61" w14:paraId="5B6B7D7D" w14:textId="77777777" w:rsidTr="0042056C">
        <w:trPr>
          <w:trHeight w:hRule="exact" w:val="510"/>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3C21C79A"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A</w:t>
            </w:r>
          </w:p>
        </w:tc>
        <w:tc>
          <w:tcPr>
            <w:tcW w:w="1846" w:type="dxa"/>
            <w:tcBorders>
              <w:top w:val="single" w:sz="4" w:space="0" w:color="auto"/>
              <w:left w:val="single" w:sz="4" w:space="0" w:color="auto"/>
              <w:bottom w:val="nil"/>
              <w:right w:val="single" w:sz="4" w:space="0" w:color="auto"/>
            </w:tcBorders>
            <w:shd w:val="clear" w:color="auto" w:fill="auto"/>
            <w:noWrap/>
            <w:vAlign w:val="bottom"/>
            <w:hideMark/>
          </w:tcPr>
          <w:p w14:paraId="76F32D64"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12,139,020.00 </w:t>
            </w:r>
          </w:p>
        </w:tc>
        <w:tc>
          <w:tcPr>
            <w:tcW w:w="1504" w:type="dxa"/>
            <w:tcBorders>
              <w:top w:val="single" w:sz="4" w:space="0" w:color="auto"/>
              <w:left w:val="single" w:sz="4" w:space="0" w:color="auto"/>
              <w:bottom w:val="nil"/>
              <w:right w:val="single" w:sz="4" w:space="0" w:color="auto"/>
            </w:tcBorders>
            <w:shd w:val="clear" w:color="auto" w:fill="auto"/>
            <w:noWrap/>
            <w:vAlign w:val="bottom"/>
            <w:hideMark/>
          </w:tcPr>
          <w:p w14:paraId="6A215C5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11,676,019.14 </w:t>
            </w:r>
          </w:p>
        </w:tc>
        <w:tc>
          <w:tcPr>
            <w:tcW w:w="1520" w:type="dxa"/>
            <w:tcBorders>
              <w:top w:val="single" w:sz="4" w:space="0" w:color="auto"/>
              <w:left w:val="single" w:sz="4" w:space="0" w:color="auto"/>
              <w:bottom w:val="nil"/>
              <w:right w:val="single" w:sz="4" w:space="0" w:color="auto"/>
            </w:tcBorders>
            <w:shd w:val="clear" w:color="auto" w:fill="auto"/>
            <w:noWrap/>
            <w:vAlign w:val="bottom"/>
            <w:hideMark/>
          </w:tcPr>
          <w:p w14:paraId="1CE0A876"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11,680,000.00 </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14:paraId="71AB807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12,143,158.72 </w:t>
            </w:r>
          </w:p>
        </w:tc>
      </w:tr>
      <w:tr w:rsidR="00A44D61" w:rsidRPr="00A44D61" w14:paraId="1E4795D9" w14:textId="77777777" w:rsidTr="0042056C">
        <w:trPr>
          <w:trHeight w:hRule="exact" w:val="510"/>
          <w:jc w:val="center"/>
        </w:trPr>
        <w:tc>
          <w:tcPr>
            <w:tcW w:w="2080" w:type="dxa"/>
            <w:tcBorders>
              <w:top w:val="nil"/>
              <w:left w:val="single" w:sz="4" w:space="0" w:color="auto"/>
              <w:bottom w:val="nil"/>
              <w:right w:val="single" w:sz="4" w:space="0" w:color="auto"/>
            </w:tcBorders>
            <w:shd w:val="clear" w:color="auto" w:fill="auto"/>
            <w:noWrap/>
            <w:vAlign w:val="bottom"/>
            <w:hideMark/>
          </w:tcPr>
          <w:p w14:paraId="45BA09CA"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B</w:t>
            </w:r>
          </w:p>
        </w:tc>
        <w:tc>
          <w:tcPr>
            <w:tcW w:w="1846" w:type="dxa"/>
            <w:tcBorders>
              <w:top w:val="nil"/>
              <w:left w:val="single" w:sz="4" w:space="0" w:color="auto"/>
              <w:bottom w:val="nil"/>
              <w:right w:val="single" w:sz="4" w:space="0" w:color="auto"/>
            </w:tcBorders>
            <w:shd w:val="clear" w:color="auto" w:fill="auto"/>
            <w:noWrap/>
            <w:vAlign w:val="bottom"/>
            <w:hideMark/>
          </w:tcPr>
          <w:p w14:paraId="0D165B0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18,129,364.00 </w:t>
            </w:r>
          </w:p>
        </w:tc>
        <w:tc>
          <w:tcPr>
            <w:tcW w:w="1504" w:type="dxa"/>
            <w:tcBorders>
              <w:top w:val="nil"/>
              <w:left w:val="single" w:sz="4" w:space="0" w:color="auto"/>
              <w:bottom w:val="nil"/>
              <w:right w:val="single" w:sz="4" w:space="0" w:color="auto"/>
            </w:tcBorders>
            <w:shd w:val="clear" w:color="auto" w:fill="auto"/>
            <w:noWrap/>
            <w:vAlign w:val="bottom"/>
            <w:hideMark/>
          </w:tcPr>
          <w:p w14:paraId="2DAE204A"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17,437,882.22 </w:t>
            </w:r>
          </w:p>
        </w:tc>
        <w:tc>
          <w:tcPr>
            <w:tcW w:w="1520" w:type="dxa"/>
            <w:tcBorders>
              <w:top w:val="nil"/>
              <w:left w:val="single" w:sz="4" w:space="0" w:color="auto"/>
              <w:bottom w:val="nil"/>
              <w:right w:val="single" w:sz="4" w:space="0" w:color="auto"/>
            </w:tcBorders>
            <w:shd w:val="clear" w:color="auto" w:fill="auto"/>
            <w:noWrap/>
            <w:vAlign w:val="bottom"/>
            <w:hideMark/>
          </w:tcPr>
          <w:p w14:paraId="0C197214"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17,440,000.00 </w:t>
            </w:r>
          </w:p>
        </w:tc>
        <w:tc>
          <w:tcPr>
            <w:tcW w:w="2045" w:type="dxa"/>
            <w:tcBorders>
              <w:top w:val="nil"/>
              <w:left w:val="single" w:sz="4" w:space="0" w:color="auto"/>
              <w:bottom w:val="nil"/>
              <w:right w:val="single" w:sz="4" w:space="0" w:color="auto"/>
            </w:tcBorders>
            <w:shd w:val="clear" w:color="auto" w:fill="auto"/>
            <w:noWrap/>
            <w:vAlign w:val="bottom"/>
            <w:hideMark/>
          </w:tcPr>
          <w:p w14:paraId="473A2FC6"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18,131,565.76 </w:t>
            </w:r>
          </w:p>
        </w:tc>
      </w:tr>
      <w:tr w:rsidR="00A44D61" w:rsidRPr="00A44D61" w14:paraId="55673E5A" w14:textId="77777777" w:rsidTr="0042056C">
        <w:trPr>
          <w:trHeight w:hRule="exact" w:val="510"/>
          <w:jc w:val="center"/>
        </w:trPr>
        <w:tc>
          <w:tcPr>
            <w:tcW w:w="2080" w:type="dxa"/>
            <w:tcBorders>
              <w:top w:val="nil"/>
              <w:left w:val="single" w:sz="4" w:space="0" w:color="auto"/>
              <w:bottom w:val="nil"/>
              <w:right w:val="single" w:sz="4" w:space="0" w:color="auto"/>
            </w:tcBorders>
            <w:shd w:val="clear" w:color="auto" w:fill="auto"/>
            <w:noWrap/>
            <w:vAlign w:val="bottom"/>
            <w:hideMark/>
          </w:tcPr>
          <w:p w14:paraId="3B4C7448"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C</w:t>
            </w:r>
          </w:p>
        </w:tc>
        <w:tc>
          <w:tcPr>
            <w:tcW w:w="1846" w:type="dxa"/>
            <w:tcBorders>
              <w:top w:val="nil"/>
              <w:left w:val="single" w:sz="4" w:space="0" w:color="auto"/>
              <w:bottom w:val="nil"/>
              <w:right w:val="single" w:sz="4" w:space="0" w:color="auto"/>
            </w:tcBorders>
            <w:shd w:val="clear" w:color="auto" w:fill="auto"/>
            <w:noWrap/>
            <w:vAlign w:val="bottom"/>
            <w:hideMark/>
          </w:tcPr>
          <w:p w14:paraId="7F15CECF"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6,069,894.00 </w:t>
            </w:r>
          </w:p>
        </w:tc>
        <w:tc>
          <w:tcPr>
            <w:tcW w:w="1504" w:type="dxa"/>
            <w:tcBorders>
              <w:top w:val="nil"/>
              <w:left w:val="single" w:sz="4" w:space="0" w:color="auto"/>
              <w:bottom w:val="nil"/>
              <w:right w:val="single" w:sz="4" w:space="0" w:color="auto"/>
            </w:tcBorders>
            <w:shd w:val="clear" w:color="auto" w:fill="auto"/>
            <w:noWrap/>
            <w:vAlign w:val="bottom"/>
            <w:hideMark/>
          </w:tcPr>
          <w:p w14:paraId="02ABE78B"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5,838,378.92 </w:t>
            </w:r>
          </w:p>
        </w:tc>
        <w:tc>
          <w:tcPr>
            <w:tcW w:w="1520" w:type="dxa"/>
            <w:tcBorders>
              <w:top w:val="nil"/>
              <w:left w:val="single" w:sz="4" w:space="0" w:color="auto"/>
              <w:bottom w:val="nil"/>
              <w:right w:val="single" w:sz="4" w:space="0" w:color="auto"/>
            </w:tcBorders>
            <w:shd w:val="clear" w:color="auto" w:fill="auto"/>
            <w:noWrap/>
            <w:vAlign w:val="bottom"/>
            <w:hideMark/>
          </w:tcPr>
          <w:p w14:paraId="17DE7B37"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5,840,000.00 </w:t>
            </w:r>
          </w:p>
        </w:tc>
        <w:tc>
          <w:tcPr>
            <w:tcW w:w="2045" w:type="dxa"/>
            <w:tcBorders>
              <w:top w:val="nil"/>
              <w:left w:val="single" w:sz="4" w:space="0" w:color="auto"/>
              <w:bottom w:val="nil"/>
              <w:right w:val="single" w:sz="4" w:space="0" w:color="auto"/>
            </w:tcBorders>
            <w:shd w:val="clear" w:color="auto" w:fill="auto"/>
            <w:noWrap/>
            <w:vAlign w:val="bottom"/>
            <w:hideMark/>
          </w:tcPr>
          <w:p w14:paraId="4D29BDE8"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6,071,579.36 </w:t>
            </w:r>
          </w:p>
        </w:tc>
      </w:tr>
      <w:tr w:rsidR="00A44D61" w:rsidRPr="00A44D61" w14:paraId="53515833" w14:textId="77777777" w:rsidTr="0042056C">
        <w:trPr>
          <w:trHeight w:hRule="exact" w:val="510"/>
          <w:jc w:val="center"/>
        </w:trPr>
        <w:tc>
          <w:tcPr>
            <w:tcW w:w="2080" w:type="dxa"/>
            <w:tcBorders>
              <w:top w:val="nil"/>
              <w:left w:val="single" w:sz="4" w:space="0" w:color="auto"/>
              <w:right w:val="single" w:sz="4" w:space="0" w:color="auto"/>
            </w:tcBorders>
            <w:shd w:val="clear" w:color="auto" w:fill="auto"/>
            <w:noWrap/>
            <w:vAlign w:val="bottom"/>
            <w:hideMark/>
          </w:tcPr>
          <w:p w14:paraId="74CFF110"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D</w:t>
            </w:r>
          </w:p>
        </w:tc>
        <w:tc>
          <w:tcPr>
            <w:tcW w:w="1846" w:type="dxa"/>
            <w:tcBorders>
              <w:top w:val="nil"/>
              <w:left w:val="single" w:sz="4" w:space="0" w:color="auto"/>
              <w:right w:val="single" w:sz="4" w:space="0" w:color="auto"/>
            </w:tcBorders>
            <w:shd w:val="clear" w:color="auto" w:fill="auto"/>
            <w:noWrap/>
            <w:vAlign w:val="bottom"/>
            <w:hideMark/>
          </w:tcPr>
          <w:p w14:paraId="685FE201"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1504" w:type="dxa"/>
            <w:tcBorders>
              <w:top w:val="nil"/>
              <w:left w:val="single" w:sz="4" w:space="0" w:color="auto"/>
              <w:right w:val="single" w:sz="4" w:space="0" w:color="auto"/>
            </w:tcBorders>
            <w:shd w:val="clear" w:color="auto" w:fill="auto"/>
            <w:noWrap/>
            <w:vAlign w:val="bottom"/>
            <w:hideMark/>
          </w:tcPr>
          <w:p w14:paraId="416E2F7B"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1520" w:type="dxa"/>
            <w:tcBorders>
              <w:top w:val="nil"/>
              <w:left w:val="single" w:sz="4" w:space="0" w:color="auto"/>
              <w:right w:val="single" w:sz="4" w:space="0" w:color="auto"/>
            </w:tcBorders>
            <w:shd w:val="clear" w:color="auto" w:fill="auto"/>
            <w:noWrap/>
            <w:vAlign w:val="bottom"/>
            <w:hideMark/>
          </w:tcPr>
          <w:p w14:paraId="3B2069D6"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2045" w:type="dxa"/>
            <w:tcBorders>
              <w:top w:val="nil"/>
              <w:left w:val="single" w:sz="4" w:space="0" w:color="auto"/>
              <w:right w:val="single" w:sz="4" w:space="0" w:color="auto"/>
            </w:tcBorders>
            <w:shd w:val="clear" w:color="auto" w:fill="auto"/>
            <w:noWrap/>
            <w:vAlign w:val="bottom"/>
            <w:hideMark/>
          </w:tcPr>
          <w:p w14:paraId="6588FCA6"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r>
      <w:tr w:rsidR="00A44D61" w:rsidRPr="00A44D61" w14:paraId="2A1B777D" w14:textId="77777777" w:rsidTr="0042056C">
        <w:trPr>
          <w:trHeight w:hRule="exact" w:val="51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2B18BF1"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E</w:t>
            </w:r>
          </w:p>
        </w:tc>
        <w:tc>
          <w:tcPr>
            <w:tcW w:w="1846" w:type="dxa"/>
            <w:tcBorders>
              <w:top w:val="nil"/>
              <w:left w:val="single" w:sz="4" w:space="0" w:color="auto"/>
              <w:bottom w:val="single" w:sz="4" w:space="0" w:color="auto"/>
              <w:right w:val="single" w:sz="4" w:space="0" w:color="auto"/>
            </w:tcBorders>
            <w:shd w:val="clear" w:color="auto" w:fill="auto"/>
            <w:noWrap/>
            <w:vAlign w:val="bottom"/>
            <w:hideMark/>
          </w:tcPr>
          <w:p w14:paraId="2052A094"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4,013,084.00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CE70358"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3,860,018.81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577F59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3,870,000.00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14:paraId="4614E17E"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4,023,460.98 </w:t>
            </w:r>
          </w:p>
        </w:tc>
      </w:tr>
      <w:tr w:rsidR="00A44D61" w:rsidRPr="00A44D61" w14:paraId="3073BDAB" w14:textId="77777777" w:rsidTr="0042056C">
        <w:trPr>
          <w:trHeight w:hRule="exact" w:val="51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D2A5" w14:textId="10A1CA11" w:rsidR="00A44D61" w:rsidRPr="00A44D61" w:rsidRDefault="00B075F4" w:rsidP="00A44D61">
            <w:pPr>
              <w:rPr>
                <w:rFonts w:ascii="Calibri" w:eastAsia="Times New Roman" w:hAnsi="Calibri" w:cs="Calibri"/>
                <w:color w:val="000000"/>
                <w:lang w:eastAsia="en-US"/>
              </w:rPr>
            </w:pPr>
            <w:r>
              <w:rPr>
                <w:rFonts w:ascii="Calibri" w:eastAsia="Times New Roman" w:hAnsi="Calibri" w:cs="Calibri"/>
                <w:color w:val="000000"/>
                <w:lang w:eastAsia="en-US"/>
              </w:rPr>
              <w:t>Total</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4F4C9"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40,351,362.00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F8BC7"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38,812,299.09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1314"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38,830,000.00 </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2D289"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40,369,764.82 </w:t>
            </w:r>
          </w:p>
        </w:tc>
      </w:tr>
      <w:tr w:rsidR="00B075F4" w:rsidRPr="00A44D61" w14:paraId="55395FBE" w14:textId="77777777" w:rsidTr="0042056C">
        <w:trPr>
          <w:trHeight w:val="300"/>
          <w:jc w:val="center"/>
        </w:trPr>
        <w:tc>
          <w:tcPr>
            <w:tcW w:w="89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B01F" w14:textId="744A6333" w:rsidR="00B075F4" w:rsidRPr="00A44D61" w:rsidRDefault="00B075F4" w:rsidP="00A44D61">
            <w:pPr>
              <w:rPr>
                <w:rFonts w:ascii="Calibri" w:eastAsia="Times New Roman" w:hAnsi="Calibri" w:cs="Calibri"/>
                <w:color w:val="000000"/>
                <w:lang w:eastAsia="en-US"/>
              </w:rPr>
            </w:pPr>
            <w:r>
              <w:rPr>
                <w:rFonts w:ascii="Calibri" w:eastAsia="Times New Roman" w:hAnsi="Calibri" w:cs="Calibri"/>
                <w:b/>
                <w:bCs/>
                <w:color w:val="000000"/>
                <w:lang w:eastAsia="en-US"/>
              </w:rPr>
              <w:t xml:space="preserve">Destination Bond </w:t>
            </w:r>
            <w:r w:rsidRPr="00A44D61">
              <w:rPr>
                <w:rFonts w:ascii="Calibri" w:eastAsia="Times New Roman" w:hAnsi="Calibri" w:cs="Calibri"/>
                <w:b/>
                <w:bCs/>
                <w:color w:val="000000"/>
                <w:lang w:eastAsia="en-US"/>
              </w:rPr>
              <w:t>AMGB30163472</w:t>
            </w:r>
            <w:r w:rsidR="00E45687">
              <w:rPr>
                <w:rFonts w:ascii="Calibri" w:eastAsia="Times New Roman" w:hAnsi="Calibri" w:cs="Calibri"/>
                <w:b/>
                <w:bCs/>
                <w:color w:val="000000"/>
                <w:lang w:eastAsia="en-US"/>
              </w:rPr>
              <w:t>:</w:t>
            </w:r>
          </w:p>
        </w:tc>
      </w:tr>
      <w:tr w:rsidR="00A44D61" w:rsidRPr="00A44D61" w14:paraId="7639ABF1" w14:textId="77777777" w:rsidTr="0042056C">
        <w:trPr>
          <w:trHeight w:hRule="exact" w:val="510"/>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151AD022"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A</w:t>
            </w:r>
          </w:p>
        </w:tc>
        <w:tc>
          <w:tcPr>
            <w:tcW w:w="1846" w:type="dxa"/>
            <w:tcBorders>
              <w:top w:val="single" w:sz="4" w:space="0" w:color="auto"/>
              <w:left w:val="single" w:sz="4" w:space="0" w:color="auto"/>
              <w:bottom w:val="nil"/>
              <w:right w:val="single" w:sz="4" w:space="0" w:color="auto"/>
            </w:tcBorders>
            <w:shd w:val="clear" w:color="auto" w:fill="auto"/>
            <w:noWrap/>
            <w:vAlign w:val="bottom"/>
            <w:hideMark/>
          </w:tcPr>
          <w:p w14:paraId="40AF6AE3"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8,059,004.00 </w:t>
            </w:r>
          </w:p>
        </w:tc>
        <w:tc>
          <w:tcPr>
            <w:tcW w:w="1504" w:type="dxa"/>
            <w:tcBorders>
              <w:top w:val="single" w:sz="4" w:space="0" w:color="auto"/>
              <w:left w:val="single" w:sz="4" w:space="0" w:color="auto"/>
              <w:bottom w:val="nil"/>
              <w:right w:val="single" w:sz="4" w:space="0" w:color="auto"/>
            </w:tcBorders>
            <w:shd w:val="clear" w:color="auto" w:fill="auto"/>
            <w:noWrap/>
            <w:vAlign w:val="bottom"/>
            <w:hideMark/>
          </w:tcPr>
          <w:p w14:paraId="24A46BB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7,019,481.91 </w:t>
            </w:r>
          </w:p>
        </w:tc>
        <w:tc>
          <w:tcPr>
            <w:tcW w:w="1520" w:type="dxa"/>
            <w:tcBorders>
              <w:top w:val="single" w:sz="4" w:space="0" w:color="auto"/>
              <w:left w:val="single" w:sz="4" w:space="0" w:color="auto"/>
              <w:bottom w:val="nil"/>
              <w:right w:val="single" w:sz="4" w:space="0" w:color="auto"/>
            </w:tcBorders>
            <w:shd w:val="clear" w:color="auto" w:fill="auto"/>
            <w:noWrap/>
            <w:vAlign w:val="bottom"/>
            <w:hideMark/>
          </w:tcPr>
          <w:p w14:paraId="52C44E5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7,020,000.00 </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14:paraId="4FFE9F7F"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8,059,598.82 </w:t>
            </w:r>
          </w:p>
        </w:tc>
      </w:tr>
      <w:tr w:rsidR="00A44D61" w:rsidRPr="00A44D61" w14:paraId="388BEA65" w14:textId="77777777" w:rsidTr="0042056C">
        <w:trPr>
          <w:trHeight w:hRule="exact" w:val="510"/>
          <w:jc w:val="center"/>
        </w:trPr>
        <w:tc>
          <w:tcPr>
            <w:tcW w:w="2080" w:type="dxa"/>
            <w:tcBorders>
              <w:top w:val="nil"/>
              <w:left w:val="single" w:sz="4" w:space="0" w:color="auto"/>
              <w:bottom w:val="nil"/>
              <w:right w:val="single" w:sz="4" w:space="0" w:color="auto"/>
            </w:tcBorders>
            <w:shd w:val="clear" w:color="auto" w:fill="auto"/>
            <w:noWrap/>
            <w:vAlign w:val="bottom"/>
            <w:hideMark/>
          </w:tcPr>
          <w:p w14:paraId="1D863078"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B</w:t>
            </w:r>
          </w:p>
        </w:tc>
        <w:tc>
          <w:tcPr>
            <w:tcW w:w="1846" w:type="dxa"/>
            <w:tcBorders>
              <w:top w:val="nil"/>
              <w:left w:val="single" w:sz="4" w:space="0" w:color="auto"/>
              <w:bottom w:val="nil"/>
              <w:right w:val="single" w:sz="4" w:space="0" w:color="auto"/>
            </w:tcBorders>
            <w:shd w:val="clear" w:color="auto" w:fill="auto"/>
            <w:noWrap/>
            <w:vAlign w:val="bottom"/>
            <w:hideMark/>
          </w:tcPr>
          <w:p w14:paraId="3FFE1F1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25,123,775.00 </w:t>
            </w:r>
          </w:p>
        </w:tc>
        <w:tc>
          <w:tcPr>
            <w:tcW w:w="1504" w:type="dxa"/>
            <w:tcBorders>
              <w:top w:val="nil"/>
              <w:left w:val="single" w:sz="4" w:space="0" w:color="auto"/>
              <w:bottom w:val="nil"/>
              <w:right w:val="single" w:sz="4" w:space="0" w:color="auto"/>
            </w:tcBorders>
            <w:shd w:val="clear" w:color="auto" w:fill="auto"/>
            <w:noWrap/>
            <w:vAlign w:val="bottom"/>
            <w:hideMark/>
          </w:tcPr>
          <w:p w14:paraId="12FAC737"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21,883,086.79 </w:t>
            </w:r>
          </w:p>
        </w:tc>
        <w:tc>
          <w:tcPr>
            <w:tcW w:w="1520" w:type="dxa"/>
            <w:tcBorders>
              <w:top w:val="nil"/>
              <w:left w:val="single" w:sz="4" w:space="0" w:color="auto"/>
              <w:bottom w:val="nil"/>
              <w:right w:val="single" w:sz="4" w:space="0" w:color="auto"/>
            </w:tcBorders>
            <w:shd w:val="clear" w:color="auto" w:fill="auto"/>
            <w:noWrap/>
            <w:vAlign w:val="bottom"/>
            <w:hideMark/>
          </w:tcPr>
          <w:p w14:paraId="39B93C0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21,890,000.00 </w:t>
            </w:r>
          </w:p>
        </w:tc>
        <w:tc>
          <w:tcPr>
            <w:tcW w:w="2045" w:type="dxa"/>
            <w:tcBorders>
              <w:top w:val="nil"/>
              <w:left w:val="single" w:sz="4" w:space="0" w:color="auto"/>
              <w:bottom w:val="nil"/>
              <w:right w:val="single" w:sz="4" w:space="0" w:color="auto"/>
            </w:tcBorders>
            <w:shd w:val="clear" w:color="auto" w:fill="auto"/>
            <w:noWrap/>
            <w:vAlign w:val="bottom"/>
            <w:hideMark/>
          </w:tcPr>
          <w:p w14:paraId="123FE6F4"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25,131,711.99 </w:t>
            </w:r>
          </w:p>
        </w:tc>
      </w:tr>
      <w:tr w:rsidR="00A44D61" w:rsidRPr="00A44D61" w14:paraId="240EFF18" w14:textId="77777777" w:rsidTr="0042056C">
        <w:trPr>
          <w:trHeight w:hRule="exact" w:val="510"/>
          <w:jc w:val="center"/>
        </w:trPr>
        <w:tc>
          <w:tcPr>
            <w:tcW w:w="2080" w:type="dxa"/>
            <w:tcBorders>
              <w:top w:val="nil"/>
              <w:left w:val="single" w:sz="4" w:space="0" w:color="auto"/>
              <w:bottom w:val="nil"/>
              <w:right w:val="single" w:sz="4" w:space="0" w:color="auto"/>
            </w:tcBorders>
            <w:shd w:val="clear" w:color="auto" w:fill="auto"/>
            <w:noWrap/>
            <w:vAlign w:val="bottom"/>
            <w:hideMark/>
          </w:tcPr>
          <w:p w14:paraId="6AABF0AB"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C</w:t>
            </w:r>
          </w:p>
        </w:tc>
        <w:tc>
          <w:tcPr>
            <w:tcW w:w="1846" w:type="dxa"/>
            <w:tcBorders>
              <w:top w:val="nil"/>
              <w:left w:val="single" w:sz="4" w:space="0" w:color="auto"/>
              <w:bottom w:val="nil"/>
              <w:right w:val="single" w:sz="4" w:space="0" w:color="auto"/>
            </w:tcBorders>
            <w:shd w:val="clear" w:color="auto" w:fill="auto"/>
            <w:noWrap/>
            <w:vAlign w:val="bottom"/>
            <w:hideMark/>
          </w:tcPr>
          <w:p w14:paraId="613CB100"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5,058,115.00 </w:t>
            </w:r>
          </w:p>
        </w:tc>
        <w:tc>
          <w:tcPr>
            <w:tcW w:w="1504" w:type="dxa"/>
            <w:tcBorders>
              <w:top w:val="nil"/>
              <w:left w:val="single" w:sz="4" w:space="0" w:color="auto"/>
              <w:bottom w:val="nil"/>
              <w:right w:val="single" w:sz="4" w:space="0" w:color="auto"/>
            </w:tcBorders>
            <w:shd w:val="clear" w:color="auto" w:fill="auto"/>
            <w:noWrap/>
            <w:vAlign w:val="bottom"/>
            <w:hideMark/>
          </w:tcPr>
          <w:p w14:paraId="705F47E1"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4,405,674.29 </w:t>
            </w:r>
          </w:p>
        </w:tc>
        <w:tc>
          <w:tcPr>
            <w:tcW w:w="1520" w:type="dxa"/>
            <w:tcBorders>
              <w:top w:val="nil"/>
              <w:left w:val="single" w:sz="4" w:space="0" w:color="auto"/>
              <w:bottom w:val="nil"/>
              <w:right w:val="single" w:sz="4" w:space="0" w:color="auto"/>
            </w:tcBorders>
            <w:shd w:val="clear" w:color="auto" w:fill="auto"/>
            <w:noWrap/>
            <w:vAlign w:val="bottom"/>
            <w:hideMark/>
          </w:tcPr>
          <w:p w14:paraId="12557EBF"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4,410,000.00 </w:t>
            </w:r>
          </w:p>
        </w:tc>
        <w:tc>
          <w:tcPr>
            <w:tcW w:w="2045" w:type="dxa"/>
            <w:tcBorders>
              <w:top w:val="nil"/>
              <w:left w:val="single" w:sz="4" w:space="0" w:color="auto"/>
              <w:bottom w:val="nil"/>
              <w:right w:val="single" w:sz="4" w:space="0" w:color="auto"/>
            </w:tcBorders>
            <w:shd w:val="clear" w:color="auto" w:fill="auto"/>
            <w:noWrap/>
            <w:vAlign w:val="bottom"/>
            <w:hideMark/>
          </w:tcPr>
          <w:p w14:paraId="74EC308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5,063,081.31 </w:t>
            </w:r>
          </w:p>
        </w:tc>
      </w:tr>
      <w:tr w:rsidR="00A44D61" w:rsidRPr="00A44D61" w14:paraId="4D7F6E58" w14:textId="77777777" w:rsidTr="0042056C">
        <w:trPr>
          <w:trHeight w:hRule="exact" w:val="510"/>
          <w:jc w:val="center"/>
        </w:trPr>
        <w:tc>
          <w:tcPr>
            <w:tcW w:w="2080" w:type="dxa"/>
            <w:tcBorders>
              <w:top w:val="nil"/>
              <w:left w:val="single" w:sz="4" w:space="0" w:color="auto"/>
              <w:right w:val="single" w:sz="4" w:space="0" w:color="auto"/>
            </w:tcBorders>
            <w:shd w:val="clear" w:color="auto" w:fill="auto"/>
            <w:noWrap/>
            <w:vAlign w:val="bottom"/>
            <w:hideMark/>
          </w:tcPr>
          <w:p w14:paraId="6E5CF0FE"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D</w:t>
            </w:r>
          </w:p>
        </w:tc>
        <w:tc>
          <w:tcPr>
            <w:tcW w:w="1846" w:type="dxa"/>
            <w:tcBorders>
              <w:top w:val="nil"/>
              <w:left w:val="single" w:sz="4" w:space="0" w:color="auto"/>
              <w:right w:val="single" w:sz="4" w:space="0" w:color="auto"/>
            </w:tcBorders>
            <w:shd w:val="clear" w:color="auto" w:fill="auto"/>
            <w:noWrap/>
            <w:vAlign w:val="bottom"/>
            <w:hideMark/>
          </w:tcPr>
          <w:p w14:paraId="7E961FBB"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5,058,330.00 </w:t>
            </w:r>
          </w:p>
        </w:tc>
        <w:tc>
          <w:tcPr>
            <w:tcW w:w="1504" w:type="dxa"/>
            <w:tcBorders>
              <w:top w:val="nil"/>
              <w:left w:val="single" w:sz="4" w:space="0" w:color="auto"/>
              <w:right w:val="single" w:sz="4" w:space="0" w:color="auto"/>
            </w:tcBorders>
            <w:shd w:val="clear" w:color="auto" w:fill="auto"/>
            <w:noWrap/>
            <w:vAlign w:val="bottom"/>
            <w:hideMark/>
          </w:tcPr>
          <w:p w14:paraId="604C32A8"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4,405,861.56 </w:t>
            </w:r>
          </w:p>
        </w:tc>
        <w:tc>
          <w:tcPr>
            <w:tcW w:w="1520" w:type="dxa"/>
            <w:tcBorders>
              <w:top w:val="nil"/>
              <w:left w:val="single" w:sz="4" w:space="0" w:color="auto"/>
              <w:right w:val="single" w:sz="4" w:space="0" w:color="auto"/>
            </w:tcBorders>
            <w:shd w:val="clear" w:color="auto" w:fill="auto"/>
            <w:noWrap/>
            <w:vAlign w:val="bottom"/>
            <w:hideMark/>
          </w:tcPr>
          <w:p w14:paraId="66403C4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4,410,000.00 </w:t>
            </w:r>
          </w:p>
        </w:tc>
        <w:tc>
          <w:tcPr>
            <w:tcW w:w="2045" w:type="dxa"/>
            <w:tcBorders>
              <w:top w:val="nil"/>
              <w:left w:val="single" w:sz="4" w:space="0" w:color="auto"/>
              <w:right w:val="single" w:sz="4" w:space="0" w:color="auto"/>
            </w:tcBorders>
            <w:shd w:val="clear" w:color="auto" w:fill="auto"/>
            <w:noWrap/>
            <w:vAlign w:val="bottom"/>
            <w:hideMark/>
          </w:tcPr>
          <w:p w14:paraId="49549907"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5,063,081.31 </w:t>
            </w:r>
          </w:p>
        </w:tc>
      </w:tr>
      <w:tr w:rsidR="00A44D61" w:rsidRPr="00A44D61" w14:paraId="5B57F9E2" w14:textId="77777777" w:rsidTr="0042056C">
        <w:trPr>
          <w:trHeight w:hRule="exact" w:val="51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CB906C7"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E</w:t>
            </w:r>
          </w:p>
        </w:tc>
        <w:tc>
          <w:tcPr>
            <w:tcW w:w="1846" w:type="dxa"/>
            <w:tcBorders>
              <w:top w:val="nil"/>
              <w:left w:val="single" w:sz="4" w:space="0" w:color="auto"/>
              <w:bottom w:val="single" w:sz="4" w:space="0" w:color="auto"/>
              <w:right w:val="single" w:sz="4" w:space="0" w:color="auto"/>
            </w:tcBorders>
            <w:shd w:val="clear" w:color="auto" w:fill="auto"/>
            <w:noWrap/>
            <w:vAlign w:val="bottom"/>
            <w:hideMark/>
          </w:tcPr>
          <w:p w14:paraId="5145CDD8"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DF6B13B"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BFA157F"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14:paraId="4417AD16"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r>
      <w:tr w:rsidR="00A44D61" w:rsidRPr="00A44D61" w14:paraId="7BC770D9" w14:textId="77777777" w:rsidTr="0042056C">
        <w:trPr>
          <w:trHeight w:hRule="exact" w:val="51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A4B96" w14:textId="289AC207" w:rsidR="00A44D61" w:rsidRPr="00A44D61" w:rsidRDefault="00B075F4" w:rsidP="00A44D61">
            <w:pPr>
              <w:rPr>
                <w:rFonts w:ascii="Calibri" w:eastAsia="Times New Roman" w:hAnsi="Calibri" w:cs="Calibri"/>
                <w:color w:val="000000"/>
                <w:lang w:eastAsia="en-US"/>
              </w:rPr>
            </w:pPr>
            <w:r>
              <w:rPr>
                <w:rFonts w:ascii="Calibri" w:eastAsia="Times New Roman" w:hAnsi="Calibri" w:cs="Calibri"/>
                <w:color w:val="000000"/>
                <w:lang w:eastAsia="en-US"/>
              </w:rPr>
              <w:t>Total</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29654"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43,299,224.00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F062"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37,714,104.54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B873E"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37,730,000.00 </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00C5F"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43,317,473.43 </w:t>
            </w:r>
          </w:p>
        </w:tc>
      </w:tr>
      <w:tr w:rsidR="00B075F4" w:rsidRPr="00A44D61" w14:paraId="4E2749B1" w14:textId="77777777" w:rsidTr="0042056C">
        <w:trPr>
          <w:trHeight w:val="300"/>
          <w:jc w:val="center"/>
        </w:trPr>
        <w:tc>
          <w:tcPr>
            <w:tcW w:w="89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7A6B" w14:textId="64CCA0D3" w:rsidR="00B075F4" w:rsidRPr="00A44D61" w:rsidRDefault="00B075F4" w:rsidP="00A44D61">
            <w:pPr>
              <w:rPr>
                <w:rFonts w:ascii="Calibri" w:eastAsia="Times New Roman" w:hAnsi="Calibri" w:cs="Calibri"/>
                <w:color w:val="000000"/>
                <w:lang w:eastAsia="en-US"/>
              </w:rPr>
            </w:pPr>
            <w:r>
              <w:rPr>
                <w:rFonts w:ascii="Calibri" w:eastAsia="Times New Roman" w:hAnsi="Calibri" w:cs="Calibri"/>
                <w:b/>
                <w:bCs/>
                <w:color w:val="000000"/>
                <w:lang w:eastAsia="en-US"/>
              </w:rPr>
              <w:t xml:space="preserve">Destination Bond </w:t>
            </w:r>
            <w:r w:rsidRPr="00A44D61">
              <w:rPr>
                <w:rFonts w:ascii="Calibri" w:eastAsia="Times New Roman" w:hAnsi="Calibri" w:cs="Calibri"/>
                <w:b/>
                <w:bCs/>
                <w:color w:val="000000"/>
                <w:lang w:eastAsia="en-US"/>
              </w:rPr>
              <w:t>AMGN60294235</w:t>
            </w:r>
            <w:r w:rsidR="00E45687">
              <w:rPr>
                <w:rFonts w:ascii="Calibri" w:eastAsia="Times New Roman" w:hAnsi="Calibri" w:cs="Calibri"/>
                <w:b/>
                <w:bCs/>
                <w:color w:val="000000"/>
                <w:lang w:eastAsia="en-US"/>
              </w:rPr>
              <w:t>:</w:t>
            </w:r>
          </w:p>
        </w:tc>
      </w:tr>
      <w:tr w:rsidR="00A44D61" w:rsidRPr="00A44D61" w14:paraId="31BB396B" w14:textId="77777777" w:rsidTr="0042056C">
        <w:trPr>
          <w:trHeight w:hRule="exact" w:val="510"/>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5442D794"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A</w:t>
            </w:r>
          </w:p>
        </w:tc>
        <w:tc>
          <w:tcPr>
            <w:tcW w:w="1846" w:type="dxa"/>
            <w:tcBorders>
              <w:top w:val="single" w:sz="4" w:space="0" w:color="auto"/>
              <w:left w:val="single" w:sz="4" w:space="0" w:color="auto"/>
              <w:bottom w:val="nil"/>
              <w:right w:val="single" w:sz="4" w:space="0" w:color="auto"/>
            </w:tcBorders>
            <w:shd w:val="clear" w:color="auto" w:fill="auto"/>
            <w:noWrap/>
            <w:vAlign w:val="bottom"/>
            <w:hideMark/>
          </w:tcPr>
          <w:p w14:paraId="23551F2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11,079,945.00 </w:t>
            </w:r>
          </w:p>
        </w:tc>
        <w:tc>
          <w:tcPr>
            <w:tcW w:w="1504" w:type="dxa"/>
            <w:tcBorders>
              <w:top w:val="single" w:sz="4" w:space="0" w:color="auto"/>
              <w:left w:val="single" w:sz="4" w:space="0" w:color="auto"/>
              <w:bottom w:val="nil"/>
              <w:right w:val="single" w:sz="4" w:space="0" w:color="auto"/>
            </w:tcBorders>
            <w:shd w:val="clear" w:color="auto" w:fill="auto"/>
            <w:noWrap/>
            <w:vAlign w:val="bottom"/>
            <w:hideMark/>
          </w:tcPr>
          <w:p w14:paraId="13992BEF"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9,615,128.28 </w:t>
            </w:r>
          </w:p>
        </w:tc>
        <w:tc>
          <w:tcPr>
            <w:tcW w:w="1520" w:type="dxa"/>
            <w:tcBorders>
              <w:top w:val="single" w:sz="4" w:space="0" w:color="auto"/>
              <w:left w:val="single" w:sz="4" w:space="0" w:color="auto"/>
              <w:bottom w:val="nil"/>
              <w:right w:val="single" w:sz="4" w:space="0" w:color="auto"/>
            </w:tcBorders>
            <w:shd w:val="clear" w:color="auto" w:fill="auto"/>
            <w:noWrap/>
            <w:vAlign w:val="bottom"/>
            <w:hideMark/>
          </w:tcPr>
          <w:p w14:paraId="7637209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9,620,000.00 </w:t>
            </w:r>
          </w:p>
        </w:tc>
        <w:tc>
          <w:tcPr>
            <w:tcW w:w="2045" w:type="dxa"/>
            <w:tcBorders>
              <w:top w:val="single" w:sz="4" w:space="0" w:color="auto"/>
              <w:left w:val="single" w:sz="4" w:space="0" w:color="auto"/>
              <w:bottom w:val="nil"/>
              <w:right w:val="single" w:sz="4" w:space="0" w:color="auto"/>
            </w:tcBorders>
            <w:shd w:val="clear" w:color="auto" w:fill="auto"/>
            <w:noWrap/>
            <w:vAlign w:val="bottom"/>
            <w:hideMark/>
          </w:tcPr>
          <w:p w14:paraId="3BEA974D"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11,085,558.90 </w:t>
            </w:r>
          </w:p>
        </w:tc>
      </w:tr>
      <w:tr w:rsidR="00A44D61" w:rsidRPr="00A44D61" w14:paraId="71AB6FB6" w14:textId="77777777" w:rsidTr="0042056C">
        <w:trPr>
          <w:trHeight w:hRule="exact" w:val="510"/>
          <w:jc w:val="center"/>
        </w:trPr>
        <w:tc>
          <w:tcPr>
            <w:tcW w:w="2080" w:type="dxa"/>
            <w:tcBorders>
              <w:top w:val="nil"/>
              <w:left w:val="single" w:sz="4" w:space="0" w:color="auto"/>
              <w:bottom w:val="nil"/>
              <w:right w:val="single" w:sz="4" w:space="0" w:color="auto"/>
            </w:tcBorders>
            <w:shd w:val="clear" w:color="auto" w:fill="auto"/>
            <w:noWrap/>
            <w:vAlign w:val="bottom"/>
            <w:hideMark/>
          </w:tcPr>
          <w:p w14:paraId="76968C8B"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B</w:t>
            </w:r>
          </w:p>
        </w:tc>
        <w:tc>
          <w:tcPr>
            <w:tcW w:w="1846" w:type="dxa"/>
            <w:tcBorders>
              <w:top w:val="nil"/>
              <w:left w:val="single" w:sz="4" w:space="0" w:color="auto"/>
              <w:bottom w:val="nil"/>
              <w:right w:val="single" w:sz="4" w:space="0" w:color="auto"/>
            </w:tcBorders>
            <w:shd w:val="clear" w:color="auto" w:fill="auto"/>
            <w:noWrap/>
            <w:vAlign w:val="bottom"/>
            <w:hideMark/>
          </w:tcPr>
          <w:p w14:paraId="089AA610"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8,092,848.00 </w:t>
            </w:r>
          </w:p>
        </w:tc>
        <w:tc>
          <w:tcPr>
            <w:tcW w:w="1504" w:type="dxa"/>
            <w:tcBorders>
              <w:top w:val="nil"/>
              <w:left w:val="single" w:sz="4" w:space="0" w:color="auto"/>
              <w:bottom w:val="nil"/>
              <w:right w:val="single" w:sz="4" w:space="0" w:color="auto"/>
            </w:tcBorders>
            <w:shd w:val="clear" w:color="auto" w:fill="auto"/>
            <w:noWrap/>
            <w:vAlign w:val="bottom"/>
            <w:hideMark/>
          </w:tcPr>
          <w:p w14:paraId="2FE16724"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7,022,938.44 </w:t>
            </w:r>
          </w:p>
        </w:tc>
        <w:tc>
          <w:tcPr>
            <w:tcW w:w="1520" w:type="dxa"/>
            <w:tcBorders>
              <w:top w:val="nil"/>
              <w:left w:val="single" w:sz="4" w:space="0" w:color="auto"/>
              <w:bottom w:val="nil"/>
              <w:right w:val="single" w:sz="4" w:space="0" w:color="auto"/>
            </w:tcBorders>
            <w:shd w:val="clear" w:color="auto" w:fill="auto"/>
            <w:noWrap/>
            <w:vAlign w:val="bottom"/>
            <w:hideMark/>
          </w:tcPr>
          <w:p w14:paraId="753E93CF"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7,030,000.00 </w:t>
            </w:r>
          </w:p>
        </w:tc>
        <w:tc>
          <w:tcPr>
            <w:tcW w:w="2045" w:type="dxa"/>
            <w:tcBorders>
              <w:top w:val="nil"/>
              <w:left w:val="single" w:sz="4" w:space="0" w:color="auto"/>
              <w:bottom w:val="nil"/>
              <w:right w:val="single" w:sz="4" w:space="0" w:color="auto"/>
            </w:tcBorders>
            <w:shd w:val="clear" w:color="auto" w:fill="auto"/>
            <w:noWrap/>
            <w:vAlign w:val="bottom"/>
            <w:hideMark/>
          </w:tcPr>
          <w:p w14:paraId="7CB97431"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8,100,985.35 </w:t>
            </w:r>
          </w:p>
        </w:tc>
      </w:tr>
      <w:tr w:rsidR="00A44D61" w:rsidRPr="00A44D61" w14:paraId="4893F54A" w14:textId="77777777" w:rsidTr="0042056C">
        <w:trPr>
          <w:trHeight w:hRule="exact" w:val="510"/>
          <w:jc w:val="center"/>
        </w:trPr>
        <w:tc>
          <w:tcPr>
            <w:tcW w:w="2080" w:type="dxa"/>
            <w:tcBorders>
              <w:top w:val="nil"/>
              <w:left w:val="single" w:sz="4" w:space="0" w:color="auto"/>
              <w:bottom w:val="nil"/>
              <w:right w:val="single" w:sz="4" w:space="0" w:color="auto"/>
            </w:tcBorders>
            <w:shd w:val="clear" w:color="auto" w:fill="auto"/>
            <w:noWrap/>
            <w:vAlign w:val="bottom"/>
            <w:hideMark/>
          </w:tcPr>
          <w:p w14:paraId="58E99951"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C</w:t>
            </w:r>
          </w:p>
        </w:tc>
        <w:tc>
          <w:tcPr>
            <w:tcW w:w="1846" w:type="dxa"/>
            <w:tcBorders>
              <w:top w:val="nil"/>
              <w:left w:val="single" w:sz="4" w:space="0" w:color="auto"/>
              <w:bottom w:val="nil"/>
              <w:right w:val="single" w:sz="4" w:space="0" w:color="auto"/>
            </w:tcBorders>
            <w:shd w:val="clear" w:color="auto" w:fill="auto"/>
            <w:noWrap/>
            <w:vAlign w:val="bottom"/>
            <w:hideMark/>
          </w:tcPr>
          <w:p w14:paraId="14ABB08A"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10,032,460.00 </w:t>
            </w:r>
          </w:p>
        </w:tc>
        <w:tc>
          <w:tcPr>
            <w:tcW w:w="1504" w:type="dxa"/>
            <w:tcBorders>
              <w:top w:val="nil"/>
              <w:left w:val="single" w:sz="4" w:space="0" w:color="auto"/>
              <w:bottom w:val="nil"/>
              <w:right w:val="single" w:sz="4" w:space="0" w:color="auto"/>
            </w:tcBorders>
            <w:shd w:val="clear" w:color="auto" w:fill="auto"/>
            <w:noWrap/>
            <w:vAlign w:val="bottom"/>
            <w:hideMark/>
          </w:tcPr>
          <w:p w14:paraId="19A05821"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8,706,125.34 </w:t>
            </w:r>
          </w:p>
        </w:tc>
        <w:tc>
          <w:tcPr>
            <w:tcW w:w="1520" w:type="dxa"/>
            <w:tcBorders>
              <w:top w:val="nil"/>
              <w:left w:val="single" w:sz="4" w:space="0" w:color="auto"/>
              <w:bottom w:val="nil"/>
              <w:right w:val="single" w:sz="4" w:space="0" w:color="auto"/>
            </w:tcBorders>
            <w:shd w:val="clear" w:color="auto" w:fill="auto"/>
            <w:noWrap/>
            <w:vAlign w:val="bottom"/>
            <w:hideMark/>
          </w:tcPr>
          <w:p w14:paraId="3761B418"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8,710,000.00 </w:t>
            </w:r>
          </w:p>
        </w:tc>
        <w:tc>
          <w:tcPr>
            <w:tcW w:w="2045" w:type="dxa"/>
            <w:tcBorders>
              <w:top w:val="nil"/>
              <w:left w:val="single" w:sz="4" w:space="0" w:color="auto"/>
              <w:bottom w:val="nil"/>
              <w:right w:val="single" w:sz="4" w:space="0" w:color="auto"/>
            </w:tcBorders>
            <w:shd w:val="clear" w:color="auto" w:fill="auto"/>
            <w:noWrap/>
            <w:vAlign w:val="bottom"/>
            <w:hideMark/>
          </w:tcPr>
          <w:p w14:paraId="3A46C8D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10,036,924.95 </w:t>
            </w:r>
          </w:p>
        </w:tc>
      </w:tr>
      <w:tr w:rsidR="00A44D61" w:rsidRPr="00A44D61" w14:paraId="09484780" w14:textId="77777777" w:rsidTr="0042056C">
        <w:trPr>
          <w:trHeight w:hRule="exact" w:val="510"/>
          <w:jc w:val="center"/>
        </w:trPr>
        <w:tc>
          <w:tcPr>
            <w:tcW w:w="2080" w:type="dxa"/>
            <w:tcBorders>
              <w:top w:val="nil"/>
              <w:left w:val="single" w:sz="4" w:space="0" w:color="auto"/>
              <w:bottom w:val="nil"/>
              <w:right w:val="single" w:sz="4" w:space="0" w:color="auto"/>
            </w:tcBorders>
            <w:shd w:val="clear" w:color="auto" w:fill="auto"/>
            <w:noWrap/>
            <w:vAlign w:val="bottom"/>
            <w:hideMark/>
          </w:tcPr>
          <w:p w14:paraId="6F35E428"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D</w:t>
            </w:r>
          </w:p>
        </w:tc>
        <w:tc>
          <w:tcPr>
            <w:tcW w:w="1846" w:type="dxa"/>
            <w:tcBorders>
              <w:top w:val="nil"/>
              <w:left w:val="single" w:sz="4" w:space="0" w:color="auto"/>
              <w:bottom w:val="nil"/>
              <w:right w:val="single" w:sz="4" w:space="0" w:color="auto"/>
            </w:tcBorders>
            <w:shd w:val="clear" w:color="auto" w:fill="auto"/>
            <w:noWrap/>
            <w:vAlign w:val="bottom"/>
            <w:hideMark/>
          </w:tcPr>
          <w:p w14:paraId="017ECF4A"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6,018,870.00 </w:t>
            </w:r>
          </w:p>
        </w:tc>
        <w:tc>
          <w:tcPr>
            <w:tcW w:w="1504" w:type="dxa"/>
            <w:tcBorders>
              <w:top w:val="nil"/>
              <w:left w:val="single" w:sz="4" w:space="0" w:color="auto"/>
              <w:bottom w:val="nil"/>
              <w:right w:val="single" w:sz="4" w:space="0" w:color="auto"/>
            </w:tcBorders>
            <w:shd w:val="clear" w:color="auto" w:fill="auto"/>
            <w:noWrap/>
            <w:vAlign w:val="bottom"/>
            <w:hideMark/>
          </w:tcPr>
          <w:p w14:paraId="78E30DFD"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5,223,149.32 </w:t>
            </w:r>
          </w:p>
        </w:tc>
        <w:tc>
          <w:tcPr>
            <w:tcW w:w="1520" w:type="dxa"/>
            <w:tcBorders>
              <w:top w:val="nil"/>
              <w:left w:val="single" w:sz="4" w:space="0" w:color="auto"/>
              <w:bottom w:val="nil"/>
              <w:right w:val="single" w:sz="4" w:space="0" w:color="auto"/>
            </w:tcBorders>
            <w:shd w:val="clear" w:color="auto" w:fill="auto"/>
            <w:noWrap/>
            <w:vAlign w:val="bottom"/>
            <w:hideMark/>
          </w:tcPr>
          <w:p w14:paraId="399CA763"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5,230,000.00 </w:t>
            </w:r>
          </w:p>
        </w:tc>
        <w:tc>
          <w:tcPr>
            <w:tcW w:w="2045" w:type="dxa"/>
            <w:tcBorders>
              <w:top w:val="nil"/>
              <w:left w:val="single" w:sz="4" w:space="0" w:color="auto"/>
              <w:bottom w:val="nil"/>
              <w:right w:val="single" w:sz="4" w:space="0" w:color="auto"/>
            </w:tcBorders>
            <w:shd w:val="clear" w:color="auto" w:fill="auto"/>
            <w:noWrap/>
            <w:vAlign w:val="bottom"/>
            <w:hideMark/>
          </w:tcPr>
          <w:p w14:paraId="49CE4560"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6,026,764.35 </w:t>
            </w:r>
          </w:p>
        </w:tc>
      </w:tr>
      <w:tr w:rsidR="00A44D61" w:rsidRPr="00A44D61" w14:paraId="1F60024D" w14:textId="77777777" w:rsidTr="0042056C">
        <w:trPr>
          <w:trHeight w:hRule="exact" w:val="51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4EBA1E3" w14:textId="77777777" w:rsidR="00A44D61" w:rsidRPr="00A44D61" w:rsidRDefault="00A44D61" w:rsidP="00A44D61">
            <w:pPr>
              <w:jc w:val="center"/>
              <w:rPr>
                <w:rFonts w:ascii="Calibri" w:eastAsia="Times New Roman" w:hAnsi="Calibri" w:cs="Calibri"/>
                <w:color w:val="000000"/>
                <w:lang w:eastAsia="en-US"/>
              </w:rPr>
            </w:pPr>
            <w:r w:rsidRPr="00A44D61">
              <w:rPr>
                <w:rFonts w:ascii="Calibri" w:eastAsia="Times New Roman" w:hAnsi="Calibri" w:cs="Calibri"/>
                <w:color w:val="000000"/>
                <w:lang w:eastAsia="en-US"/>
              </w:rPr>
              <w:t>E</w:t>
            </w:r>
          </w:p>
        </w:tc>
        <w:tc>
          <w:tcPr>
            <w:tcW w:w="1846" w:type="dxa"/>
            <w:tcBorders>
              <w:top w:val="nil"/>
              <w:left w:val="single" w:sz="4" w:space="0" w:color="auto"/>
              <w:bottom w:val="single" w:sz="4" w:space="0" w:color="auto"/>
              <w:right w:val="single" w:sz="4" w:space="0" w:color="auto"/>
            </w:tcBorders>
            <w:shd w:val="clear" w:color="auto" w:fill="auto"/>
            <w:noWrap/>
            <w:vAlign w:val="bottom"/>
            <w:hideMark/>
          </w:tcPr>
          <w:p w14:paraId="4EAE57A2"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164B75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FDA8E79"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c>
          <w:tcPr>
            <w:tcW w:w="2045" w:type="dxa"/>
            <w:tcBorders>
              <w:top w:val="nil"/>
              <w:left w:val="single" w:sz="4" w:space="0" w:color="auto"/>
              <w:bottom w:val="single" w:sz="4" w:space="0" w:color="auto"/>
              <w:right w:val="single" w:sz="4" w:space="0" w:color="auto"/>
            </w:tcBorders>
            <w:shd w:val="clear" w:color="auto" w:fill="auto"/>
            <w:noWrap/>
            <w:vAlign w:val="bottom"/>
            <w:hideMark/>
          </w:tcPr>
          <w:p w14:paraId="5E989A30" w14:textId="77777777" w:rsidR="00A44D61" w:rsidRPr="00A44D61" w:rsidRDefault="00A44D61" w:rsidP="00A44D61">
            <w:pPr>
              <w:rPr>
                <w:rFonts w:ascii="Calibri" w:eastAsia="Times New Roman" w:hAnsi="Calibri" w:cs="Calibri"/>
                <w:color w:val="000000"/>
                <w:lang w:eastAsia="en-US"/>
              </w:rPr>
            </w:pPr>
            <w:r w:rsidRPr="00A44D61">
              <w:rPr>
                <w:rFonts w:ascii="Calibri" w:eastAsia="Times New Roman" w:hAnsi="Calibri" w:cs="Calibri"/>
                <w:color w:val="000000"/>
                <w:lang w:eastAsia="en-US"/>
              </w:rPr>
              <w:t xml:space="preserve">                                      -   </w:t>
            </w:r>
          </w:p>
        </w:tc>
      </w:tr>
      <w:tr w:rsidR="00A44D61" w:rsidRPr="00A44D61" w14:paraId="1A4DBE88" w14:textId="77777777" w:rsidTr="0042056C">
        <w:trPr>
          <w:trHeight w:hRule="exact" w:val="51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4F5CD" w14:textId="39A1A73F" w:rsidR="00A44D61" w:rsidRPr="00A44D61" w:rsidRDefault="00B075F4" w:rsidP="00A44D61">
            <w:pPr>
              <w:rPr>
                <w:rFonts w:ascii="Calibri" w:eastAsia="Times New Roman" w:hAnsi="Calibri" w:cs="Calibri"/>
                <w:color w:val="000000"/>
                <w:lang w:eastAsia="en-US"/>
              </w:rPr>
            </w:pPr>
            <w:r>
              <w:rPr>
                <w:rFonts w:ascii="Calibri" w:eastAsia="Times New Roman" w:hAnsi="Calibri" w:cs="Calibri"/>
                <w:color w:val="000000"/>
                <w:lang w:eastAsia="en-US"/>
              </w:rPr>
              <w:t>Total</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68B4C"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35,224,123.00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A392"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30,567,341.38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0464"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30,590,000.00 </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1678" w14:textId="77777777" w:rsidR="00A44D61" w:rsidRPr="00A44D61" w:rsidRDefault="00A44D61" w:rsidP="00A44D61">
            <w:pPr>
              <w:rPr>
                <w:rFonts w:ascii="Calibri" w:eastAsia="Times New Roman" w:hAnsi="Calibri" w:cs="Calibri"/>
                <w:b/>
                <w:bCs/>
                <w:color w:val="000000"/>
                <w:lang w:eastAsia="en-US"/>
              </w:rPr>
            </w:pPr>
            <w:r w:rsidRPr="00A44D61">
              <w:rPr>
                <w:rFonts w:ascii="Calibri" w:eastAsia="Times New Roman" w:hAnsi="Calibri" w:cs="Calibri"/>
                <w:b/>
                <w:bCs/>
                <w:color w:val="000000"/>
                <w:lang w:eastAsia="en-US"/>
              </w:rPr>
              <w:t xml:space="preserve">              35,250,233.55 </w:t>
            </w:r>
          </w:p>
        </w:tc>
      </w:tr>
      <w:tr w:rsidR="00B075F4" w:rsidRPr="00A44D61" w14:paraId="615F2B4A" w14:textId="77777777" w:rsidTr="0042056C">
        <w:trPr>
          <w:trHeight w:hRule="exact" w:val="51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1BFB1" w14:textId="6D065049" w:rsidR="00B075F4" w:rsidRPr="00B075F4" w:rsidRDefault="00B075F4" w:rsidP="00A44D61">
            <w:pPr>
              <w:rPr>
                <w:rFonts w:ascii="Calibri" w:eastAsia="Times New Roman" w:hAnsi="Calibri" w:cs="Calibri"/>
                <w:b/>
                <w:color w:val="000000"/>
                <w:lang w:eastAsia="en-US"/>
              </w:rPr>
            </w:pPr>
            <w:r w:rsidRPr="00B075F4">
              <w:rPr>
                <w:rFonts w:ascii="Calibri" w:eastAsia="Times New Roman" w:hAnsi="Calibri" w:cs="Calibri"/>
                <w:b/>
                <w:color w:val="000000"/>
                <w:lang w:eastAsia="en-US"/>
              </w:rPr>
              <w:t>Grand Total</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3C22B" w14:textId="53AAACF0" w:rsidR="00B075F4" w:rsidRPr="00B075F4" w:rsidRDefault="00B075F4" w:rsidP="00A44D61">
            <w:pPr>
              <w:rPr>
                <w:rFonts w:ascii="Calibri" w:hAnsi="Calibri" w:cs="Calibri"/>
                <w:b/>
                <w:color w:val="000000"/>
              </w:rPr>
            </w:pPr>
            <w:r w:rsidRPr="00B075F4">
              <w:rPr>
                <w:rFonts w:ascii="Calibri" w:hAnsi="Calibri" w:cs="Calibri"/>
                <w:b/>
                <w:color w:val="000000"/>
              </w:rPr>
              <w:t xml:space="preserve">       118,874,709.00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CAF6F" w14:textId="09B4D5F2" w:rsidR="00B075F4" w:rsidRPr="00B075F4" w:rsidRDefault="00B075F4" w:rsidP="00A44D61">
            <w:pPr>
              <w:rPr>
                <w:rFonts w:ascii="Calibri" w:hAnsi="Calibri" w:cs="Calibri"/>
                <w:b/>
                <w:color w:val="000000"/>
              </w:rPr>
            </w:pPr>
            <w:r w:rsidRPr="00B075F4">
              <w:rPr>
                <w:rFonts w:ascii="Calibri" w:hAnsi="Calibri" w:cs="Calibri"/>
                <w:b/>
                <w:color w:val="000000"/>
              </w:rPr>
              <w:t xml:space="preserve">   107,093,745.01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2F78F" w14:textId="431F8493" w:rsidR="00B075F4" w:rsidRPr="00B075F4" w:rsidRDefault="00B075F4" w:rsidP="00A44D61">
            <w:pPr>
              <w:rPr>
                <w:rFonts w:ascii="Calibri" w:hAnsi="Calibri" w:cs="Calibri"/>
                <w:b/>
                <w:color w:val="000000"/>
              </w:rPr>
            </w:pPr>
            <w:r w:rsidRPr="00B075F4">
              <w:rPr>
                <w:rFonts w:ascii="Calibri" w:hAnsi="Calibri" w:cs="Calibri"/>
                <w:b/>
                <w:color w:val="000000"/>
              </w:rPr>
              <w:t xml:space="preserve">    107,150,000.00 </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018AA" w14:textId="10B5594B" w:rsidR="00B075F4" w:rsidRPr="00B075F4" w:rsidRDefault="00B075F4" w:rsidP="00A44D61">
            <w:pPr>
              <w:rPr>
                <w:rFonts w:ascii="Calibri" w:hAnsi="Calibri" w:cs="Calibri"/>
                <w:b/>
                <w:color w:val="000000"/>
              </w:rPr>
            </w:pPr>
            <w:r w:rsidRPr="00B075F4">
              <w:rPr>
                <w:rFonts w:ascii="Calibri" w:hAnsi="Calibri" w:cs="Calibri"/>
                <w:b/>
                <w:color w:val="000000"/>
              </w:rPr>
              <w:t xml:space="preserve">            118,937,471.80 </w:t>
            </w:r>
          </w:p>
        </w:tc>
      </w:tr>
    </w:tbl>
    <w:p w14:paraId="76B88E8E" w14:textId="2BFD4355" w:rsidR="00A44D61" w:rsidRDefault="00A44D61" w:rsidP="00A44D61">
      <w:pPr>
        <w:rPr>
          <w:rFonts w:cs="Arial"/>
        </w:rPr>
      </w:pPr>
    </w:p>
    <w:p w14:paraId="0764386E" w14:textId="4A412182" w:rsidR="0082766E" w:rsidRDefault="0042056C" w:rsidP="0042056C">
      <w:pPr>
        <w:ind w:left="720" w:hanging="720"/>
        <w:jc w:val="both"/>
        <w:rPr>
          <w:rFonts w:cs="Arial"/>
        </w:rPr>
      </w:pPr>
      <w:r>
        <w:rPr>
          <w:rFonts w:cs="Arial"/>
        </w:rPr>
        <w:lastRenderedPageBreak/>
        <w:t>26.9</w:t>
      </w:r>
      <w:r>
        <w:rPr>
          <w:rFonts w:cs="Arial"/>
        </w:rPr>
        <w:tab/>
        <w:t xml:space="preserve">Based on a total face value allocation of destination bonds for ARM 107.15 million, investors will be required to pay to the government ARM 118.9 million. The final pay-off amounts </w:t>
      </w:r>
      <w:r w:rsidR="0082766E">
        <w:rPr>
          <w:rFonts w:cs="Arial"/>
        </w:rPr>
        <w:t>by various bidders is summarized in Table 7 which indicates a net payment of ARM 62,762.80 to the government by investors.</w:t>
      </w:r>
    </w:p>
    <w:p w14:paraId="5CF322C5" w14:textId="77777777" w:rsidR="0082766E" w:rsidRDefault="0082766E" w:rsidP="0042056C">
      <w:pPr>
        <w:ind w:left="720" w:hanging="720"/>
        <w:jc w:val="both"/>
        <w:rPr>
          <w:rFonts w:cs="Arial"/>
        </w:rPr>
      </w:pPr>
    </w:p>
    <w:tbl>
      <w:tblPr>
        <w:tblW w:w="6492" w:type="dxa"/>
        <w:tblLook w:val="04A0" w:firstRow="1" w:lastRow="0" w:firstColumn="1" w:lastColumn="0" w:noHBand="0" w:noVBand="1"/>
      </w:tblPr>
      <w:tblGrid>
        <w:gridCol w:w="1600"/>
        <w:gridCol w:w="1796"/>
        <w:gridCol w:w="1976"/>
        <w:gridCol w:w="1120"/>
      </w:tblGrid>
      <w:tr w:rsidR="0082766E" w:rsidRPr="0082766E" w14:paraId="617215E2" w14:textId="77777777" w:rsidTr="0082766E">
        <w:trPr>
          <w:trHeight w:val="300"/>
        </w:trPr>
        <w:tc>
          <w:tcPr>
            <w:tcW w:w="6492" w:type="dxa"/>
            <w:gridSpan w:val="4"/>
            <w:tcBorders>
              <w:top w:val="nil"/>
              <w:left w:val="nil"/>
              <w:bottom w:val="single" w:sz="4" w:space="0" w:color="auto"/>
              <w:right w:val="nil"/>
            </w:tcBorders>
            <w:shd w:val="clear" w:color="auto" w:fill="auto"/>
            <w:noWrap/>
            <w:vAlign w:val="bottom"/>
          </w:tcPr>
          <w:p w14:paraId="38EFC555" w14:textId="325F748A" w:rsidR="0082766E" w:rsidRPr="00D220DF" w:rsidRDefault="0082766E" w:rsidP="0082766E">
            <w:pPr>
              <w:jc w:val="center"/>
              <w:rPr>
                <w:rFonts w:ascii="Calibri" w:eastAsia="Times New Roman" w:hAnsi="Calibri" w:cs="Calibri"/>
                <w:bCs/>
                <w:color w:val="000000"/>
                <w:lang w:eastAsia="en-US"/>
              </w:rPr>
            </w:pPr>
            <w:r w:rsidRPr="00D220DF">
              <w:rPr>
                <w:rFonts w:ascii="Calibri" w:eastAsia="Times New Roman" w:hAnsi="Calibri" w:cs="Calibri"/>
                <w:bCs/>
                <w:color w:val="000000"/>
                <w:lang w:eastAsia="en-US"/>
              </w:rPr>
              <w:t>Table 7: Pay-off Summary by Bidders</w:t>
            </w:r>
          </w:p>
        </w:tc>
      </w:tr>
      <w:tr w:rsidR="0082766E" w:rsidRPr="0082766E" w14:paraId="51BEE35A" w14:textId="77777777" w:rsidTr="0082766E">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1E782" w14:textId="77777777" w:rsidR="0082766E" w:rsidRPr="0082766E" w:rsidRDefault="0082766E" w:rsidP="0082766E">
            <w:pPr>
              <w:jc w:val="cente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Investor</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53D8" w14:textId="77777777" w:rsidR="0082766E" w:rsidRPr="0082766E" w:rsidRDefault="0082766E" w:rsidP="0082766E">
            <w:pPr>
              <w:jc w:val="cente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Pay to Investor</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C7BC7" w14:textId="77777777" w:rsidR="0082766E" w:rsidRPr="0082766E" w:rsidRDefault="0082766E" w:rsidP="0082766E">
            <w:pPr>
              <w:jc w:val="cente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Receive from Investor</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57A3B" w14:textId="77777777" w:rsidR="0082766E" w:rsidRPr="0082766E" w:rsidRDefault="0082766E" w:rsidP="0082766E">
            <w:pPr>
              <w:jc w:val="cente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Net Receipt</w:t>
            </w:r>
          </w:p>
        </w:tc>
      </w:tr>
      <w:tr w:rsidR="0082766E" w:rsidRPr="0082766E" w14:paraId="57020EAA" w14:textId="77777777" w:rsidTr="0082766E">
        <w:trPr>
          <w:trHeight w:val="300"/>
        </w:trPr>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2324DD32" w14:textId="77777777" w:rsidR="0082766E" w:rsidRPr="0082766E" w:rsidRDefault="0082766E" w:rsidP="0082766E">
            <w:pPr>
              <w:jc w:val="center"/>
              <w:rPr>
                <w:rFonts w:ascii="Calibri" w:eastAsia="Times New Roman" w:hAnsi="Calibri" w:cs="Calibri"/>
                <w:color w:val="000000"/>
                <w:lang w:eastAsia="en-US"/>
              </w:rPr>
            </w:pPr>
            <w:r w:rsidRPr="0082766E">
              <w:rPr>
                <w:rFonts w:ascii="Calibri" w:eastAsia="Times New Roman" w:hAnsi="Calibri" w:cs="Calibri"/>
                <w:color w:val="000000"/>
                <w:lang w:eastAsia="en-US"/>
              </w:rPr>
              <w:t>A</w:t>
            </w:r>
          </w:p>
        </w:tc>
        <w:tc>
          <w:tcPr>
            <w:tcW w:w="1796" w:type="dxa"/>
            <w:tcBorders>
              <w:top w:val="single" w:sz="4" w:space="0" w:color="auto"/>
              <w:left w:val="single" w:sz="4" w:space="0" w:color="auto"/>
              <w:bottom w:val="nil"/>
              <w:right w:val="single" w:sz="4" w:space="0" w:color="auto"/>
            </w:tcBorders>
            <w:shd w:val="clear" w:color="auto" w:fill="auto"/>
            <w:noWrap/>
            <w:vAlign w:val="bottom"/>
            <w:hideMark/>
          </w:tcPr>
          <w:p w14:paraId="58469769"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31,277,969.00 </w:t>
            </w:r>
          </w:p>
        </w:tc>
        <w:tc>
          <w:tcPr>
            <w:tcW w:w="1976" w:type="dxa"/>
            <w:tcBorders>
              <w:top w:val="single" w:sz="4" w:space="0" w:color="auto"/>
              <w:left w:val="single" w:sz="4" w:space="0" w:color="auto"/>
              <w:bottom w:val="nil"/>
              <w:right w:val="single" w:sz="4" w:space="0" w:color="auto"/>
            </w:tcBorders>
            <w:shd w:val="clear" w:color="auto" w:fill="auto"/>
            <w:noWrap/>
            <w:vAlign w:val="bottom"/>
            <w:hideMark/>
          </w:tcPr>
          <w:p w14:paraId="272B8597"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31,288,316.44 </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4BB0C1A7"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10,347.44 </w:t>
            </w:r>
          </w:p>
        </w:tc>
      </w:tr>
      <w:tr w:rsidR="0082766E" w:rsidRPr="0082766E" w14:paraId="7437D7CD" w14:textId="77777777" w:rsidTr="0082766E">
        <w:trPr>
          <w:trHeight w:val="300"/>
        </w:trPr>
        <w:tc>
          <w:tcPr>
            <w:tcW w:w="1600" w:type="dxa"/>
            <w:tcBorders>
              <w:top w:val="nil"/>
              <w:left w:val="single" w:sz="4" w:space="0" w:color="auto"/>
              <w:bottom w:val="nil"/>
              <w:right w:val="single" w:sz="4" w:space="0" w:color="auto"/>
            </w:tcBorders>
            <w:shd w:val="clear" w:color="auto" w:fill="auto"/>
            <w:noWrap/>
            <w:vAlign w:val="bottom"/>
            <w:hideMark/>
          </w:tcPr>
          <w:p w14:paraId="04F97849" w14:textId="77777777" w:rsidR="0082766E" w:rsidRPr="0082766E" w:rsidRDefault="0082766E" w:rsidP="0082766E">
            <w:pPr>
              <w:jc w:val="center"/>
              <w:rPr>
                <w:rFonts w:ascii="Calibri" w:eastAsia="Times New Roman" w:hAnsi="Calibri" w:cs="Calibri"/>
                <w:color w:val="000000"/>
                <w:lang w:eastAsia="en-US"/>
              </w:rPr>
            </w:pPr>
            <w:r w:rsidRPr="0082766E">
              <w:rPr>
                <w:rFonts w:ascii="Calibri" w:eastAsia="Times New Roman" w:hAnsi="Calibri" w:cs="Calibri"/>
                <w:color w:val="000000"/>
                <w:lang w:eastAsia="en-US"/>
              </w:rPr>
              <w:t>B</w:t>
            </w:r>
          </w:p>
        </w:tc>
        <w:tc>
          <w:tcPr>
            <w:tcW w:w="1796" w:type="dxa"/>
            <w:tcBorders>
              <w:top w:val="nil"/>
              <w:left w:val="single" w:sz="4" w:space="0" w:color="auto"/>
              <w:bottom w:val="nil"/>
              <w:right w:val="single" w:sz="4" w:space="0" w:color="auto"/>
            </w:tcBorders>
            <w:shd w:val="clear" w:color="auto" w:fill="auto"/>
            <w:noWrap/>
            <w:vAlign w:val="bottom"/>
            <w:hideMark/>
          </w:tcPr>
          <w:p w14:paraId="71884AE7"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51,345,987.00 </w:t>
            </w:r>
          </w:p>
        </w:tc>
        <w:tc>
          <w:tcPr>
            <w:tcW w:w="1976" w:type="dxa"/>
            <w:tcBorders>
              <w:top w:val="nil"/>
              <w:left w:val="single" w:sz="4" w:space="0" w:color="auto"/>
              <w:bottom w:val="nil"/>
              <w:right w:val="single" w:sz="4" w:space="0" w:color="auto"/>
            </w:tcBorders>
            <w:shd w:val="clear" w:color="auto" w:fill="auto"/>
            <w:noWrap/>
            <w:vAlign w:val="bottom"/>
            <w:hideMark/>
          </w:tcPr>
          <w:p w14:paraId="14AE7D93"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51,364,263.10 </w:t>
            </w:r>
          </w:p>
        </w:tc>
        <w:tc>
          <w:tcPr>
            <w:tcW w:w="1120" w:type="dxa"/>
            <w:tcBorders>
              <w:top w:val="nil"/>
              <w:left w:val="single" w:sz="4" w:space="0" w:color="auto"/>
              <w:bottom w:val="nil"/>
              <w:right w:val="single" w:sz="4" w:space="0" w:color="auto"/>
            </w:tcBorders>
            <w:shd w:val="clear" w:color="auto" w:fill="auto"/>
            <w:noWrap/>
            <w:vAlign w:val="bottom"/>
            <w:hideMark/>
          </w:tcPr>
          <w:p w14:paraId="05143B69"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18,276.10 </w:t>
            </w:r>
          </w:p>
        </w:tc>
      </w:tr>
      <w:tr w:rsidR="0082766E" w:rsidRPr="0082766E" w14:paraId="729659EB" w14:textId="77777777" w:rsidTr="0082766E">
        <w:trPr>
          <w:trHeight w:val="300"/>
        </w:trPr>
        <w:tc>
          <w:tcPr>
            <w:tcW w:w="1600" w:type="dxa"/>
            <w:tcBorders>
              <w:top w:val="nil"/>
              <w:left w:val="single" w:sz="4" w:space="0" w:color="auto"/>
              <w:bottom w:val="nil"/>
              <w:right w:val="single" w:sz="4" w:space="0" w:color="auto"/>
            </w:tcBorders>
            <w:shd w:val="clear" w:color="auto" w:fill="auto"/>
            <w:noWrap/>
            <w:vAlign w:val="bottom"/>
            <w:hideMark/>
          </w:tcPr>
          <w:p w14:paraId="1D5EB734" w14:textId="77777777" w:rsidR="0082766E" w:rsidRPr="0082766E" w:rsidRDefault="0082766E" w:rsidP="0082766E">
            <w:pPr>
              <w:jc w:val="center"/>
              <w:rPr>
                <w:rFonts w:ascii="Calibri" w:eastAsia="Times New Roman" w:hAnsi="Calibri" w:cs="Calibri"/>
                <w:color w:val="000000"/>
                <w:lang w:eastAsia="en-US"/>
              </w:rPr>
            </w:pPr>
            <w:r w:rsidRPr="0082766E">
              <w:rPr>
                <w:rFonts w:ascii="Calibri" w:eastAsia="Times New Roman" w:hAnsi="Calibri" w:cs="Calibri"/>
                <w:color w:val="000000"/>
                <w:lang w:eastAsia="en-US"/>
              </w:rPr>
              <w:t>C</w:t>
            </w:r>
          </w:p>
        </w:tc>
        <w:tc>
          <w:tcPr>
            <w:tcW w:w="1796" w:type="dxa"/>
            <w:tcBorders>
              <w:top w:val="nil"/>
              <w:left w:val="single" w:sz="4" w:space="0" w:color="auto"/>
              <w:bottom w:val="nil"/>
              <w:right w:val="single" w:sz="4" w:space="0" w:color="auto"/>
            </w:tcBorders>
            <w:shd w:val="clear" w:color="auto" w:fill="auto"/>
            <w:noWrap/>
            <w:vAlign w:val="bottom"/>
            <w:hideMark/>
          </w:tcPr>
          <w:p w14:paraId="55A716BD"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21,160,469.00 </w:t>
            </w:r>
          </w:p>
        </w:tc>
        <w:tc>
          <w:tcPr>
            <w:tcW w:w="1976" w:type="dxa"/>
            <w:tcBorders>
              <w:top w:val="nil"/>
              <w:left w:val="single" w:sz="4" w:space="0" w:color="auto"/>
              <w:bottom w:val="nil"/>
              <w:right w:val="single" w:sz="4" w:space="0" w:color="auto"/>
            </w:tcBorders>
            <w:shd w:val="clear" w:color="auto" w:fill="auto"/>
            <w:noWrap/>
            <w:vAlign w:val="bottom"/>
            <w:hideMark/>
          </w:tcPr>
          <w:p w14:paraId="06202A21"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21,171,585.62 </w:t>
            </w:r>
          </w:p>
        </w:tc>
        <w:tc>
          <w:tcPr>
            <w:tcW w:w="1120" w:type="dxa"/>
            <w:tcBorders>
              <w:top w:val="nil"/>
              <w:left w:val="single" w:sz="4" w:space="0" w:color="auto"/>
              <w:bottom w:val="nil"/>
              <w:right w:val="single" w:sz="4" w:space="0" w:color="auto"/>
            </w:tcBorders>
            <w:shd w:val="clear" w:color="auto" w:fill="auto"/>
            <w:noWrap/>
            <w:vAlign w:val="bottom"/>
            <w:hideMark/>
          </w:tcPr>
          <w:p w14:paraId="1AFCE2D2"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11,116.62 </w:t>
            </w:r>
          </w:p>
        </w:tc>
      </w:tr>
      <w:tr w:rsidR="0082766E" w:rsidRPr="0082766E" w14:paraId="13AF24FF" w14:textId="77777777" w:rsidTr="0082766E">
        <w:trPr>
          <w:trHeight w:val="300"/>
        </w:trPr>
        <w:tc>
          <w:tcPr>
            <w:tcW w:w="1600" w:type="dxa"/>
            <w:tcBorders>
              <w:top w:val="nil"/>
              <w:left w:val="single" w:sz="4" w:space="0" w:color="auto"/>
              <w:right w:val="single" w:sz="4" w:space="0" w:color="auto"/>
            </w:tcBorders>
            <w:shd w:val="clear" w:color="auto" w:fill="auto"/>
            <w:noWrap/>
            <w:vAlign w:val="bottom"/>
            <w:hideMark/>
          </w:tcPr>
          <w:p w14:paraId="0D047F17" w14:textId="77777777" w:rsidR="0082766E" w:rsidRPr="0082766E" w:rsidRDefault="0082766E" w:rsidP="0082766E">
            <w:pPr>
              <w:jc w:val="center"/>
              <w:rPr>
                <w:rFonts w:ascii="Calibri" w:eastAsia="Times New Roman" w:hAnsi="Calibri" w:cs="Calibri"/>
                <w:color w:val="000000"/>
                <w:lang w:eastAsia="en-US"/>
              </w:rPr>
            </w:pPr>
            <w:r w:rsidRPr="0082766E">
              <w:rPr>
                <w:rFonts w:ascii="Calibri" w:eastAsia="Times New Roman" w:hAnsi="Calibri" w:cs="Calibri"/>
                <w:color w:val="000000"/>
                <w:lang w:eastAsia="en-US"/>
              </w:rPr>
              <w:t>D</w:t>
            </w:r>
          </w:p>
        </w:tc>
        <w:tc>
          <w:tcPr>
            <w:tcW w:w="1796" w:type="dxa"/>
            <w:tcBorders>
              <w:top w:val="nil"/>
              <w:left w:val="single" w:sz="4" w:space="0" w:color="auto"/>
              <w:right w:val="single" w:sz="4" w:space="0" w:color="auto"/>
            </w:tcBorders>
            <w:shd w:val="clear" w:color="auto" w:fill="auto"/>
            <w:noWrap/>
            <w:vAlign w:val="bottom"/>
            <w:hideMark/>
          </w:tcPr>
          <w:p w14:paraId="008C4C6F"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11,077,200.00 </w:t>
            </w:r>
          </w:p>
        </w:tc>
        <w:tc>
          <w:tcPr>
            <w:tcW w:w="1976" w:type="dxa"/>
            <w:tcBorders>
              <w:top w:val="nil"/>
              <w:left w:val="single" w:sz="4" w:space="0" w:color="auto"/>
              <w:right w:val="single" w:sz="4" w:space="0" w:color="auto"/>
            </w:tcBorders>
            <w:shd w:val="clear" w:color="auto" w:fill="auto"/>
            <w:noWrap/>
            <w:vAlign w:val="bottom"/>
            <w:hideMark/>
          </w:tcPr>
          <w:p w14:paraId="215CDED8"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11,089,845.66 </w:t>
            </w:r>
          </w:p>
        </w:tc>
        <w:tc>
          <w:tcPr>
            <w:tcW w:w="1120" w:type="dxa"/>
            <w:tcBorders>
              <w:top w:val="nil"/>
              <w:left w:val="single" w:sz="4" w:space="0" w:color="auto"/>
              <w:right w:val="single" w:sz="4" w:space="0" w:color="auto"/>
            </w:tcBorders>
            <w:shd w:val="clear" w:color="auto" w:fill="auto"/>
            <w:noWrap/>
            <w:vAlign w:val="bottom"/>
            <w:hideMark/>
          </w:tcPr>
          <w:p w14:paraId="02DDD7DF"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12,645.66 </w:t>
            </w:r>
          </w:p>
        </w:tc>
      </w:tr>
      <w:tr w:rsidR="0082766E" w:rsidRPr="0082766E" w14:paraId="6728E202" w14:textId="77777777" w:rsidTr="0082766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2B1575" w14:textId="77777777" w:rsidR="0082766E" w:rsidRPr="0082766E" w:rsidRDefault="0082766E" w:rsidP="0082766E">
            <w:pPr>
              <w:jc w:val="center"/>
              <w:rPr>
                <w:rFonts w:ascii="Calibri" w:eastAsia="Times New Roman" w:hAnsi="Calibri" w:cs="Calibri"/>
                <w:color w:val="000000"/>
                <w:lang w:eastAsia="en-US"/>
              </w:rPr>
            </w:pPr>
            <w:r w:rsidRPr="0082766E">
              <w:rPr>
                <w:rFonts w:ascii="Calibri" w:eastAsia="Times New Roman" w:hAnsi="Calibri" w:cs="Calibri"/>
                <w:color w:val="000000"/>
                <w:lang w:eastAsia="en-US"/>
              </w:rPr>
              <w:t>E</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2CE2EEED"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4,013,084.00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18F4CBEC"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4,023,460.98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23FDDB4"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 xml:space="preserve">   10,376.98 </w:t>
            </w:r>
          </w:p>
        </w:tc>
      </w:tr>
      <w:tr w:rsidR="0082766E" w:rsidRPr="0082766E" w14:paraId="70638792" w14:textId="77777777" w:rsidTr="0082766E">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5999" w14:textId="6AB49283" w:rsidR="0082766E" w:rsidRPr="0082766E" w:rsidRDefault="0082766E" w:rsidP="0082766E">
            <w:pPr>
              <w:rPr>
                <w:rFonts w:ascii="Calibri" w:eastAsia="Times New Roman" w:hAnsi="Calibri" w:cs="Calibri"/>
                <w:b/>
                <w:color w:val="000000"/>
                <w:lang w:eastAsia="en-US"/>
              </w:rPr>
            </w:pPr>
            <w:r w:rsidRPr="0082766E">
              <w:rPr>
                <w:rFonts w:ascii="Calibri" w:eastAsia="Times New Roman" w:hAnsi="Calibri" w:cs="Calibri"/>
                <w:b/>
                <w:color w:val="000000"/>
                <w:lang w:eastAsia="en-US"/>
              </w:rPr>
              <w:t>Total</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F828" w14:textId="77777777" w:rsidR="0082766E" w:rsidRPr="0082766E" w:rsidRDefault="0082766E" w:rsidP="0082766E">
            <w:pP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 xml:space="preserve">       118,874,709.00 </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EB81" w14:textId="77777777" w:rsidR="0082766E" w:rsidRPr="0082766E" w:rsidRDefault="0082766E" w:rsidP="0082766E">
            <w:pP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 xml:space="preserve">           118,937,471.80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36697" w14:textId="77777777" w:rsidR="0082766E" w:rsidRPr="0082766E" w:rsidRDefault="0082766E" w:rsidP="0082766E">
            <w:pP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 xml:space="preserve">   62,762.80 </w:t>
            </w:r>
          </w:p>
        </w:tc>
      </w:tr>
    </w:tbl>
    <w:p w14:paraId="59F8C283" w14:textId="2AD588F0" w:rsidR="0042056C" w:rsidRDefault="0042056C" w:rsidP="0042056C">
      <w:pPr>
        <w:ind w:left="720" w:hanging="720"/>
        <w:jc w:val="both"/>
        <w:rPr>
          <w:rFonts w:cs="Arial"/>
        </w:rPr>
      </w:pPr>
      <w:r>
        <w:rPr>
          <w:rFonts w:cs="Arial"/>
        </w:rPr>
        <w:t xml:space="preserve"> </w:t>
      </w:r>
    </w:p>
    <w:p w14:paraId="2E0CD046" w14:textId="7063F1E8" w:rsidR="0042056C" w:rsidRDefault="0042056C" w:rsidP="00A44D61">
      <w:pPr>
        <w:rPr>
          <w:rFonts w:cs="Arial"/>
        </w:rPr>
      </w:pPr>
    </w:p>
    <w:p w14:paraId="7EA98AD7" w14:textId="77777777" w:rsidR="0082766E" w:rsidRDefault="0082766E" w:rsidP="00A44D61">
      <w:pPr>
        <w:rPr>
          <w:rFonts w:cs="Arial"/>
        </w:rPr>
      </w:pPr>
      <w:r>
        <w:rPr>
          <w:rFonts w:cs="Arial"/>
        </w:rPr>
        <w:t>26.10</w:t>
      </w:r>
      <w:r>
        <w:rPr>
          <w:rFonts w:cs="Arial"/>
        </w:rPr>
        <w:tab/>
        <w:t>Tables 8 and 9 provide an aggregate analysis of the switch operations for the source and destination bonds respectively.</w:t>
      </w:r>
    </w:p>
    <w:p w14:paraId="4664E88B" w14:textId="77777777" w:rsidR="0082766E" w:rsidRDefault="0082766E" w:rsidP="00A44D61">
      <w:pPr>
        <w:rPr>
          <w:rFonts w:cs="Arial"/>
        </w:rPr>
      </w:pPr>
    </w:p>
    <w:tbl>
      <w:tblPr>
        <w:tblW w:w="9820" w:type="dxa"/>
        <w:tblLook w:val="04A0" w:firstRow="1" w:lastRow="0" w:firstColumn="1" w:lastColumn="0" w:noHBand="0" w:noVBand="1"/>
      </w:tblPr>
      <w:tblGrid>
        <w:gridCol w:w="4180"/>
        <w:gridCol w:w="1840"/>
        <w:gridCol w:w="1840"/>
        <w:gridCol w:w="1960"/>
      </w:tblGrid>
      <w:tr w:rsidR="0082766E" w:rsidRPr="0082766E" w14:paraId="3BF93619" w14:textId="77777777" w:rsidTr="00D46A95">
        <w:trPr>
          <w:trHeight w:val="289"/>
        </w:trPr>
        <w:tc>
          <w:tcPr>
            <w:tcW w:w="9820" w:type="dxa"/>
            <w:gridSpan w:val="4"/>
            <w:tcBorders>
              <w:bottom w:val="single" w:sz="4" w:space="0" w:color="auto"/>
            </w:tcBorders>
            <w:shd w:val="clear" w:color="auto" w:fill="auto"/>
            <w:noWrap/>
            <w:vAlign w:val="bottom"/>
          </w:tcPr>
          <w:p w14:paraId="732A61DC" w14:textId="63F6FBC0" w:rsidR="0082766E" w:rsidRPr="00D220DF" w:rsidRDefault="0082766E" w:rsidP="0082766E">
            <w:pPr>
              <w:jc w:val="center"/>
              <w:rPr>
                <w:rFonts w:ascii="Calibri" w:eastAsia="Times New Roman" w:hAnsi="Calibri" w:cs="Calibri"/>
                <w:bCs/>
                <w:lang w:eastAsia="en-US"/>
              </w:rPr>
            </w:pPr>
            <w:r w:rsidRPr="00D220DF">
              <w:rPr>
                <w:rFonts w:ascii="Calibri" w:eastAsia="Times New Roman" w:hAnsi="Calibri" w:cs="Calibri"/>
                <w:bCs/>
                <w:lang w:eastAsia="en-US"/>
              </w:rPr>
              <w:t xml:space="preserve">Table 8: Aggregate Analysis of Source Bond Allocation in Switch Operations </w:t>
            </w:r>
          </w:p>
        </w:tc>
      </w:tr>
      <w:tr w:rsidR="00D46A95" w:rsidRPr="0082766E" w14:paraId="65EC6997" w14:textId="77777777" w:rsidTr="00527CFC">
        <w:trPr>
          <w:trHeight w:val="289"/>
        </w:trPr>
        <w:tc>
          <w:tcPr>
            <w:tcW w:w="4180" w:type="dxa"/>
            <w:tcBorders>
              <w:top w:val="single" w:sz="4" w:space="0" w:color="auto"/>
              <w:left w:val="single" w:sz="4" w:space="0" w:color="auto"/>
              <w:bottom w:val="single" w:sz="4" w:space="0" w:color="auto"/>
              <w:right w:val="nil"/>
            </w:tcBorders>
            <w:shd w:val="clear" w:color="auto" w:fill="auto"/>
            <w:noWrap/>
            <w:vAlign w:val="bottom"/>
            <w:hideMark/>
          </w:tcPr>
          <w:p w14:paraId="6D2DD635" w14:textId="77777777" w:rsidR="00D46A95" w:rsidRPr="0082766E" w:rsidRDefault="00D46A95" w:rsidP="0082766E">
            <w:pPr>
              <w:rPr>
                <w:rFonts w:ascii="Times New Roman" w:eastAsia="Times New Roman" w:hAnsi="Times New Roman" w:cs="Times New Roman"/>
                <w:sz w:val="24"/>
                <w:szCs w:val="24"/>
                <w:lang w:eastAsia="en-US"/>
              </w:rPr>
            </w:pPr>
          </w:p>
        </w:tc>
        <w:tc>
          <w:tcPr>
            <w:tcW w:w="5640"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2AF9B7A" w14:textId="1A290B4F" w:rsidR="00D46A95" w:rsidRPr="0082766E" w:rsidRDefault="00D46A95" w:rsidP="0082766E">
            <w:pPr>
              <w:jc w:val="center"/>
              <w:rPr>
                <w:rFonts w:ascii="Calibri" w:eastAsia="Times New Roman" w:hAnsi="Calibri" w:cs="Calibri"/>
                <w:b/>
                <w:bCs/>
                <w:lang w:eastAsia="en-US"/>
              </w:rPr>
            </w:pPr>
            <w:r w:rsidRPr="0082766E">
              <w:rPr>
                <w:rFonts w:ascii="Calibri" w:eastAsia="Times New Roman" w:hAnsi="Calibri" w:cs="Calibri"/>
                <w:b/>
                <w:bCs/>
                <w:lang w:eastAsia="en-US"/>
              </w:rPr>
              <w:t>Source Bonds</w:t>
            </w:r>
          </w:p>
        </w:tc>
      </w:tr>
      <w:tr w:rsidR="0082766E" w:rsidRPr="0082766E" w14:paraId="1EE06E90" w14:textId="77777777" w:rsidTr="00D46A95">
        <w:trPr>
          <w:trHeight w:val="300"/>
        </w:trPr>
        <w:tc>
          <w:tcPr>
            <w:tcW w:w="4180" w:type="dxa"/>
            <w:tcBorders>
              <w:top w:val="single" w:sz="4" w:space="0" w:color="auto"/>
              <w:left w:val="single" w:sz="4" w:space="0" w:color="auto"/>
              <w:bottom w:val="single" w:sz="4" w:space="0" w:color="auto"/>
              <w:right w:val="nil"/>
            </w:tcBorders>
            <w:shd w:val="clear" w:color="000000" w:fill="F2F2F2"/>
            <w:noWrap/>
            <w:vAlign w:val="center"/>
            <w:hideMark/>
          </w:tcPr>
          <w:p w14:paraId="399BB0A1"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ISIN</w:t>
            </w:r>
          </w:p>
        </w:tc>
        <w:tc>
          <w:tcPr>
            <w:tcW w:w="1840" w:type="dxa"/>
            <w:tcBorders>
              <w:top w:val="single" w:sz="4" w:space="0" w:color="auto"/>
              <w:left w:val="single" w:sz="4" w:space="0" w:color="auto"/>
              <w:bottom w:val="single" w:sz="4" w:space="0" w:color="auto"/>
              <w:right w:val="nil"/>
            </w:tcBorders>
            <w:shd w:val="clear" w:color="000000" w:fill="B4C6E7"/>
            <w:noWrap/>
            <w:vAlign w:val="center"/>
            <w:hideMark/>
          </w:tcPr>
          <w:p w14:paraId="24D3E41C" w14:textId="77777777" w:rsidR="0082766E" w:rsidRPr="0082766E" w:rsidRDefault="0082766E" w:rsidP="0082766E">
            <w:pPr>
              <w:jc w:val="center"/>
              <w:rPr>
                <w:rFonts w:ascii="Calibri" w:eastAsia="Times New Roman" w:hAnsi="Calibri" w:cs="Calibri"/>
                <w:b/>
                <w:bCs/>
                <w:lang w:eastAsia="en-US"/>
              </w:rPr>
            </w:pPr>
            <w:r w:rsidRPr="0082766E">
              <w:rPr>
                <w:rFonts w:ascii="Calibri" w:eastAsia="Times New Roman" w:hAnsi="Calibri" w:cs="Calibri"/>
                <w:b/>
                <w:bCs/>
                <w:lang w:eastAsia="en-US"/>
              </w:rPr>
              <w:t>AMGN60294193</w:t>
            </w:r>
          </w:p>
        </w:tc>
        <w:tc>
          <w:tcPr>
            <w:tcW w:w="184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FE2D4EB" w14:textId="77777777" w:rsidR="0082766E" w:rsidRPr="0082766E" w:rsidRDefault="0082766E" w:rsidP="0082766E">
            <w:pPr>
              <w:jc w:val="center"/>
              <w:rPr>
                <w:rFonts w:ascii="Calibri" w:eastAsia="Times New Roman" w:hAnsi="Calibri" w:cs="Calibri"/>
                <w:b/>
                <w:bCs/>
                <w:lang w:eastAsia="en-US"/>
              </w:rPr>
            </w:pPr>
            <w:r w:rsidRPr="0082766E">
              <w:rPr>
                <w:rFonts w:ascii="Calibri" w:eastAsia="Times New Roman" w:hAnsi="Calibri" w:cs="Calibri"/>
                <w:b/>
                <w:bCs/>
                <w:lang w:eastAsia="en-US"/>
              </w:rPr>
              <w:t>AMGN36294194</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F37E6" w14:textId="77777777" w:rsidR="0082766E" w:rsidRPr="0082766E" w:rsidRDefault="0082766E" w:rsidP="006B528A">
            <w:pPr>
              <w:jc w:val="center"/>
              <w:rPr>
                <w:rFonts w:ascii="Calibri" w:eastAsia="Times New Roman" w:hAnsi="Calibri" w:cs="Calibri"/>
                <w:b/>
                <w:color w:val="000000"/>
                <w:lang w:eastAsia="en-US"/>
              </w:rPr>
            </w:pPr>
            <w:r w:rsidRPr="0082766E">
              <w:rPr>
                <w:rFonts w:ascii="Calibri" w:eastAsia="Times New Roman" w:hAnsi="Calibri" w:cs="Calibri"/>
                <w:b/>
                <w:color w:val="000000"/>
                <w:lang w:eastAsia="en-US"/>
              </w:rPr>
              <w:t>Total</w:t>
            </w:r>
          </w:p>
        </w:tc>
      </w:tr>
      <w:tr w:rsidR="0082766E" w:rsidRPr="0082766E" w14:paraId="398ADF37" w14:textId="77777777" w:rsidTr="00D46A95">
        <w:trPr>
          <w:trHeight w:val="300"/>
        </w:trPr>
        <w:tc>
          <w:tcPr>
            <w:tcW w:w="4180" w:type="dxa"/>
            <w:tcBorders>
              <w:top w:val="single" w:sz="4" w:space="0" w:color="auto"/>
              <w:left w:val="single" w:sz="4" w:space="0" w:color="auto"/>
              <w:bottom w:val="nil"/>
              <w:right w:val="nil"/>
            </w:tcBorders>
            <w:shd w:val="clear" w:color="000000" w:fill="F2F2F2"/>
            <w:noWrap/>
            <w:vAlign w:val="center"/>
            <w:hideMark/>
          </w:tcPr>
          <w:p w14:paraId="22FE5578"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Maturity Date</w:t>
            </w:r>
          </w:p>
        </w:tc>
        <w:tc>
          <w:tcPr>
            <w:tcW w:w="1840" w:type="dxa"/>
            <w:tcBorders>
              <w:top w:val="single" w:sz="4" w:space="0" w:color="auto"/>
              <w:left w:val="single" w:sz="4" w:space="0" w:color="auto"/>
              <w:bottom w:val="nil"/>
              <w:right w:val="nil"/>
            </w:tcBorders>
            <w:shd w:val="clear" w:color="000000" w:fill="F2F2F2"/>
            <w:noWrap/>
            <w:vAlign w:val="center"/>
            <w:hideMark/>
          </w:tcPr>
          <w:p w14:paraId="12219731"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29-Apr-19</w:t>
            </w:r>
          </w:p>
        </w:tc>
        <w:tc>
          <w:tcPr>
            <w:tcW w:w="1840" w:type="dxa"/>
            <w:tcBorders>
              <w:top w:val="single" w:sz="4" w:space="0" w:color="auto"/>
              <w:left w:val="single" w:sz="4" w:space="0" w:color="auto"/>
              <w:bottom w:val="nil"/>
              <w:right w:val="single" w:sz="4" w:space="0" w:color="auto"/>
            </w:tcBorders>
            <w:shd w:val="clear" w:color="000000" w:fill="F2F2F2"/>
            <w:noWrap/>
            <w:vAlign w:val="center"/>
            <w:hideMark/>
          </w:tcPr>
          <w:p w14:paraId="2DB1E7ED"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29-Apr-19</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1D1B409F"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7570D689" w14:textId="77777777" w:rsidTr="00D46A95">
        <w:trPr>
          <w:trHeight w:val="375"/>
        </w:trPr>
        <w:tc>
          <w:tcPr>
            <w:tcW w:w="4180" w:type="dxa"/>
            <w:tcBorders>
              <w:top w:val="nil"/>
              <w:left w:val="single" w:sz="4" w:space="0" w:color="auto"/>
              <w:bottom w:val="nil"/>
              <w:right w:val="nil"/>
            </w:tcBorders>
            <w:shd w:val="clear" w:color="000000" w:fill="F2F2F2"/>
            <w:noWrap/>
            <w:vAlign w:val="center"/>
            <w:hideMark/>
          </w:tcPr>
          <w:p w14:paraId="1FA21773"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Coupon Rate</w:t>
            </w:r>
          </w:p>
        </w:tc>
        <w:tc>
          <w:tcPr>
            <w:tcW w:w="1840" w:type="dxa"/>
            <w:tcBorders>
              <w:top w:val="nil"/>
              <w:left w:val="single" w:sz="4" w:space="0" w:color="auto"/>
              <w:bottom w:val="nil"/>
              <w:right w:val="nil"/>
            </w:tcBorders>
            <w:shd w:val="clear" w:color="000000" w:fill="F2F2F2"/>
            <w:noWrap/>
            <w:vAlign w:val="center"/>
            <w:hideMark/>
          </w:tcPr>
          <w:p w14:paraId="286A61C8"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8.000000%</w:t>
            </w:r>
          </w:p>
        </w:tc>
        <w:tc>
          <w:tcPr>
            <w:tcW w:w="1840" w:type="dxa"/>
            <w:tcBorders>
              <w:top w:val="nil"/>
              <w:left w:val="single" w:sz="4" w:space="0" w:color="auto"/>
              <w:right w:val="single" w:sz="4" w:space="0" w:color="auto"/>
            </w:tcBorders>
            <w:shd w:val="clear" w:color="000000" w:fill="F2F2F2"/>
            <w:noWrap/>
            <w:vAlign w:val="center"/>
            <w:hideMark/>
          </w:tcPr>
          <w:p w14:paraId="143608AE"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9.000000%</w:t>
            </w:r>
          </w:p>
        </w:tc>
        <w:tc>
          <w:tcPr>
            <w:tcW w:w="1960" w:type="dxa"/>
            <w:tcBorders>
              <w:top w:val="nil"/>
              <w:left w:val="single" w:sz="4" w:space="0" w:color="auto"/>
              <w:right w:val="single" w:sz="4" w:space="0" w:color="auto"/>
            </w:tcBorders>
            <w:shd w:val="clear" w:color="auto" w:fill="auto"/>
            <w:noWrap/>
            <w:vAlign w:val="bottom"/>
            <w:hideMark/>
          </w:tcPr>
          <w:p w14:paraId="77F7B893"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29A32AC4" w14:textId="77777777" w:rsidTr="00D46A95">
        <w:trPr>
          <w:trHeight w:val="315"/>
        </w:trPr>
        <w:tc>
          <w:tcPr>
            <w:tcW w:w="4180" w:type="dxa"/>
            <w:tcBorders>
              <w:top w:val="nil"/>
              <w:left w:val="single" w:sz="4" w:space="0" w:color="auto"/>
              <w:bottom w:val="nil"/>
              <w:right w:val="nil"/>
            </w:tcBorders>
            <w:shd w:val="clear" w:color="000000" w:fill="F2F2F2"/>
            <w:noWrap/>
            <w:vAlign w:val="center"/>
            <w:hideMark/>
          </w:tcPr>
          <w:p w14:paraId="04E33EC8"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Coupon Frequency</w:t>
            </w:r>
          </w:p>
        </w:tc>
        <w:tc>
          <w:tcPr>
            <w:tcW w:w="1840" w:type="dxa"/>
            <w:tcBorders>
              <w:top w:val="nil"/>
              <w:left w:val="single" w:sz="4" w:space="0" w:color="auto"/>
              <w:bottom w:val="single" w:sz="8" w:space="0" w:color="auto"/>
              <w:right w:val="nil"/>
            </w:tcBorders>
            <w:shd w:val="clear" w:color="000000" w:fill="F2F2F2"/>
            <w:noWrap/>
            <w:vAlign w:val="center"/>
            <w:hideMark/>
          </w:tcPr>
          <w:p w14:paraId="1CEC3F9F"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2</w:t>
            </w:r>
          </w:p>
        </w:tc>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14:paraId="2E517CBF"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3</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2B77E4"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72936332" w14:textId="77777777" w:rsidTr="00D46A95">
        <w:trPr>
          <w:trHeight w:val="420"/>
        </w:trPr>
        <w:tc>
          <w:tcPr>
            <w:tcW w:w="4180" w:type="dxa"/>
            <w:tcBorders>
              <w:top w:val="single" w:sz="4" w:space="0" w:color="auto"/>
              <w:left w:val="single" w:sz="4" w:space="0" w:color="auto"/>
              <w:bottom w:val="nil"/>
              <w:right w:val="single" w:sz="4" w:space="0" w:color="auto"/>
            </w:tcBorders>
            <w:shd w:val="clear" w:color="000000" w:fill="F2F2F2"/>
            <w:noWrap/>
            <w:vAlign w:val="center"/>
            <w:hideMark/>
          </w:tcPr>
          <w:p w14:paraId="73AC58DF" w14:textId="77777777" w:rsidR="0082766E" w:rsidRPr="0082766E" w:rsidRDefault="0082766E" w:rsidP="0082766E">
            <w:pP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Face Value Redeemed</w:t>
            </w:r>
          </w:p>
        </w:tc>
        <w:tc>
          <w:tcPr>
            <w:tcW w:w="1840" w:type="dxa"/>
            <w:tcBorders>
              <w:top w:val="nil"/>
              <w:left w:val="single" w:sz="8" w:space="0" w:color="auto"/>
              <w:bottom w:val="nil"/>
              <w:right w:val="nil"/>
            </w:tcBorders>
            <w:shd w:val="clear" w:color="auto" w:fill="auto"/>
            <w:noWrap/>
            <w:vAlign w:val="center"/>
            <w:hideMark/>
          </w:tcPr>
          <w:p w14:paraId="35DA61A4" w14:textId="77777777" w:rsidR="0082766E" w:rsidRPr="0082766E" w:rsidRDefault="0082766E" w:rsidP="0082766E">
            <w:pPr>
              <w:jc w:val="right"/>
              <w:rPr>
                <w:rFonts w:ascii="Calibri" w:eastAsia="Times New Roman" w:hAnsi="Calibri" w:cs="Calibri"/>
                <w:b/>
                <w:bCs/>
                <w:color w:val="0070C0"/>
                <w:sz w:val="24"/>
                <w:szCs w:val="24"/>
                <w:lang w:eastAsia="en-US"/>
              </w:rPr>
            </w:pPr>
            <w:r w:rsidRPr="0082766E">
              <w:rPr>
                <w:rFonts w:ascii="Calibri" w:eastAsia="Times New Roman" w:hAnsi="Calibri" w:cs="Calibri"/>
                <w:b/>
                <w:bCs/>
                <w:color w:val="0070C0"/>
                <w:sz w:val="24"/>
                <w:szCs w:val="24"/>
                <w:lang w:eastAsia="en-US"/>
              </w:rPr>
              <w:t>60,000,000</w:t>
            </w:r>
          </w:p>
        </w:tc>
        <w:tc>
          <w:tcPr>
            <w:tcW w:w="1840" w:type="dxa"/>
            <w:tcBorders>
              <w:top w:val="single" w:sz="4" w:space="0" w:color="auto"/>
              <w:left w:val="single" w:sz="8" w:space="0" w:color="auto"/>
              <w:right w:val="single" w:sz="4" w:space="0" w:color="auto"/>
            </w:tcBorders>
            <w:shd w:val="clear" w:color="auto" w:fill="auto"/>
            <w:noWrap/>
            <w:vAlign w:val="center"/>
            <w:hideMark/>
          </w:tcPr>
          <w:p w14:paraId="15E0A985" w14:textId="77777777" w:rsidR="0082766E" w:rsidRPr="0082766E" w:rsidRDefault="0082766E" w:rsidP="0082766E">
            <w:pPr>
              <w:jc w:val="right"/>
              <w:rPr>
                <w:rFonts w:ascii="Calibri" w:eastAsia="Times New Roman" w:hAnsi="Calibri" w:cs="Calibri"/>
                <w:b/>
                <w:bCs/>
                <w:color w:val="0070C0"/>
                <w:sz w:val="24"/>
                <w:szCs w:val="24"/>
                <w:lang w:eastAsia="en-US"/>
              </w:rPr>
            </w:pPr>
            <w:r w:rsidRPr="0082766E">
              <w:rPr>
                <w:rFonts w:ascii="Calibri" w:eastAsia="Times New Roman" w:hAnsi="Calibri" w:cs="Calibri"/>
                <w:b/>
                <w:bCs/>
                <w:color w:val="0070C0"/>
                <w:sz w:val="24"/>
                <w:szCs w:val="24"/>
                <w:lang w:eastAsia="en-US"/>
              </w:rPr>
              <w:t>58,000,000</w:t>
            </w:r>
          </w:p>
        </w:tc>
        <w:tc>
          <w:tcPr>
            <w:tcW w:w="1960" w:type="dxa"/>
            <w:tcBorders>
              <w:top w:val="single" w:sz="4" w:space="0" w:color="auto"/>
              <w:left w:val="single" w:sz="4" w:space="0" w:color="auto"/>
              <w:right w:val="single" w:sz="4" w:space="0" w:color="auto"/>
            </w:tcBorders>
            <w:shd w:val="clear" w:color="auto" w:fill="auto"/>
            <w:noWrap/>
            <w:vAlign w:val="bottom"/>
            <w:hideMark/>
          </w:tcPr>
          <w:p w14:paraId="66D41E18" w14:textId="77777777" w:rsidR="0082766E" w:rsidRPr="0082766E" w:rsidRDefault="0082766E" w:rsidP="0082766E">
            <w:pPr>
              <w:jc w:val="right"/>
              <w:rPr>
                <w:rFonts w:ascii="Calibri" w:eastAsia="Times New Roman" w:hAnsi="Calibri" w:cs="Calibri"/>
                <w:b/>
                <w:bCs/>
                <w:color w:val="0070C0"/>
                <w:sz w:val="24"/>
                <w:szCs w:val="24"/>
                <w:lang w:eastAsia="en-US"/>
              </w:rPr>
            </w:pPr>
            <w:r w:rsidRPr="0082766E">
              <w:rPr>
                <w:rFonts w:ascii="Calibri" w:eastAsia="Times New Roman" w:hAnsi="Calibri" w:cs="Calibri"/>
                <w:b/>
                <w:bCs/>
                <w:color w:val="0070C0"/>
                <w:sz w:val="24"/>
                <w:szCs w:val="24"/>
                <w:lang w:eastAsia="en-US"/>
              </w:rPr>
              <w:t>118,000,000</w:t>
            </w:r>
          </w:p>
        </w:tc>
      </w:tr>
      <w:tr w:rsidR="00D46A95" w:rsidRPr="0082766E" w14:paraId="4DB9121B" w14:textId="77777777" w:rsidTr="00D46A95">
        <w:trPr>
          <w:trHeight w:val="42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14:paraId="1B516542" w14:textId="77777777" w:rsidR="00D46A95" w:rsidRPr="0082766E" w:rsidRDefault="00D46A95" w:rsidP="00D46A95">
            <w:pPr>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Clean Value at Cost (AMD)</w:t>
            </w:r>
          </w:p>
        </w:tc>
        <w:tc>
          <w:tcPr>
            <w:tcW w:w="1840" w:type="dxa"/>
            <w:tcBorders>
              <w:top w:val="nil"/>
              <w:left w:val="single" w:sz="8" w:space="0" w:color="auto"/>
              <w:bottom w:val="single" w:sz="8" w:space="0" w:color="auto"/>
              <w:right w:val="nil"/>
            </w:tcBorders>
            <w:shd w:val="clear" w:color="auto" w:fill="auto"/>
            <w:noWrap/>
            <w:vAlign w:val="center"/>
            <w:hideMark/>
          </w:tcPr>
          <w:p w14:paraId="1CA664A1" w14:textId="77777777" w:rsidR="00D46A95" w:rsidRPr="0082766E" w:rsidRDefault="00D46A95" w:rsidP="00D46A95">
            <w:pPr>
              <w:jc w:val="right"/>
              <w:rPr>
                <w:rFonts w:ascii="Calibri" w:eastAsia="Times New Roman" w:hAnsi="Calibri" w:cs="Calibri"/>
                <w:b/>
                <w:bCs/>
                <w:color w:val="0070C0"/>
                <w:sz w:val="24"/>
                <w:szCs w:val="24"/>
                <w:lang w:eastAsia="en-US"/>
              </w:rPr>
            </w:pPr>
            <w:r w:rsidRPr="0082766E">
              <w:rPr>
                <w:rFonts w:ascii="Calibri" w:eastAsia="Times New Roman" w:hAnsi="Calibri" w:cs="Calibri"/>
                <w:b/>
                <w:bCs/>
                <w:color w:val="0070C0"/>
                <w:sz w:val="24"/>
                <w:szCs w:val="24"/>
                <w:lang w:eastAsia="en-US"/>
              </w:rPr>
              <w:t>60,000,000.00</w:t>
            </w:r>
          </w:p>
        </w:tc>
        <w:tc>
          <w:tcPr>
            <w:tcW w:w="1840" w:type="dxa"/>
            <w:tcBorders>
              <w:top w:val="nil"/>
              <w:left w:val="single" w:sz="8" w:space="0" w:color="auto"/>
              <w:bottom w:val="single" w:sz="4" w:space="0" w:color="auto"/>
              <w:right w:val="single" w:sz="4" w:space="0" w:color="auto"/>
            </w:tcBorders>
            <w:shd w:val="clear" w:color="auto" w:fill="auto"/>
            <w:noWrap/>
            <w:vAlign w:val="center"/>
            <w:hideMark/>
          </w:tcPr>
          <w:p w14:paraId="366F2B30" w14:textId="77777777" w:rsidR="00D46A95" w:rsidRPr="0082766E" w:rsidRDefault="00D46A95" w:rsidP="00D46A95">
            <w:pPr>
              <w:jc w:val="right"/>
              <w:rPr>
                <w:rFonts w:ascii="Calibri" w:eastAsia="Times New Roman" w:hAnsi="Calibri" w:cs="Calibri"/>
                <w:b/>
                <w:bCs/>
                <w:color w:val="0070C0"/>
                <w:sz w:val="24"/>
                <w:szCs w:val="24"/>
                <w:lang w:eastAsia="en-US"/>
              </w:rPr>
            </w:pPr>
            <w:r w:rsidRPr="0082766E">
              <w:rPr>
                <w:rFonts w:ascii="Calibri" w:eastAsia="Times New Roman" w:hAnsi="Calibri" w:cs="Calibri"/>
                <w:b/>
                <w:bCs/>
                <w:color w:val="0070C0"/>
                <w:sz w:val="24"/>
                <w:szCs w:val="24"/>
                <w:lang w:eastAsia="en-US"/>
              </w:rPr>
              <w:t>58,000,000.00</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D89AD7" w14:textId="06D8D59B" w:rsidR="00D46A95" w:rsidRPr="0082766E" w:rsidRDefault="00D46A95" w:rsidP="00D46A95">
            <w:pPr>
              <w:jc w:val="right"/>
              <w:rPr>
                <w:rFonts w:ascii="Calibri" w:eastAsia="Times New Roman" w:hAnsi="Calibri" w:cs="Calibri"/>
                <w:color w:val="000000"/>
                <w:lang w:eastAsia="en-US"/>
              </w:rPr>
            </w:pPr>
            <w:r w:rsidRPr="0082766E">
              <w:rPr>
                <w:rFonts w:ascii="Calibri" w:eastAsia="Times New Roman" w:hAnsi="Calibri" w:cs="Calibri"/>
                <w:b/>
                <w:bCs/>
                <w:color w:val="0070C0"/>
                <w:sz w:val="24"/>
                <w:szCs w:val="24"/>
                <w:lang w:eastAsia="en-US"/>
              </w:rPr>
              <w:t>118,000,000</w:t>
            </w:r>
            <w:r>
              <w:rPr>
                <w:rFonts w:ascii="Calibri" w:eastAsia="Times New Roman" w:hAnsi="Calibri" w:cs="Calibri"/>
                <w:b/>
                <w:bCs/>
                <w:color w:val="0070C0"/>
                <w:sz w:val="24"/>
                <w:szCs w:val="24"/>
                <w:lang w:eastAsia="en-US"/>
              </w:rPr>
              <w:t>.00</w:t>
            </w:r>
          </w:p>
        </w:tc>
      </w:tr>
      <w:tr w:rsidR="0082766E" w:rsidRPr="0082766E" w14:paraId="4485B95C" w14:textId="77777777" w:rsidTr="00D46A95">
        <w:trPr>
          <w:trHeight w:val="435"/>
        </w:trPr>
        <w:tc>
          <w:tcPr>
            <w:tcW w:w="4180" w:type="dxa"/>
            <w:tcBorders>
              <w:top w:val="nil"/>
              <w:left w:val="single" w:sz="4" w:space="0" w:color="auto"/>
              <w:bottom w:val="nil"/>
              <w:right w:val="nil"/>
            </w:tcBorders>
            <w:shd w:val="clear" w:color="000000" w:fill="F2F2F2"/>
            <w:noWrap/>
            <w:vAlign w:val="center"/>
            <w:hideMark/>
          </w:tcPr>
          <w:p w14:paraId="4FF87425"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Cut-off Yield</w:t>
            </w:r>
          </w:p>
        </w:tc>
        <w:tc>
          <w:tcPr>
            <w:tcW w:w="1840" w:type="dxa"/>
            <w:tcBorders>
              <w:top w:val="nil"/>
              <w:left w:val="single" w:sz="8" w:space="0" w:color="auto"/>
              <w:bottom w:val="single" w:sz="8" w:space="0" w:color="auto"/>
              <w:right w:val="nil"/>
            </w:tcBorders>
            <w:shd w:val="clear" w:color="000000" w:fill="B4C6E7"/>
            <w:noWrap/>
            <w:vAlign w:val="center"/>
            <w:hideMark/>
          </w:tcPr>
          <w:p w14:paraId="098C7D38" w14:textId="77777777" w:rsidR="0082766E" w:rsidRPr="0082766E" w:rsidRDefault="0082766E" w:rsidP="0082766E">
            <w:pPr>
              <w:jc w:val="right"/>
              <w:rPr>
                <w:rFonts w:ascii="Calibri" w:eastAsia="Times New Roman" w:hAnsi="Calibri" w:cs="Calibri"/>
                <w:b/>
                <w:bCs/>
                <w:color w:val="0070C0"/>
                <w:sz w:val="24"/>
                <w:szCs w:val="24"/>
                <w:lang w:eastAsia="en-US"/>
              </w:rPr>
            </w:pPr>
            <w:r w:rsidRPr="0082766E">
              <w:rPr>
                <w:rFonts w:ascii="Calibri" w:eastAsia="Times New Roman" w:hAnsi="Calibri" w:cs="Calibri"/>
                <w:b/>
                <w:bCs/>
                <w:color w:val="0070C0"/>
                <w:sz w:val="24"/>
                <w:szCs w:val="24"/>
                <w:lang w:eastAsia="en-US"/>
              </w:rPr>
              <w:t>7.5800%</w:t>
            </w:r>
          </w:p>
        </w:tc>
        <w:tc>
          <w:tcPr>
            <w:tcW w:w="1840" w:type="dxa"/>
            <w:tcBorders>
              <w:top w:val="single" w:sz="4" w:space="0" w:color="auto"/>
              <w:left w:val="single" w:sz="8" w:space="0" w:color="auto"/>
              <w:bottom w:val="single" w:sz="8" w:space="0" w:color="auto"/>
              <w:right w:val="single" w:sz="4" w:space="0" w:color="auto"/>
            </w:tcBorders>
            <w:shd w:val="clear" w:color="000000" w:fill="B4C6E7"/>
            <w:noWrap/>
            <w:vAlign w:val="center"/>
            <w:hideMark/>
          </w:tcPr>
          <w:p w14:paraId="6DAC95A6" w14:textId="77777777" w:rsidR="0082766E" w:rsidRPr="0082766E" w:rsidRDefault="0082766E" w:rsidP="0082766E">
            <w:pPr>
              <w:jc w:val="right"/>
              <w:rPr>
                <w:rFonts w:ascii="Calibri" w:eastAsia="Times New Roman" w:hAnsi="Calibri" w:cs="Calibri"/>
                <w:b/>
                <w:bCs/>
                <w:color w:val="0070C0"/>
                <w:sz w:val="24"/>
                <w:szCs w:val="24"/>
                <w:lang w:eastAsia="en-US"/>
              </w:rPr>
            </w:pPr>
            <w:r w:rsidRPr="0082766E">
              <w:rPr>
                <w:rFonts w:ascii="Calibri" w:eastAsia="Times New Roman" w:hAnsi="Calibri" w:cs="Calibri"/>
                <w:b/>
                <w:bCs/>
                <w:color w:val="0070C0"/>
                <w:sz w:val="24"/>
                <w:szCs w:val="24"/>
                <w:lang w:eastAsia="en-US"/>
              </w:rPr>
              <w:t>7.5500%</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10F5E603" w14:textId="77777777" w:rsidR="0082766E" w:rsidRPr="0082766E" w:rsidRDefault="0082766E" w:rsidP="0082766E">
            <w:pPr>
              <w:jc w:val="right"/>
              <w:rPr>
                <w:rFonts w:ascii="Calibri" w:eastAsia="Times New Roman" w:hAnsi="Calibri" w:cs="Calibri"/>
                <w:b/>
                <w:bCs/>
                <w:color w:val="0070C0"/>
                <w:sz w:val="24"/>
                <w:szCs w:val="24"/>
                <w:lang w:eastAsia="en-US"/>
              </w:rPr>
            </w:pPr>
          </w:p>
        </w:tc>
      </w:tr>
      <w:tr w:rsidR="0082766E" w:rsidRPr="0082766E" w14:paraId="22DD5542" w14:textId="77777777" w:rsidTr="00D46A95">
        <w:trPr>
          <w:trHeight w:val="375"/>
        </w:trPr>
        <w:tc>
          <w:tcPr>
            <w:tcW w:w="4180" w:type="dxa"/>
            <w:tcBorders>
              <w:top w:val="nil"/>
              <w:left w:val="single" w:sz="4" w:space="0" w:color="auto"/>
              <w:bottom w:val="nil"/>
              <w:right w:val="nil"/>
            </w:tcBorders>
            <w:shd w:val="clear" w:color="000000" w:fill="F2F2F2"/>
            <w:noWrap/>
            <w:vAlign w:val="center"/>
            <w:hideMark/>
          </w:tcPr>
          <w:p w14:paraId="5924E812"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Previous Coupon Date</w:t>
            </w:r>
          </w:p>
        </w:tc>
        <w:tc>
          <w:tcPr>
            <w:tcW w:w="1840" w:type="dxa"/>
            <w:tcBorders>
              <w:top w:val="nil"/>
              <w:left w:val="single" w:sz="4" w:space="0" w:color="auto"/>
              <w:bottom w:val="nil"/>
              <w:right w:val="nil"/>
            </w:tcBorders>
            <w:shd w:val="clear" w:color="000000" w:fill="F2F2F2"/>
            <w:noWrap/>
            <w:vAlign w:val="center"/>
            <w:hideMark/>
          </w:tcPr>
          <w:p w14:paraId="77E7D8B9"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29-Apr-18</w:t>
            </w:r>
          </w:p>
        </w:tc>
        <w:tc>
          <w:tcPr>
            <w:tcW w:w="1840" w:type="dxa"/>
            <w:tcBorders>
              <w:top w:val="nil"/>
              <w:left w:val="single" w:sz="4" w:space="0" w:color="auto"/>
              <w:bottom w:val="nil"/>
              <w:right w:val="single" w:sz="4" w:space="0" w:color="auto"/>
            </w:tcBorders>
            <w:shd w:val="clear" w:color="000000" w:fill="F2F2F2"/>
            <w:noWrap/>
            <w:vAlign w:val="center"/>
            <w:hideMark/>
          </w:tcPr>
          <w:p w14:paraId="1472176A"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29-Apr-18</w:t>
            </w:r>
          </w:p>
        </w:tc>
        <w:tc>
          <w:tcPr>
            <w:tcW w:w="1960" w:type="dxa"/>
            <w:tcBorders>
              <w:top w:val="nil"/>
              <w:left w:val="single" w:sz="4" w:space="0" w:color="auto"/>
              <w:bottom w:val="nil"/>
              <w:right w:val="single" w:sz="4" w:space="0" w:color="auto"/>
            </w:tcBorders>
            <w:shd w:val="clear" w:color="auto" w:fill="auto"/>
            <w:noWrap/>
            <w:vAlign w:val="bottom"/>
            <w:hideMark/>
          </w:tcPr>
          <w:p w14:paraId="77F8E7B0"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190FF7F2" w14:textId="77777777" w:rsidTr="00D46A95">
        <w:trPr>
          <w:trHeight w:val="375"/>
        </w:trPr>
        <w:tc>
          <w:tcPr>
            <w:tcW w:w="4180" w:type="dxa"/>
            <w:tcBorders>
              <w:top w:val="nil"/>
              <w:left w:val="single" w:sz="4" w:space="0" w:color="auto"/>
              <w:bottom w:val="nil"/>
              <w:right w:val="nil"/>
            </w:tcBorders>
            <w:shd w:val="clear" w:color="000000" w:fill="F2F2F2"/>
            <w:noWrap/>
            <w:vAlign w:val="center"/>
            <w:hideMark/>
          </w:tcPr>
          <w:p w14:paraId="201C8471"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DSC</w:t>
            </w:r>
          </w:p>
        </w:tc>
        <w:tc>
          <w:tcPr>
            <w:tcW w:w="1840" w:type="dxa"/>
            <w:tcBorders>
              <w:top w:val="nil"/>
              <w:left w:val="single" w:sz="4" w:space="0" w:color="auto"/>
              <w:bottom w:val="nil"/>
              <w:right w:val="nil"/>
            </w:tcBorders>
            <w:shd w:val="clear" w:color="000000" w:fill="F2F2F2"/>
            <w:noWrap/>
            <w:vAlign w:val="center"/>
            <w:hideMark/>
          </w:tcPr>
          <w:p w14:paraId="0111B720"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140</w:t>
            </w:r>
          </w:p>
        </w:tc>
        <w:tc>
          <w:tcPr>
            <w:tcW w:w="1840" w:type="dxa"/>
            <w:tcBorders>
              <w:top w:val="nil"/>
              <w:left w:val="single" w:sz="4" w:space="0" w:color="auto"/>
              <w:bottom w:val="nil"/>
              <w:right w:val="single" w:sz="4" w:space="0" w:color="auto"/>
            </w:tcBorders>
            <w:shd w:val="clear" w:color="000000" w:fill="F2F2F2"/>
            <w:noWrap/>
            <w:vAlign w:val="center"/>
            <w:hideMark/>
          </w:tcPr>
          <w:p w14:paraId="1FAAF276"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140</w:t>
            </w:r>
          </w:p>
        </w:tc>
        <w:tc>
          <w:tcPr>
            <w:tcW w:w="1960" w:type="dxa"/>
            <w:tcBorders>
              <w:top w:val="nil"/>
              <w:left w:val="single" w:sz="4" w:space="0" w:color="auto"/>
              <w:bottom w:val="nil"/>
              <w:right w:val="single" w:sz="4" w:space="0" w:color="auto"/>
            </w:tcBorders>
            <w:shd w:val="clear" w:color="auto" w:fill="auto"/>
            <w:noWrap/>
            <w:vAlign w:val="bottom"/>
            <w:hideMark/>
          </w:tcPr>
          <w:p w14:paraId="7C24564E"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78283E09" w14:textId="77777777" w:rsidTr="00D46A95">
        <w:trPr>
          <w:trHeight w:val="315"/>
        </w:trPr>
        <w:tc>
          <w:tcPr>
            <w:tcW w:w="4180" w:type="dxa"/>
            <w:tcBorders>
              <w:top w:val="nil"/>
              <w:left w:val="single" w:sz="4" w:space="0" w:color="auto"/>
              <w:bottom w:val="nil"/>
              <w:right w:val="nil"/>
            </w:tcBorders>
            <w:shd w:val="clear" w:color="000000" w:fill="F2F2F2"/>
            <w:noWrap/>
            <w:vAlign w:val="center"/>
            <w:hideMark/>
          </w:tcPr>
          <w:p w14:paraId="14A7B5B1"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DCS</w:t>
            </w:r>
          </w:p>
        </w:tc>
        <w:tc>
          <w:tcPr>
            <w:tcW w:w="1840" w:type="dxa"/>
            <w:tcBorders>
              <w:top w:val="nil"/>
              <w:left w:val="single" w:sz="4" w:space="0" w:color="auto"/>
              <w:bottom w:val="nil"/>
              <w:right w:val="nil"/>
            </w:tcBorders>
            <w:shd w:val="clear" w:color="000000" w:fill="F2F2F2"/>
            <w:noWrap/>
            <w:vAlign w:val="center"/>
            <w:hideMark/>
          </w:tcPr>
          <w:p w14:paraId="00F1F250"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43</w:t>
            </w:r>
          </w:p>
        </w:tc>
        <w:tc>
          <w:tcPr>
            <w:tcW w:w="1840" w:type="dxa"/>
            <w:tcBorders>
              <w:top w:val="nil"/>
              <w:left w:val="single" w:sz="4" w:space="0" w:color="auto"/>
              <w:bottom w:val="nil"/>
              <w:right w:val="single" w:sz="4" w:space="0" w:color="auto"/>
            </w:tcBorders>
            <w:shd w:val="clear" w:color="000000" w:fill="F2F2F2"/>
            <w:noWrap/>
            <w:vAlign w:val="center"/>
            <w:hideMark/>
          </w:tcPr>
          <w:p w14:paraId="5CE9A494"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43</w:t>
            </w:r>
          </w:p>
        </w:tc>
        <w:tc>
          <w:tcPr>
            <w:tcW w:w="1960" w:type="dxa"/>
            <w:tcBorders>
              <w:top w:val="nil"/>
              <w:left w:val="single" w:sz="4" w:space="0" w:color="auto"/>
              <w:bottom w:val="nil"/>
              <w:right w:val="single" w:sz="4" w:space="0" w:color="auto"/>
            </w:tcBorders>
            <w:shd w:val="clear" w:color="auto" w:fill="auto"/>
            <w:noWrap/>
            <w:vAlign w:val="bottom"/>
            <w:hideMark/>
          </w:tcPr>
          <w:p w14:paraId="0A5BA07B"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01694150" w14:textId="77777777" w:rsidTr="00D46A95">
        <w:trPr>
          <w:trHeight w:val="390"/>
        </w:trPr>
        <w:tc>
          <w:tcPr>
            <w:tcW w:w="4180" w:type="dxa"/>
            <w:tcBorders>
              <w:top w:val="nil"/>
              <w:left w:val="single" w:sz="4" w:space="0" w:color="auto"/>
              <w:bottom w:val="nil"/>
              <w:right w:val="nil"/>
            </w:tcBorders>
            <w:shd w:val="clear" w:color="000000" w:fill="F2F2F2"/>
            <w:noWrap/>
            <w:vAlign w:val="center"/>
            <w:hideMark/>
          </w:tcPr>
          <w:p w14:paraId="3AE0D7AE"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Cut-off Clean Price</w:t>
            </w:r>
          </w:p>
        </w:tc>
        <w:tc>
          <w:tcPr>
            <w:tcW w:w="1840" w:type="dxa"/>
            <w:tcBorders>
              <w:top w:val="nil"/>
              <w:left w:val="single" w:sz="4" w:space="0" w:color="auto"/>
              <w:bottom w:val="nil"/>
              <w:right w:val="nil"/>
            </w:tcBorders>
            <w:shd w:val="clear" w:color="000000" w:fill="F2F2F2"/>
            <w:noWrap/>
            <w:vAlign w:val="center"/>
            <w:hideMark/>
          </w:tcPr>
          <w:p w14:paraId="5EBF0427"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100.3388%</w:t>
            </w:r>
          </w:p>
        </w:tc>
        <w:tc>
          <w:tcPr>
            <w:tcW w:w="1840" w:type="dxa"/>
            <w:tcBorders>
              <w:top w:val="nil"/>
              <w:left w:val="single" w:sz="4" w:space="0" w:color="auto"/>
              <w:bottom w:val="nil"/>
              <w:right w:val="single" w:sz="4" w:space="0" w:color="auto"/>
            </w:tcBorders>
            <w:shd w:val="clear" w:color="000000" w:fill="F2F2F2"/>
            <w:noWrap/>
            <w:vAlign w:val="center"/>
            <w:hideMark/>
          </w:tcPr>
          <w:p w14:paraId="610F331E"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101.1373%</w:t>
            </w:r>
          </w:p>
        </w:tc>
        <w:tc>
          <w:tcPr>
            <w:tcW w:w="1960" w:type="dxa"/>
            <w:tcBorders>
              <w:top w:val="nil"/>
              <w:left w:val="single" w:sz="4" w:space="0" w:color="auto"/>
              <w:bottom w:val="nil"/>
              <w:right w:val="single" w:sz="4" w:space="0" w:color="auto"/>
            </w:tcBorders>
            <w:shd w:val="clear" w:color="auto" w:fill="auto"/>
            <w:noWrap/>
            <w:vAlign w:val="bottom"/>
            <w:hideMark/>
          </w:tcPr>
          <w:p w14:paraId="1F28F5C5"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07BB2821" w14:textId="77777777" w:rsidTr="00D46A95">
        <w:trPr>
          <w:trHeight w:val="300"/>
        </w:trPr>
        <w:tc>
          <w:tcPr>
            <w:tcW w:w="4180" w:type="dxa"/>
            <w:tcBorders>
              <w:top w:val="nil"/>
              <w:left w:val="single" w:sz="4" w:space="0" w:color="auto"/>
              <w:right w:val="nil"/>
            </w:tcBorders>
            <w:shd w:val="clear" w:color="000000" w:fill="F2F2F2"/>
            <w:noWrap/>
            <w:vAlign w:val="center"/>
            <w:hideMark/>
          </w:tcPr>
          <w:p w14:paraId="3DFB5D20"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Accrued Interest</w:t>
            </w:r>
          </w:p>
        </w:tc>
        <w:tc>
          <w:tcPr>
            <w:tcW w:w="1840" w:type="dxa"/>
            <w:tcBorders>
              <w:top w:val="nil"/>
              <w:left w:val="single" w:sz="4" w:space="0" w:color="auto"/>
              <w:right w:val="nil"/>
            </w:tcBorders>
            <w:shd w:val="clear" w:color="000000" w:fill="F2F2F2"/>
            <w:noWrap/>
            <w:vAlign w:val="center"/>
            <w:hideMark/>
          </w:tcPr>
          <w:p w14:paraId="6F305DE7"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0.9399%</w:t>
            </w:r>
          </w:p>
        </w:tc>
        <w:tc>
          <w:tcPr>
            <w:tcW w:w="1840" w:type="dxa"/>
            <w:tcBorders>
              <w:top w:val="nil"/>
              <w:left w:val="single" w:sz="4" w:space="0" w:color="auto"/>
              <w:right w:val="single" w:sz="4" w:space="0" w:color="auto"/>
            </w:tcBorders>
            <w:shd w:val="clear" w:color="000000" w:fill="F2F2F2"/>
            <w:noWrap/>
            <w:vAlign w:val="center"/>
            <w:hideMark/>
          </w:tcPr>
          <w:p w14:paraId="2D8F64F3"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1.0574%</w:t>
            </w:r>
          </w:p>
        </w:tc>
        <w:tc>
          <w:tcPr>
            <w:tcW w:w="1960" w:type="dxa"/>
            <w:tcBorders>
              <w:top w:val="nil"/>
              <w:left w:val="single" w:sz="4" w:space="0" w:color="auto"/>
              <w:right w:val="single" w:sz="4" w:space="0" w:color="auto"/>
            </w:tcBorders>
            <w:shd w:val="clear" w:color="auto" w:fill="auto"/>
            <w:noWrap/>
            <w:vAlign w:val="bottom"/>
            <w:hideMark/>
          </w:tcPr>
          <w:p w14:paraId="712085D5"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60AACC39" w14:textId="77777777" w:rsidTr="00D46A95">
        <w:trPr>
          <w:trHeight w:val="300"/>
        </w:trPr>
        <w:tc>
          <w:tcPr>
            <w:tcW w:w="4180" w:type="dxa"/>
            <w:tcBorders>
              <w:top w:val="nil"/>
              <w:left w:val="single" w:sz="4" w:space="0" w:color="auto"/>
              <w:bottom w:val="single" w:sz="4" w:space="0" w:color="auto"/>
              <w:right w:val="nil"/>
            </w:tcBorders>
            <w:shd w:val="clear" w:color="000000" w:fill="F2F2F2"/>
            <w:noWrap/>
            <w:vAlign w:val="center"/>
            <w:hideMark/>
          </w:tcPr>
          <w:p w14:paraId="31FF3542" w14:textId="77777777" w:rsidR="0082766E" w:rsidRPr="0082766E" w:rsidRDefault="0082766E" w:rsidP="0082766E">
            <w:pPr>
              <w:rPr>
                <w:rFonts w:ascii="Calibri" w:eastAsia="Times New Roman" w:hAnsi="Calibri" w:cs="Calibri"/>
                <w:color w:val="000000"/>
                <w:lang w:eastAsia="en-US"/>
              </w:rPr>
            </w:pPr>
            <w:r w:rsidRPr="0082766E">
              <w:rPr>
                <w:rFonts w:ascii="Calibri" w:eastAsia="Times New Roman" w:hAnsi="Calibri" w:cs="Calibri"/>
                <w:color w:val="000000"/>
                <w:lang w:eastAsia="en-US"/>
              </w:rPr>
              <w:t>Gross Price</w:t>
            </w:r>
          </w:p>
        </w:tc>
        <w:tc>
          <w:tcPr>
            <w:tcW w:w="1840" w:type="dxa"/>
            <w:tcBorders>
              <w:top w:val="nil"/>
              <w:left w:val="single" w:sz="4" w:space="0" w:color="auto"/>
              <w:bottom w:val="single" w:sz="4" w:space="0" w:color="auto"/>
              <w:right w:val="nil"/>
            </w:tcBorders>
            <w:shd w:val="clear" w:color="000000" w:fill="F2F2F2"/>
            <w:noWrap/>
            <w:vAlign w:val="center"/>
            <w:hideMark/>
          </w:tcPr>
          <w:p w14:paraId="26AAF274"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101.2787%</w:t>
            </w:r>
          </w:p>
        </w:tc>
        <w:tc>
          <w:tcPr>
            <w:tcW w:w="1840" w:type="dxa"/>
            <w:tcBorders>
              <w:top w:val="nil"/>
              <w:left w:val="single" w:sz="4" w:space="0" w:color="auto"/>
              <w:bottom w:val="single" w:sz="4" w:space="0" w:color="auto"/>
              <w:right w:val="single" w:sz="4" w:space="0" w:color="auto"/>
            </w:tcBorders>
            <w:shd w:val="clear" w:color="000000" w:fill="F2F2F2"/>
            <w:noWrap/>
            <w:vAlign w:val="center"/>
            <w:hideMark/>
          </w:tcPr>
          <w:p w14:paraId="07241EF1" w14:textId="77777777"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color w:val="000000"/>
                <w:lang w:eastAsia="en-US"/>
              </w:rPr>
              <w:t>102.1947%</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C3AC04" w14:textId="77777777" w:rsidR="0082766E" w:rsidRPr="0082766E" w:rsidRDefault="0082766E" w:rsidP="0082766E">
            <w:pPr>
              <w:jc w:val="right"/>
              <w:rPr>
                <w:rFonts w:ascii="Calibri" w:eastAsia="Times New Roman" w:hAnsi="Calibri" w:cs="Calibri"/>
                <w:color w:val="000000"/>
                <w:lang w:eastAsia="en-US"/>
              </w:rPr>
            </w:pPr>
          </w:p>
        </w:tc>
      </w:tr>
      <w:tr w:rsidR="0082766E" w:rsidRPr="0082766E" w14:paraId="385E414D" w14:textId="77777777" w:rsidTr="00D46A95">
        <w:trPr>
          <w:trHeight w:val="300"/>
        </w:trPr>
        <w:tc>
          <w:tcPr>
            <w:tcW w:w="4180" w:type="dxa"/>
            <w:tcBorders>
              <w:top w:val="single" w:sz="4" w:space="0" w:color="auto"/>
              <w:left w:val="single" w:sz="4" w:space="0" w:color="auto"/>
              <w:bottom w:val="single" w:sz="4" w:space="0" w:color="auto"/>
              <w:right w:val="nil"/>
            </w:tcBorders>
            <w:shd w:val="clear" w:color="000000" w:fill="F2F2F2"/>
            <w:noWrap/>
            <w:vAlign w:val="center"/>
            <w:hideMark/>
          </w:tcPr>
          <w:p w14:paraId="13699E72" w14:textId="77777777" w:rsidR="0082766E" w:rsidRPr="0082766E" w:rsidRDefault="0082766E" w:rsidP="0082766E">
            <w:pPr>
              <w:rPr>
                <w:rFonts w:ascii="Calibri" w:eastAsia="Times New Roman" w:hAnsi="Calibri" w:cs="Calibri"/>
                <w:b/>
                <w:color w:val="000000"/>
                <w:lang w:eastAsia="en-US"/>
              </w:rPr>
            </w:pPr>
            <w:r w:rsidRPr="0082766E">
              <w:rPr>
                <w:rFonts w:ascii="Calibri" w:eastAsia="Times New Roman" w:hAnsi="Calibri" w:cs="Calibri"/>
                <w:b/>
                <w:color w:val="000000"/>
                <w:lang w:eastAsia="en-US"/>
              </w:rPr>
              <w:t>Gross Value at Exchange (AMD)</w:t>
            </w:r>
          </w:p>
        </w:tc>
        <w:tc>
          <w:tcPr>
            <w:tcW w:w="1840" w:type="dxa"/>
            <w:tcBorders>
              <w:top w:val="single" w:sz="4" w:space="0" w:color="auto"/>
              <w:left w:val="single" w:sz="4" w:space="0" w:color="auto"/>
              <w:bottom w:val="single" w:sz="4" w:space="0" w:color="auto"/>
              <w:right w:val="nil"/>
            </w:tcBorders>
            <w:shd w:val="clear" w:color="000000" w:fill="B4C6E7"/>
            <w:noWrap/>
            <w:vAlign w:val="center"/>
            <w:hideMark/>
          </w:tcPr>
          <w:p w14:paraId="55F038EE" w14:textId="77777777" w:rsidR="0082766E" w:rsidRPr="0082766E" w:rsidRDefault="0082766E" w:rsidP="0082766E">
            <w:pPr>
              <w:jc w:val="right"/>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60,196,330.00</w:t>
            </w:r>
          </w:p>
        </w:tc>
        <w:tc>
          <w:tcPr>
            <w:tcW w:w="184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BC4E12B" w14:textId="77777777" w:rsidR="0082766E" w:rsidRPr="0082766E" w:rsidRDefault="0082766E" w:rsidP="0082766E">
            <w:pPr>
              <w:jc w:val="right"/>
              <w:rPr>
                <w:rFonts w:ascii="Calibri" w:eastAsia="Times New Roman" w:hAnsi="Calibri" w:cs="Calibri"/>
                <w:b/>
                <w:bCs/>
                <w:color w:val="000000"/>
                <w:lang w:eastAsia="en-US"/>
              </w:rPr>
            </w:pPr>
            <w:r w:rsidRPr="0082766E">
              <w:rPr>
                <w:rFonts w:ascii="Calibri" w:eastAsia="Times New Roman" w:hAnsi="Calibri" w:cs="Calibri"/>
                <w:b/>
                <w:bCs/>
                <w:color w:val="000000"/>
                <w:lang w:eastAsia="en-US"/>
              </w:rPr>
              <w:t>58,678,379.00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1F3D" w14:textId="7822F9F6" w:rsidR="0082766E" w:rsidRPr="0082766E" w:rsidRDefault="0082766E" w:rsidP="0082766E">
            <w:pPr>
              <w:jc w:val="right"/>
              <w:rPr>
                <w:rFonts w:ascii="Calibri" w:eastAsia="Times New Roman" w:hAnsi="Calibri" w:cs="Calibri"/>
                <w:color w:val="000000"/>
                <w:lang w:eastAsia="en-US"/>
              </w:rPr>
            </w:pPr>
            <w:r w:rsidRPr="0082766E">
              <w:rPr>
                <w:rFonts w:ascii="Calibri" w:eastAsia="Times New Roman" w:hAnsi="Calibri" w:cs="Calibri"/>
                <w:b/>
                <w:color w:val="000000"/>
                <w:lang w:eastAsia="en-US"/>
              </w:rPr>
              <w:t>118,874,709</w:t>
            </w:r>
            <w:r w:rsidR="00D46A95">
              <w:rPr>
                <w:rFonts w:ascii="Calibri" w:eastAsia="Times New Roman" w:hAnsi="Calibri" w:cs="Calibri"/>
                <w:b/>
                <w:color w:val="000000"/>
                <w:lang w:eastAsia="en-US"/>
              </w:rPr>
              <w:t>.00</w:t>
            </w:r>
          </w:p>
        </w:tc>
      </w:tr>
    </w:tbl>
    <w:p w14:paraId="4544486B" w14:textId="1524DA95" w:rsidR="0042056C" w:rsidRDefault="0082766E" w:rsidP="00A44D61">
      <w:pPr>
        <w:rPr>
          <w:rFonts w:cs="Arial"/>
        </w:rPr>
      </w:pPr>
      <w:r>
        <w:rPr>
          <w:rFonts w:cs="Arial"/>
        </w:rPr>
        <w:t xml:space="preserve"> </w:t>
      </w:r>
      <w:r>
        <w:rPr>
          <w:rFonts w:cs="Arial"/>
        </w:rPr>
        <w:tab/>
      </w:r>
    </w:p>
    <w:p w14:paraId="41E233D6" w14:textId="0738D84D" w:rsidR="006B528A" w:rsidRDefault="006B528A">
      <w:pPr>
        <w:rPr>
          <w:rFonts w:cs="Arial"/>
        </w:rPr>
      </w:pPr>
      <w:r>
        <w:rPr>
          <w:rFonts w:cs="Arial"/>
        </w:rPr>
        <w:br w:type="page"/>
      </w:r>
    </w:p>
    <w:tbl>
      <w:tblPr>
        <w:tblW w:w="10580" w:type="dxa"/>
        <w:tblLook w:val="04A0" w:firstRow="1" w:lastRow="0" w:firstColumn="1" w:lastColumn="0" w:noHBand="0" w:noVBand="1"/>
      </w:tblPr>
      <w:tblGrid>
        <w:gridCol w:w="3520"/>
        <w:gridCol w:w="1898"/>
        <w:gridCol w:w="1871"/>
        <w:gridCol w:w="1871"/>
        <w:gridCol w:w="1435"/>
      </w:tblGrid>
      <w:tr w:rsidR="006B528A" w:rsidRPr="006B528A" w14:paraId="2658D319" w14:textId="77777777" w:rsidTr="006B528A">
        <w:trPr>
          <w:trHeight w:val="300"/>
        </w:trPr>
        <w:tc>
          <w:tcPr>
            <w:tcW w:w="10580" w:type="dxa"/>
            <w:gridSpan w:val="5"/>
            <w:tcBorders>
              <w:top w:val="nil"/>
              <w:left w:val="nil"/>
              <w:bottom w:val="single" w:sz="4" w:space="0" w:color="auto"/>
              <w:right w:val="nil"/>
            </w:tcBorders>
            <w:shd w:val="clear" w:color="auto" w:fill="auto"/>
            <w:noWrap/>
            <w:vAlign w:val="bottom"/>
          </w:tcPr>
          <w:p w14:paraId="474E6A82" w14:textId="3F7CA0A8" w:rsidR="006B528A" w:rsidRPr="00D220DF" w:rsidRDefault="006B528A" w:rsidP="006B528A">
            <w:pPr>
              <w:jc w:val="center"/>
              <w:rPr>
                <w:rFonts w:ascii="Calibri" w:eastAsia="Times New Roman" w:hAnsi="Calibri" w:cs="Calibri"/>
                <w:bCs/>
                <w:color w:val="000000"/>
                <w:lang w:eastAsia="en-US"/>
              </w:rPr>
            </w:pPr>
            <w:r w:rsidRPr="00D220DF">
              <w:rPr>
                <w:rFonts w:ascii="Calibri" w:eastAsia="Times New Roman" w:hAnsi="Calibri" w:cs="Calibri"/>
                <w:bCs/>
                <w:lang w:eastAsia="en-US"/>
              </w:rPr>
              <w:lastRenderedPageBreak/>
              <w:t xml:space="preserve">Table </w:t>
            </w:r>
            <w:r w:rsidR="00D46A95" w:rsidRPr="00D220DF">
              <w:rPr>
                <w:rFonts w:ascii="Calibri" w:eastAsia="Times New Roman" w:hAnsi="Calibri" w:cs="Calibri"/>
                <w:bCs/>
                <w:lang w:eastAsia="en-US"/>
              </w:rPr>
              <w:t>9</w:t>
            </w:r>
            <w:r w:rsidRPr="00D220DF">
              <w:rPr>
                <w:rFonts w:ascii="Calibri" w:eastAsia="Times New Roman" w:hAnsi="Calibri" w:cs="Calibri"/>
                <w:bCs/>
                <w:lang w:eastAsia="en-US"/>
              </w:rPr>
              <w:t>: Aggregate Analysis of Destination Bond Allocation in Switch Operations</w:t>
            </w:r>
          </w:p>
        </w:tc>
      </w:tr>
      <w:tr w:rsidR="006B528A" w:rsidRPr="006B528A" w14:paraId="67BF6C5A" w14:textId="77777777" w:rsidTr="006B528A">
        <w:trPr>
          <w:trHeight w:val="300"/>
        </w:trPr>
        <w:tc>
          <w:tcPr>
            <w:tcW w:w="3520" w:type="dxa"/>
            <w:tcBorders>
              <w:top w:val="single" w:sz="4" w:space="0" w:color="auto"/>
              <w:left w:val="single" w:sz="4" w:space="0" w:color="auto"/>
              <w:bottom w:val="nil"/>
              <w:right w:val="single" w:sz="4" w:space="0" w:color="auto"/>
            </w:tcBorders>
            <w:shd w:val="clear" w:color="auto" w:fill="auto"/>
            <w:noWrap/>
            <w:vAlign w:val="bottom"/>
            <w:hideMark/>
          </w:tcPr>
          <w:p w14:paraId="22CD9EB9" w14:textId="77777777" w:rsidR="006B528A" w:rsidRPr="006B528A" w:rsidRDefault="006B528A" w:rsidP="006B528A">
            <w:pPr>
              <w:rPr>
                <w:rFonts w:ascii="Times New Roman" w:eastAsia="Times New Roman" w:hAnsi="Times New Roman" w:cs="Times New Roman"/>
                <w:sz w:val="24"/>
                <w:szCs w:val="24"/>
                <w:lang w:eastAsia="en-US"/>
              </w:rPr>
            </w:pPr>
          </w:p>
        </w:tc>
        <w:tc>
          <w:tcPr>
            <w:tcW w:w="7060"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FF4A734" w14:textId="3E841BA3" w:rsidR="006B528A" w:rsidRPr="006B528A" w:rsidRDefault="006B528A" w:rsidP="006B528A">
            <w:pPr>
              <w:jc w:val="center"/>
              <w:rPr>
                <w:rFonts w:ascii="Calibri" w:eastAsia="Times New Roman" w:hAnsi="Calibri" w:cs="Calibri"/>
                <w:b/>
                <w:bCs/>
                <w:color w:val="000000"/>
                <w:lang w:eastAsia="en-US"/>
              </w:rPr>
            </w:pPr>
            <w:r w:rsidRPr="006B528A">
              <w:rPr>
                <w:rFonts w:ascii="Calibri" w:eastAsia="Times New Roman" w:hAnsi="Calibri" w:cs="Calibri"/>
                <w:b/>
                <w:bCs/>
                <w:color w:val="000000"/>
                <w:lang w:eastAsia="en-US"/>
              </w:rPr>
              <w:t>Destination Bond</w:t>
            </w:r>
            <w:r>
              <w:rPr>
                <w:rFonts w:ascii="Calibri" w:eastAsia="Times New Roman" w:hAnsi="Calibri" w:cs="Calibri"/>
                <w:b/>
                <w:bCs/>
                <w:color w:val="000000"/>
                <w:lang w:eastAsia="en-US"/>
              </w:rPr>
              <w:t>s</w:t>
            </w:r>
          </w:p>
        </w:tc>
      </w:tr>
      <w:tr w:rsidR="006B528A" w:rsidRPr="006B528A" w14:paraId="1FCDBF6B" w14:textId="77777777" w:rsidTr="006B528A">
        <w:trPr>
          <w:trHeight w:val="300"/>
        </w:trPr>
        <w:tc>
          <w:tcPr>
            <w:tcW w:w="3520" w:type="dxa"/>
            <w:tcBorders>
              <w:top w:val="nil"/>
              <w:left w:val="single" w:sz="4" w:space="0" w:color="auto"/>
              <w:bottom w:val="single" w:sz="4" w:space="0" w:color="auto"/>
              <w:right w:val="nil"/>
            </w:tcBorders>
            <w:shd w:val="clear" w:color="000000" w:fill="F2F2F2"/>
            <w:noWrap/>
            <w:vAlign w:val="center"/>
            <w:hideMark/>
          </w:tcPr>
          <w:p w14:paraId="35AC9947"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ISIN</w:t>
            </w:r>
          </w:p>
        </w:tc>
        <w:tc>
          <w:tcPr>
            <w:tcW w:w="1898" w:type="dxa"/>
            <w:tcBorders>
              <w:top w:val="nil"/>
              <w:left w:val="single" w:sz="4" w:space="0" w:color="auto"/>
              <w:bottom w:val="single" w:sz="4" w:space="0" w:color="auto"/>
              <w:right w:val="nil"/>
            </w:tcBorders>
            <w:shd w:val="clear" w:color="000000" w:fill="92D050"/>
            <w:noWrap/>
            <w:vAlign w:val="center"/>
            <w:hideMark/>
          </w:tcPr>
          <w:p w14:paraId="398117CE" w14:textId="77777777" w:rsidR="006B528A" w:rsidRPr="006B528A" w:rsidRDefault="006B528A" w:rsidP="006B528A">
            <w:pPr>
              <w:jc w:val="center"/>
              <w:rPr>
                <w:rFonts w:ascii="Calibri" w:eastAsia="Times New Roman" w:hAnsi="Calibri" w:cs="Calibri"/>
                <w:b/>
                <w:bCs/>
                <w:lang w:eastAsia="en-US"/>
              </w:rPr>
            </w:pPr>
            <w:r w:rsidRPr="006B528A">
              <w:rPr>
                <w:rFonts w:ascii="Calibri" w:eastAsia="Times New Roman" w:hAnsi="Calibri" w:cs="Calibri"/>
                <w:b/>
                <w:bCs/>
                <w:lang w:eastAsia="en-US"/>
              </w:rPr>
              <w:t>AMGN60294235</w:t>
            </w:r>
          </w:p>
        </w:tc>
        <w:tc>
          <w:tcPr>
            <w:tcW w:w="1871" w:type="dxa"/>
            <w:tcBorders>
              <w:top w:val="nil"/>
              <w:left w:val="single" w:sz="4" w:space="0" w:color="auto"/>
              <w:bottom w:val="single" w:sz="4" w:space="0" w:color="auto"/>
              <w:right w:val="nil"/>
            </w:tcBorders>
            <w:shd w:val="clear" w:color="000000" w:fill="92D050"/>
            <w:noWrap/>
            <w:vAlign w:val="center"/>
            <w:hideMark/>
          </w:tcPr>
          <w:p w14:paraId="287AF99A" w14:textId="77777777" w:rsidR="006B528A" w:rsidRPr="006B528A" w:rsidRDefault="006B528A" w:rsidP="006B528A">
            <w:pPr>
              <w:jc w:val="center"/>
              <w:rPr>
                <w:rFonts w:ascii="Calibri" w:eastAsia="Times New Roman" w:hAnsi="Calibri" w:cs="Calibri"/>
                <w:b/>
                <w:bCs/>
                <w:lang w:eastAsia="en-US"/>
              </w:rPr>
            </w:pPr>
            <w:r w:rsidRPr="006B528A">
              <w:rPr>
                <w:rFonts w:ascii="Calibri" w:eastAsia="Times New Roman" w:hAnsi="Calibri" w:cs="Calibri"/>
                <w:b/>
                <w:bCs/>
                <w:lang w:eastAsia="en-US"/>
              </w:rPr>
              <w:t>AMGB30163472</w:t>
            </w:r>
          </w:p>
        </w:tc>
        <w:tc>
          <w:tcPr>
            <w:tcW w:w="1871" w:type="dxa"/>
            <w:tcBorders>
              <w:top w:val="nil"/>
              <w:left w:val="single" w:sz="4" w:space="0" w:color="auto"/>
              <w:bottom w:val="single" w:sz="4" w:space="0" w:color="auto"/>
              <w:right w:val="nil"/>
            </w:tcBorders>
            <w:shd w:val="clear" w:color="000000" w:fill="92D050"/>
            <w:noWrap/>
            <w:vAlign w:val="center"/>
            <w:hideMark/>
          </w:tcPr>
          <w:p w14:paraId="10C65287" w14:textId="77777777" w:rsidR="006B528A" w:rsidRPr="006B528A" w:rsidRDefault="006B528A" w:rsidP="006B528A">
            <w:pPr>
              <w:jc w:val="center"/>
              <w:rPr>
                <w:rFonts w:ascii="Calibri" w:eastAsia="Times New Roman" w:hAnsi="Calibri" w:cs="Calibri"/>
                <w:b/>
                <w:bCs/>
                <w:lang w:eastAsia="en-US"/>
              </w:rPr>
            </w:pPr>
            <w:r w:rsidRPr="006B528A">
              <w:rPr>
                <w:rFonts w:ascii="Calibri" w:eastAsia="Times New Roman" w:hAnsi="Calibri" w:cs="Calibri"/>
                <w:b/>
                <w:bCs/>
                <w:lang w:eastAsia="en-US"/>
              </w:rPr>
              <w:t>AMGB20072287</w:t>
            </w:r>
          </w:p>
        </w:tc>
        <w:tc>
          <w:tcPr>
            <w:tcW w:w="1420" w:type="dxa"/>
            <w:tcBorders>
              <w:top w:val="nil"/>
              <w:left w:val="nil"/>
              <w:bottom w:val="single" w:sz="4" w:space="0" w:color="auto"/>
              <w:right w:val="single" w:sz="4" w:space="0" w:color="auto"/>
            </w:tcBorders>
            <w:shd w:val="clear" w:color="auto" w:fill="auto"/>
            <w:noWrap/>
            <w:vAlign w:val="bottom"/>
            <w:hideMark/>
          </w:tcPr>
          <w:p w14:paraId="2358C6C2" w14:textId="77777777" w:rsidR="006B528A" w:rsidRPr="006B528A" w:rsidRDefault="006B528A" w:rsidP="006B528A">
            <w:pPr>
              <w:rPr>
                <w:rFonts w:ascii="Calibri" w:eastAsia="Times New Roman" w:hAnsi="Calibri" w:cs="Calibri"/>
                <w:b/>
                <w:color w:val="000000"/>
                <w:lang w:eastAsia="en-US"/>
              </w:rPr>
            </w:pPr>
            <w:r w:rsidRPr="006B528A">
              <w:rPr>
                <w:rFonts w:ascii="Calibri" w:eastAsia="Times New Roman" w:hAnsi="Calibri" w:cs="Calibri"/>
                <w:b/>
                <w:color w:val="000000"/>
                <w:lang w:eastAsia="en-US"/>
              </w:rPr>
              <w:t>Total</w:t>
            </w:r>
          </w:p>
        </w:tc>
      </w:tr>
      <w:tr w:rsidR="006B528A" w:rsidRPr="006B528A" w14:paraId="664AB2B4" w14:textId="77777777" w:rsidTr="006B528A">
        <w:trPr>
          <w:trHeight w:val="300"/>
        </w:trPr>
        <w:tc>
          <w:tcPr>
            <w:tcW w:w="3520" w:type="dxa"/>
            <w:tcBorders>
              <w:top w:val="single" w:sz="4" w:space="0" w:color="auto"/>
              <w:left w:val="single" w:sz="4" w:space="0" w:color="auto"/>
              <w:bottom w:val="nil"/>
              <w:right w:val="nil"/>
            </w:tcBorders>
            <w:shd w:val="clear" w:color="000000" w:fill="F2F2F2"/>
            <w:noWrap/>
            <w:vAlign w:val="center"/>
            <w:hideMark/>
          </w:tcPr>
          <w:p w14:paraId="33353587"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Maturity Date</w:t>
            </w:r>
          </w:p>
        </w:tc>
        <w:tc>
          <w:tcPr>
            <w:tcW w:w="1898" w:type="dxa"/>
            <w:tcBorders>
              <w:top w:val="single" w:sz="4" w:space="0" w:color="auto"/>
              <w:left w:val="single" w:sz="4" w:space="0" w:color="auto"/>
              <w:bottom w:val="nil"/>
              <w:right w:val="nil"/>
            </w:tcBorders>
            <w:shd w:val="clear" w:color="000000" w:fill="F2F2F2"/>
            <w:noWrap/>
            <w:vAlign w:val="center"/>
            <w:hideMark/>
          </w:tcPr>
          <w:p w14:paraId="1B5344BA"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29-Apr-23</w:t>
            </w:r>
          </w:p>
        </w:tc>
        <w:tc>
          <w:tcPr>
            <w:tcW w:w="1871" w:type="dxa"/>
            <w:tcBorders>
              <w:top w:val="single" w:sz="4" w:space="0" w:color="auto"/>
              <w:left w:val="single" w:sz="4" w:space="0" w:color="auto"/>
              <w:bottom w:val="nil"/>
              <w:right w:val="nil"/>
            </w:tcBorders>
            <w:shd w:val="clear" w:color="000000" w:fill="F2F2F2"/>
            <w:noWrap/>
            <w:vAlign w:val="center"/>
            <w:hideMark/>
          </w:tcPr>
          <w:p w14:paraId="64804E63"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16-Mar-47</w:t>
            </w:r>
          </w:p>
        </w:tc>
        <w:tc>
          <w:tcPr>
            <w:tcW w:w="1871" w:type="dxa"/>
            <w:tcBorders>
              <w:top w:val="single" w:sz="4" w:space="0" w:color="auto"/>
              <w:left w:val="single" w:sz="4" w:space="0" w:color="auto"/>
              <w:bottom w:val="nil"/>
              <w:right w:val="nil"/>
            </w:tcBorders>
            <w:shd w:val="clear" w:color="000000" w:fill="F2F2F2"/>
            <w:noWrap/>
            <w:vAlign w:val="center"/>
            <w:hideMark/>
          </w:tcPr>
          <w:p w14:paraId="294C1C5C"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7-Feb-28</w:t>
            </w:r>
          </w:p>
        </w:tc>
        <w:tc>
          <w:tcPr>
            <w:tcW w:w="1420" w:type="dxa"/>
            <w:tcBorders>
              <w:top w:val="single" w:sz="4" w:space="0" w:color="auto"/>
              <w:left w:val="nil"/>
              <w:bottom w:val="nil"/>
              <w:right w:val="single" w:sz="4" w:space="0" w:color="auto"/>
            </w:tcBorders>
            <w:shd w:val="clear" w:color="auto" w:fill="auto"/>
            <w:noWrap/>
            <w:vAlign w:val="bottom"/>
            <w:hideMark/>
          </w:tcPr>
          <w:p w14:paraId="67E8BA94"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27986C21" w14:textId="77777777" w:rsidTr="006B528A">
        <w:trPr>
          <w:trHeight w:val="420"/>
        </w:trPr>
        <w:tc>
          <w:tcPr>
            <w:tcW w:w="3520" w:type="dxa"/>
            <w:tcBorders>
              <w:top w:val="nil"/>
              <w:left w:val="single" w:sz="4" w:space="0" w:color="auto"/>
              <w:bottom w:val="nil"/>
              <w:right w:val="nil"/>
            </w:tcBorders>
            <w:shd w:val="clear" w:color="000000" w:fill="F2F2F2"/>
            <w:noWrap/>
            <w:vAlign w:val="center"/>
            <w:hideMark/>
          </w:tcPr>
          <w:p w14:paraId="5AB695A8"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Coupon Rate</w:t>
            </w:r>
          </w:p>
        </w:tc>
        <w:tc>
          <w:tcPr>
            <w:tcW w:w="1898" w:type="dxa"/>
            <w:tcBorders>
              <w:top w:val="nil"/>
              <w:left w:val="single" w:sz="4" w:space="0" w:color="auto"/>
              <w:bottom w:val="nil"/>
              <w:right w:val="nil"/>
            </w:tcBorders>
            <w:shd w:val="clear" w:color="000000" w:fill="F2F2F2"/>
            <w:noWrap/>
            <w:vAlign w:val="center"/>
            <w:hideMark/>
          </w:tcPr>
          <w:p w14:paraId="299827F2"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8.00%</w:t>
            </w:r>
          </w:p>
        </w:tc>
        <w:tc>
          <w:tcPr>
            <w:tcW w:w="1871" w:type="dxa"/>
            <w:tcBorders>
              <w:top w:val="nil"/>
              <w:left w:val="single" w:sz="4" w:space="0" w:color="auto"/>
              <w:bottom w:val="nil"/>
              <w:right w:val="nil"/>
            </w:tcBorders>
            <w:shd w:val="clear" w:color="000000" w:fill="F2F2F2"/>
            <w:noWrap/>
            <w:vAlign w:val="center"/>
            <w:hideMark/>
          </w:tcPr>
          <w:p w14:paraId="4D41478E"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13.00%</w:t>
            </w:r>
          </w:p>
        </w:tc>
        <w:tc>
          <w:tcPr>
            <w:tcW w:w="1871" w:type="dxa"/>
            <w:tcBorders>
              <w:top w:val="nil"/>
              <w:left w:val="single" w:sz="4" w:space="0" w:color="auto"/>
              <w:right w:val="nil"/>
            </w:tcBorders>
            <w:shd w:val="clear" w:color="000000" w:fill="F2F2F2"/>
            <w:noWrap/>
            <w:vAlign w:val="center"/>
            <w:hideMark/>
          </w:tcPr>
          <w:p w14:paraId="5C62E7DA"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11.00%</w:t>
            </w:r>
          </w:p>
        </w:tc>
        <w:tc>
          <w:tcPr>
            <w:tcW w:w="1420" w:type="dxa"/>
            <w:tcBorders>
              <w:top w:val="nil"/>
              <w:left w:val="nil"/>
              <w:right w:val="single" w:sz="4" w:space="0" w:color="auto"/>
            </w:tcBorders>
            <w:shd w:val="clear" w:color="auto" w:fill="auto"/>
            <w:noWrap/>
            <w:vAlign w:val="bottom"/>
            <w:hideMark/>
          </w:tcPr>
          <w:p w14:paraId="59658B28"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167FAB63" w14:textId="77777777" w:rsidTr="006B528A">
        <w:trPr>
          <w:trHeight w:val="420"/>
        </w:trPr>
        <w:tc>
          <w:tcPr>
            <w:tcW w:w="3520" w:type="dxa"/>
            <w:tcBorders>
              <w:top w:val="nil"/>
              <w:left w:val="single" w:sz="4" w:space="0" w:color="auto"/>
              <w:bottom w:val="nil"/>
              <w:right w:val="nil"/>
            </w:tcBorders>
            <w:shd w:val="clear" w:color="000000" w:fill="F2F2F2"/>
            <w:noWrap/>
            <w:vAlign w:val="center"/>
            <w:hideMark/>
          </w:tcPr>
          <w:p w14:paraId="1D78E55D"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Coupon Frequency</w:t>
            </w:r>
          </w:p>
        </w:tc>
        <w:tc>
          <w:tcPr>
            <w:tcW w:w="1898" w:type="dxa"/>
            <w:tcBorders>
              <w:top w:val="nil"/>
              <w:left w:val="single" w:sz="4" w:space="0" w:color="auto"/>
              <w:bottom w:val="single" w:sz="8" w:space="0" w:color="auto"/>
              <w:right w:val="nil"/>
            </w:tcBorders>
            <w:shd w:val="clear" w:color="000000" w:fill="F2F2F2"/>
            <w:noWrap/>
            <w:vAlign w:val="center"/>
            <w:hideMark/>
          </w:tcPr>
          <w:p w14:paraId="4203DD2D"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2</w:t>
            </w:r>
          </w:p>
        </w:tc>
        <w:tc>
          <w:tcPr>
            <w:tcW w:w="1871" w:type="dxa"/>
            <w:tcBorders>
              <w:top w:val="nil"/>
              <w:left w:val="single" w:sz="4" w:space="0" w:color="auto"/>
              <w:bottom w:val="single" w:sz="8" w:space="0" w:color="auto"/>
              <w:right w:val="nil"/>
            </w:tcBorders>
            <w:shd w:val="clear" w:color="000000" w:fill="F2F2F2"/>
            <w:noWrap/>
            <w:vAlign w:val="center"/>
            <w:hideMark/>
          </w:tcPr>
          <w:p w14:paraId="2948F0A0"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2</w:t>
            </w:r>
          </w:p>
        </w:tc>
        <w:tc>
          <w:tcPr>
            <w:tcW w:w="1871" w:type="dxa"/>
            <w:tcBorders>
              <w:top w:val="nil"/>
              <w:left w:val="single" w:sz="4" w:space="0" w:color="auto"/>
              <w:bottom w:val="single" w:sz="4" w:space="0" w:color="auto"/>
              <w:right w:val="nil"/>
            </w:tcBorders>
            <w:shd w:val="clear" w:color="000000" w:fill="F2F2F2"/>
            <w:noWrap/>
            <w:vAlign w:val="center"/>
            <w:hideMark/>
          </w:tcPr>
          <w:p w14:paraId="6E43E577"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2</w:t>
            </w:r>
          </w:p>
        </w:tc>
        <w:tc>
          <w:tcPr>
            <w:tcW w:w="1420" w:type="dxa"/>
            <w:tcBorders>
              <w:top w:val="nil"/>
              <w:left w:val="nil"/>
              <w:bottom w:val="single" w:sz="4" w:space="0" w:color="auto"/>
              <w:right w:val="single" w:sz="4" w:space="0" w:color="auto"/>
            </w:tcBorders>
            <w:shd w:val="clear" w:color="auto" w:fill="auto"/>
            <w:noWrap/>
            <w:vAlign w:val="bottom"/>
            <w:hideMark/>
          </w:tcPr>
          <w:p w14:paraId="3DC7010A"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336C135A" w14:textId="77777777" w:rsidTr="006B528A">
        <w:trPr>
          <w:trHeight w:val="330"/>
        </w:trPr>
        <w:tc>
          <w:tcPr>
            <w:tcW w:w="3520" w:type="dxa"/>
            <w:tcBorders>
              <w:top w:val="single" w:sz="4" w:space="0" w:color="auto"/>
              <w:left w:val="single" w:sz="4" w:space="0" w:color="auto"/>
              <w:bottom w:val="nil"/>
              <w:right w:val="single" w:sz="4" w:space="0" w:color="auto"/>
            </w:tcBorders>
            <w:shd w:val="clear" w:color="000000" w:fill="F2F2F2"/>
            <w:noWrap/>
            <w:vAlign w:val="center"/>
            <w:hideMark/>
          </w:tcPr>
          <w:p w14:paraId="3ADEA4C5" w14:textId="77777777" w:rsidR="006B528A" w:rsidRPr="006B528A" w:rsidRDefault="006B528A" w:rsidP="006B528A">
            <w:pPr>
              <w:rPr>
                <w:rFonts w:ascii="Calibri" w:eastAsia="Times New Roman" w:hAnsi="Calibri" w:cs="Calibri"/>
                <w:b/>
                <w:bCs/>
                <w:color w:val="000000"/>
                <w:lang w:eastAsia="en-US"/>
              </w:rPr>
            </w:pPr>
            <w:r w:rsidRPr="006B528A">
              <w:rPr>
                <w:rFonts w:ascii="Calibri" w:eastAsia="Times New Roman" w:hAnsi="Calibri" w:cs="Calibri"/>
                <w:b/>
                <w:bCs/>
                <w:color w:val="000000"/>
                <w:lang w:eastAsia="en-US"/>
              </w:rPr>
              <w:t>Face Value Tendered / Issued (units)</w:t>
            </w:r>
          </w:p>
        </w:tc>
        <w:tc>
          <w:tcPr>
            <w:tcW w:w="1898" w:type="dxa"/>
            <w:tcBorders>
              <w:top w:val="nil"/>
              <w:left w:val="single" w:sz="4" w:space="0" w:color="auto"/>
              <w:bottom w:val="single" w:sz="8" w:space="0" w:color="auto"/>
              <w:right w:val="nil"/>
            </w:tcBorders>
            <w:shd w:val="clear" w:color="auto" w:fill="auto"/>
            <w:noWrap/>
            <w:vAlign w:val="center"/>
            <w:hideMark/>
          </w:tcPr>
          <w:p w14:paraId="0A63EF10"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38,830,000</w:t>
            </w:r>
          </w:p>
        </w:tc>
        <w:tc>
          <w:tcPr>
            <w:tcW w:w="1871" w:type="dxa"/>
            <w:tcBorders>
              <w:top w:val="nil"/>
              <w:left w:val="single" w:sz="8" w:space="0" w:color="auto"/>
              <w:bottom w:val="single" w:sz="8" w:space="0" w:color="auto"/>
              <w:right w:val="nil"/>
            </w:tcBorders>
            <w:shd w:val="clear" w:color="auto" w:fill="auto"/>
            <w:noWrap/>
            <w:vAlign w:val="center"/>
            <w:hideMark/>
          </w:tcPr>
          <w:p w14:paraId="36D6F5F4"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37,730,000</w:t>
            </w:r>
          </w:p>
        </w:tc>
        <w:tc>
          <w:tcPr>
            <w:tcW w:w="1871" w:type="dxa"/>
            <w:tcBorders>
              <w:top w:val="single" w:sz="4" w:space="0" w:color="auto"/>
              <w:left w:val="single" w:sz="8" w:space="0" w:color="auto"/>
              <w:bottom w:val="single" w:sz="4" w:space="0" w:color="auto"/>
              <w:right w:val="nil"/>
            </w:tcBorders>
            <w:shd w:val="clear" w:color="auto" w:fill="auto"/>
            <w:noWrap/>
            <w:vAlign w:val="center"/>
            <w:hideMark/>
          </w:tcPr>
          <w:p w14:paraId="6FA673DE"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30,590,000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FB810DF" w14:textId="77777777" w:rsidR="006B528A" w:rsidRPr="006B528A" w:rsidRDefault="006B528A" w:rsidP="00D46A95">
            <w:pPr>
              <w:jc w:val="center"/>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107,150,000</w:t>
            </w:r>
          </w:p>
        </w:tc>
      </w:tr>
      <w:tr w:rsidR="006B528A" w:rsidRPr="006B528A" w14:paraId="71F80E50" w14:textId="77777777" w:rsidTr="006B528A">
        <w:trPr>
          <w:trHeight w:val="330"/>
        </w:trPr>
        <w:tc>
          <w:tcPr>
            <w:tcW w:w="3520" w:type="dxa"/>
            <w:tcBorders>
              <w:top w:val="nil"/>
              <w:left w:val="single" w:sz="4" w:space="0" w:color="auto"/>
              <w:bottom w:val="single" w:sz="4" w:space="0" w:color="auto"/>
              <w:right w:val="single" w:sz="4" w:space="0" w:color="auto"/>
            </w:tcBorders>
            <w:shd w:val="clear" w:color="000000" w:fill="F2F2F2"/>
            <w:noWrap/>
            <w:vAlign w:val="center"/>
            <w:hideMark/>
          </w:tcPr>
          <w:p w14:paraId="542F4374" w14:textId="77777777" w:rsidR="006B528A" w:rsidRPr="006B528A" w:rsidRDefault="006B528A" w:rsidP="006B528A">
            <w:pPr>
              <w:rPr>
                <w:rFonts w:ascii="Calibri" w:eastAsia="Times New Roman" w:hAnsi="Calibri" w:cs="Calibri"/>
                <w:b/>
                <w:bCs/>
                <w:color w:val="000000"/>
                <w:lang w:eastAsia="en-US"/>
              </w:rPr>
            </w:pPr>
            <w:r w:rsidRPr="006B528A">
              <w:rPr>
                <w:rFonts w:ascii="Calibri" w:eastAsia="Times New Roman" w:hAnsi="Calibri" w:cs="Calibri"/>
                <w:b/>
                <w:bCs/>
                <w:color w:val="000000"/>
                <w:lang w:eastAsia="en-US"/>
              </w:rPr>
              <w:t>Clean Value at Cost (AMD)</w:t>
            </w:r>
          </w:p>
        </w:tc>
        <w:tc>
          <w:tcPr>
            <w:tcW w:w="1898" w:type="dxa"/>
            <w:tcBorders>
              <w:top w:val="nil"/>
              <w:left w:val="single" w:sz="4" w:space="0" w:color="auto"/>
              <w:bottom w:val="single" w:sz="8" w:space="0" w:color="auto"/>
              <w:right w:val="nil"/>
            </w:tcBorders>
            <w:shd w:val="clear" w:color="auto" w:fill="auto"/>
            <w:noWrap/>
            <w:vAlign w:val="center"/>
            <w:hideMark/>
          </w:tcPr>
          <w:p w14:paraId="343B983A"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38,830,000.00</w:t>
            </w:r>
          </w:p>
        </w:tc>
        <w:tc>
          <w:tcPr>
            <w:tcW w:w="1871" w:type="dxa"/>
            <w:tcBorders>
              <w:top w:val="nil"/>
              <w:left w:val="single" w:sz="8" w:space="0" w:color="auto"/>
              <w:bottom w:val="single" w:sz="8" w:space="0" w:color="auto"/>
              <w:right w:val="nil"/>
            </w:tcBorders>
            <w:shd w:val="clear" w:color="auto" w:fill="auto"/>
            <w:noWrap/>
            <w:vAlign w:val="center"/>
            <w:hideMark/>
          </w:tcPr>
          <w:p w14:paraId="6D4BAFCD"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37,730,000.00</w:t>
            </w:r>
          </w:p>
        </w:tc>
        <w:tc>
          <w:tcPr>
            <w:tcW w:w="1871" w:type="dxa"/>
            <w:tcBorders>
              <w:top w:val="single" w:sz="4" w:space="0" w:color="auto"/>
              <w:left w:val="single" w:sz="8" w:space="0" w:color="auto"/>
              <w:bottom w:val="single" w:sz="8" w:space="0" w:color="auto"/>
              <w:right w:val="nil"/>
            </w:tcBorders>
            <w:shd w:val="clear" w:color="auto" w:fill="auto"/>
            <w:noWrap/>
            <w:vAlign w:val="center"/>
            <w:hideMark/>
          </w:tcPr>
          <w:p w14:paraId="0BA4374C"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30,590,000.00</w:t>
            </w:r>
          </w:p>
        </w:tc>
        <w:tc>
          <w:tcPr>
            <w:tcW w:w="1420" w:type="dxa"/>
            <w:tcBorders>
              <w:top w:val="single" w:sz="4" w:space="0" w:color="auto"/>
              <w:left w:val="nil"/>
              <w:bottom w:val="nil"/>
              <w:right w:val="single" w:sz="4" w:space="0" w:color="auto"/>
            </w:tcBorders>
            <w:shd w:val="clear" w:color="auto" w:fill="auto"/>
            <w:noWrap/>
            <w:vAlign w:val="bottom"/>
            <w:hideMark/>
          </w:tcPr>
          <w:p w14:paraId="35EA20C6"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107,150,000</w:t>
            </w:r>
          </w:p>
        </w:tc>
      </w:tr>
      <w:tr w:rsidR="006B528A" w:rsidRPr="006B528A" w14:paraId="1159AF83" w14:textId="77777777" w:rsidTr="006B528A">
        <w:trPr>
          <w:trHeight w:val="330"/>
        </w:trPr>
        <w:tc>
          <w:tcPr>
            <w:tcW w:w="3520" w:type="dxa"/>
            <w:tcBorders>
              <w:top w:val="nil"/>
              <w:left w:val="single" w:sz="4" w:space="0" w:color="auto"/>
              <w:bottom w:val="nil"/>
              <w:right w:val="single" w:sz="4" w:space="0" w:color="auto"/>
            </w:tcBorders>
            <w:shd w:val="clear" w:color="000000" w:fill="F2F2F2"/>
            <w:noWrap/>
            <w:vAlign w:val="center"/>
            <w:hideMark/>
          </w:tcPr>
          <w:p w14:paraId="544A10B7"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Cut-off Yield</w:t>
            </w:r>
          </w:p>
        </w:tc>
        <w:tc>
          <w:tcPr>
            <w:tcW w:w="1898" w:type="dxa"/>
            <w:tcBorders>
              <w:top w:val="nil"/>
              <w:left w:val="single" w:sz="4" w:space="0" w:color="auto"/>
              <w:bottom w:val="single" w:sz="8" w:space="0" w:color="auto"/>
              <w:right w:val="nil"/>
            </w:tcBorders>
            <w:shd w:val="clear" w:color="000000" w:fill="92D050"/>
            <w:noWrap/>
            <w:vAlign w:val="center"/>
            <w:hideMark/>
          </w:tcPr>
          <w:p w14:paraId="38702DD9"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7.2500%</w:t>
            </w:r>
          </w:p>
        </w:tc>
        <w:tc>
          <w:tcPr>
            <w:tcW w:w="1871" w:type="dxa"/>
            <w:tcBorders>
              <w:top w:val="nil"/>
              <w:left w:val="single" w:sz="8" w:space="0" w:color="auto"/>
              <w:bottom w:val="single" w:sz="8" w:space="0" w:color="auto"/>
              <w:right w:val="nil"/>
            </w:tcBorders>
            <w:shd w:val="clear" w:color="000000" w:fill="92D050"/>
            <w:noWrap/>
            <w:vAlign w:val="center"/>
            <w:hideMark/>
          </w:tcPr>
          <w:p w14:paraId="429BB0DA"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11.5800%</w:t>
            </w:r>
          </w:p>
        </w:tc>
        <w:tc>
          <w:tcPr>
            <w:tcW w:w="1871" w:type="dxa"/>
            <w:tcBorders>
              <w:top w:val="nil"/>
              <w:left w:val="single" w:sz="8" w:space="0" w:color="auto"/>
              <w:bottom w:val="single" w:sz="4" w:space="0" w:color="auto"/>
              <w:right w:val="nil"/>
            </w:tcBorders>
            <w:shd w:val="clear" w:color="000000" w:fill="92D050"/>
            <w:noWrap/>
            <w:vAlign w:val="center"/>
            <w:hideMark/>
          </w:tcPr>
          <w:p w14:paraId="69DC7EEC" w14:textId="77777777" w:rsidR="006B528A" w:rsidRPr="006B528A" w:rsidRDefault="006B528A" w:rsidP="006B528A">
            <w:pPr>
              <w:jc w:val="right"/>
              <w:rPr>
                <w:rFonts w:ascii="Calibri" w:eastAsia="Times New Roman" w:hAnsi="Calibri" w:cs="Calibri"/>
                <w:b/>
                <w:bCs/>
                <w:color w:val="0070C0"/>
                <w:sz w:val="24"/>
                <w:szCs w:val="24"/>
                <w:lang w:eastAsia="en-US"/>
              </w:rPr>
            </w:pPr>
            <w:r w:rsidRPr="006B528A">
              <w:rPr>
                <w:rFonts w:ascii="Calibri" w:eastAsia="Times New Roman" w:hAnsi="Calibri" w:cs="Calibri"/>
                <w:b/>
                <w:bCs/>
                <w:color w:val="0070C0"/>
                <w:sz w:val="24"/>
                <w:szCs w:val="24"/>
                <w:lang w:eastAsia="en-US"/>
              </w:rPr>
              <w:t>9.1800%</w:t>
            </w:r>
          </w:p>
        </w:tc>
        <w:tc>
          <w:tcPr>
            <w:tcW w:w="1420" w:type="dxa"/>
            <w:tcBorders>
              <w:top w:val="nil"/>
              <w:left w:val="nil"/>
              <w:bottom w:val="single" w:sz="4" w:space="0" w:color="auto"/>
              <w:right w:val="single" w:sz="4" w:space="0" w:color="auto"/>
            </w:tcBorders>
            <w:shd w:val="clear" w:color="auto" w:fill="auto"/>
            <w:noWrap/>
            <w:vAlign w:val="bottom"/>
            <w:hideMark/>
          </w:tcPr>
          <w:p w14:paraId="4AFE1ADF" w14:textId="77777777" w:rsidR="006B528A" w:rsidRPr="006B528A" w:rsidRDefault="006B528A" w:rsidP="006B528A">
            <w:pPr>
              <w:jc w:val="right"/>
              <w:rPr>
                <w:rFonts w:ascii="Calibri" w:eastAsia="Times New Roman" w:hAnsi="Calibri" w:cs="Calibri"/>
                <w:b/>
                <w:bCs/>
                <w:color w:val="0070C0"/>
                <w:sz w:val="24"/>
                <w:szCs w:val="24"/>
                <w:lang w:eastAsia="en-US"/>
              </w:rPr>
            </w:pPr>
          </w:p>
        </w:tc>
      </w:tr>
      <w:tr w:rsidR="006B528A" w:rsidRPr="006B528A" w14:paraId="5B7A5444" w14:textId="77777777" w:rsidTr="006B528A">
        <w:trPr>
          <w:trHeight w:val="300"/>
        </w:trPr>
        <w:tc>
          <w:tcPr>
            <w:tcW w:w="3520" w:type="dxa"/>
            <w:tcBorders>
              <w:top w:val="nil"/>
              <w:left w:val="single" w:sz="4" w:space="0" w:color="auto"/>
              <w:bottom w:val="nil"/>
              <w:right w:val="nil"/>
            </w:tcBorders>
            <w:shd w:val="clear" w:color="000000" w:fill="F2F2F2"/>
            <w:noWrap/>
            <w:vAlign w:val="center"/>
            <w:hideMark/>
          </w:tcPr>
          <w:p w14:paraId="38AEE78B"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Previous Coupon Date</w:t>
            </w:r>
          </w:p>
        </w:tc>
        <w:tc>
          <w:tcPr>
            <w:tcW w:w="1898" w:type="dxa"/>
            <w:tcBorders>
              <w:top w:val="nil"/>
              <w:left w:val="single" w:sz="4" w:space="0" w:color="auto"/>
              <w:bottom w:val="nil"/>
              <w:right w:val="nil"/>
            </w:tcBorders>
            <w:shd w:val="clear" w:color="000000" w:fill="F2F2F2"/>
            <w:noWrap/>
            <w:vAlign w:val="center"/>
            <w:hideMark/>
          </w:tcPr>
          <w:p w14:paraId="28F586C1"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29-Apr-18</w:t>
            </w:r>
          </w:p>
        </w:tc>
        <w:tc>
          <w:tcPr>
            <w:tcW w:w="1871" w:type="dxa"/>
            <w:tcBorders>
              <w:top w:val="nil"/>
              <w:left w:val="single" w:sz="4" w:space="0" w:color="auto"/>
              <w:bottom w:val="nil"/>
              <w:right w:val="nil"/>
            </w:tcBorders>
            <w:shd w:val="clear" w:color="000000" w:fill="F2F2F2"/>
            <w:noWrap/>
            <w:vAlign w:val="center"/>
            <w:hideMark/>
          </w:tcPr>
          <w:p w14:paraId="6E3F69FC"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16-Mar-18</w:t>
            </w:r>
          </w:p>
        </w:tc>
        <w:tc>
          <w:tcPr>
            <w:tcW w:w="1871" w:type="dxa"/>
            <w:tcBorders>
              <w:top w:val="single" w:sz="4" w:space="0" w:color="auto"/>
              <w:left w:val="single" w:sz="4" w:space="0" w:color="auto"/>
              <w:bottom w:val="nil"/>
              <w:right w:val="nil"/>
            </w:tcBorders>
            <w:shd w:val="clear" w:color="000000" w:fill="F2F2F2"/>
            <w:noWrap/>
            <w:vAlign w:val="center"/>
            <w:hideMark/>
          </w:tcPr>
          <w:p w14:paraId="11D1DA84"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07-Feb-18</w:t>
            </w:r>
          </w:p>
        </w:tc>
        <w:tc>
          <w:tcPr>
            <w:tcW w:w="1420" w:type="dxa"/>
            <w:tcBorders>
              <w:top w:val="single" w:sz="4" w:space="0" w:color="auto"/>
              <w:left w:val="nil"/>
              <w:bottom w:val="nil"/>
              <w:right w:val="single" w:sz="4" w:space="0" w:color="auto"/>
            </w:tcBorders>
            <w:shd w:val="clear" w:color="auto" w:fill="auto"/>
            <w:noWrap/>
            <w:vAlign w:val="bottom"/>
            <w:hideMark/>
          </w:tcPr>
          <w:p w14:paraId="3AB8B812"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26E5E4EB" w14:textId="77777777" w:rsidTr="006B528A">
        <w:trPr>
          <w:trHeight w:val="300"/>
        </w:trPr>
        <w:tc>
          <w:tcPr>
            <w:tcW w:w="3520" w:type="dxa"/>
            <w:tcBorders>
              <w:top w:val="nil"/>
              <w:left w:val="single" w:sz="4" w:space="0" w:color="auto"/>
              <w:bottom w:val="nil"/>
              <w:right w:val="nil"/>
            </w:tcBorders>
            <w:shd w:val="clear" w:color="000000" w:fill="F2F2F2"/>
            <w:noWrap/>
            <w:vAlign w:val="center"/>
            <w:hideMark/>
          </w:tcPr>
          <w:p w14:paraId="7EFFAAB6"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DSC</w:t>
            </w:r>
          </w:p>
        </w:tc>
        <w:tc>
          <w:tcPr>
            <w:tcW w:w="1898" w:type="dxa"/>
            <w:tcBorders>
              <w:top w:val="nil"/>
              <w:left w:val="single" w:sz="4" w:space="0" w:color="auto"/>
              <w:bottom w:val="nil"/>
              <w:right w:val="nil"/>
            </w:tcBorders>
            <w:shd w:val="clear" w:color="000000" w:fill="F2F2F2"/>
            <w:noWrap/>
            <w:vAlign w:val="center"/>
            <w:hideMark/>
          </w:tcPr>
          <w:p w14:paraId="31450B8B"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140</w:t>
            </w:r>
          </w:p>
        </w:tc>
        <w:tc>
          <w:tcPr>
            <w:tcW w:w="1871" w:type="dxa"/>
            <w:tcBorders>
              <w:top w:val="nil"/>
              <w:left w:val="single" w:sz="4" w:space="0" w:color="auto"/>
              <w:bottom w:val="nil"/>
              <w:right w:val="nil"/>
            </w:tcBorders>
            <w:shd w:val="clear" w:color="000000" w:fill="F2F2F2"/>
            <w:noWrap/>
            <w:vAlign w:val="center"/>
            <w:hideMark/>
          </w:tcPr>
          <w:p w14:paraId="40D89E0D"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97</w:t>
            </w:r>
          </w:p>
        </w:tc>
        <w:tc>
          <w:tcPr>
            <w:tcW w:w="1871" w:type="dxa"/>
            <w:tcBorders>
              <w:top w:val="nil"/>
              <w:left w:val="single" w:sz="4" w:space="0" w:color="auto"/>
              <w:bottom w:val="nil"/>
              <w:right w:val="nil"/>
            </w:tcBorders>
            <w:shd w:val="clear" w:color="000000" w:fill="F2F2F2"/>
            <w:noWrap/>
            <w:vAlign w:val="center"/>
            <w:hideMark/>
          </w:tcPr>
          <w:p w14:paraId="5134284C"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57</w:t>
            </w:r>
          </w:p>
        </w:tc>
        <w:tc>
          <w:tcPr>
            <w:tcW w:w="1420" w:type="dxa"/>
            <w:tcBorders>
              <w:top w:val="nil"/>
              <w:left w:val="nil"/>
              <w:bottom w:val="nil"/>
              <w:right w:val="single" w:sz="4" w:space="0" w:color="auto"/>
            </w:tcBorders>
            <w:shd w:val="clear" w:color="auto" w:fill="auto"/>
            <w:noWrap/>
            <w:vAlign w:val="bottom"/>
            <w:hideMark/>
          </w:tcPr>
          <w:p w14:paraId="58FAC1B3"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73278092" w14:textId="77777777" w:rsidTr="006B528A">
        <w:trPr>
          <w:trHeight w:val="300"/>
        </w:trPr>
        <w:tc>
          <w:tcPr>
            <w:tcW w:w="3520" w:type="dxa"/>
            <w:tcBorders>
              <w:top w:val="nil"/>
              <w:left w:val="single" w:sz="4" w:space="0" w:color="auto"/>
              <w:bottom w:val="nil"/>
              <w:right w:val="nil"/>
            </w:tcBorders>
            <w:shd w:val="clear" w:color="000000" w:fill="F2F2F2"/>
            <w:noWrap/>
            <w:vAlign w:val="center"/>
            <w:hideMark/>
          </w:tcPr>
          <w:p w14:paraId="5C8BCCA2"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DCS</w:t>
            </w:r>
          </w:p>
        </w:tc>
        <w:tc>
          <w:tcPr>
            <w:tcW w:w="1898" w:type="dxa"/>
            <w:tcBorders>
              <w:top w:val="nil"/>
              <w:left w:val="single" w:sz="4" w:space="0" w:color="auto"/>
              <w:bottom w:val="nil"/>
              <w:right w:val="nil"/>
            </w:tcBorders>
            <w:shd w:val="clear" w:color="000000" w:fill="F2F2F2"/>
            <w:noWrap/>
            <w:vAlign w:val="center"/>
            <w:hideMark/>
          </w:tcPr>
          <w:p w14:paraId="7A3644B4"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43</w:t>
            </w:r>
          </w:p>
        </w:tc>
        <w:tc>
          <w:tcPr>
            <w:tcW w:w="1871" w:type="dxa"/>
            <w:tcBorders>
              <w:top w:val="nil"/>
              <w:left w:val="single" w:sz="4" w:space="0" w:color="auto"/>
              <w:bottom w:val="nil"/>
              <w:right w:val="nil"/>
            </w:tcBorders>
            <w:shd w:val="clear" w:color="000000" w:fill="F2F2F2"/>
            <w:noWrap/>
            <w:vAlign w:val="center"/>
            <w:hideMark/>
          </w:tcPr>
          <w:p w14:paraId="0EF6B623"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87</w:t>
            </w:r>
          </w:p>
        </w:tc>
        <w:tc>
          <w:tcPr>
            <w:tcW w:w="1871" w:type="dxa"/>
            <w:tcBorders>
              <w:top w:val="nil"/>
              <w:left w:val="single" w:sz="4" w:space="0" w:color="auto"/>
              <w:bottom w:val="nil"/>
              <w:right w:val="nil"/>
            </w:tcBorders>
            <w:shd w:val="clear" w:color="000000" w:fill="F2F2F2"/>
            <w:noWrap/>
            <w:vAlign w:val="center"/>
            <w:hideMark/>
          </w:tcPr>
          <w:p w14:paraId="29B62339"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124</w:t>
            </w:r>
          </w:p>
        </w:tc>
        <w:tc>
          <w:tcPr>
            <w:tcW w:w="1420" w:type="dxa"/>
            <w:tcBorders>
              <w:top w:val="nil"/>
              <w:left w:val="nil"/>
              <w:bottom w:val="nil"/>
              <w:right w:val="single" w:sz="4" w:space="0" w:color="auto"/>
            </w:tcBorders>
            <w:shd w:val="clear" w:color="auto" w:fill="auto"/>
            <w:noWrap/>
            <w:vAlign w:val="bottom"/>
            <w:hideMark/>
          </w:tcPr>
          <w:p w14:paraId="4B7218A0"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10ADDA80" w14:textId="77777777" w:rsidTr="006B528A">
        <w:trPr>
          <w:trHeight w:val="300"/>
        </w:trPr>
        <w:tc>
          <w:tcPr>
            <w:tcW w:w="3520" w:type="dxa"/>
            <w:tcBorders>
              <w:top w:val="nil"/>
              <w:left w:val="single" w:sz="4" w:space="0" w:color="auto"/>
              <w:bottom w:val="nil"/>
              <w:right w:val="nil"/>
            </w:tcBorders>
            <w:shd w:val="clear" w:color="000000" w:fill="F2F2F2"/>
            <w:noWrap/>
            <w:vAlign w:val="center"/>
            <w:hideMark/>
          </w:tcPr>
          <w:p w14:paraId="4D7C680F"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Clean Price</w:t>
            </w:r>
          </w:p>
        </w:tc>
        <w:tc>
          <w:tcPr>
            <w:tcW w:w="1898" w:type="dxa"/>
            <w:tcBorders>
              <w:top w:val="nil"/>
              <w:left w:val="single" w:sz="4" w:space="0" w:color="auto"/>
              <w:bottom w:val="nil"/>
              <w:right w:val="nil"/>
            </w:tcBorders>
            <w:shd w:val="clear" w:color="000000" w:fill="F2F2F2"/>
            <w:noWrap/>
            <w:vAlign w:val="center"/>
            <w:hideMark/>
          </w:tcPr>
          <w:p w14:paraId="38B0ED94"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103.0255%</w:t>
            </w:r>
          </w:p>
        </w:tc>
        <w:tc>
          <w:tcPr>
            <w:tcW w:w="1871" w:type="dxa"/>
            <w:tcBorders>
              <w:top w:val="nil"/>
              <w:left w:val="single" w:sz="4" w:space="0" w:color="auto"/>
              <w:bottom w:val="nil"/>
              <w:right w:val="nil"/>
            </w:tcBorders>
            <w:shd w:val="clear" w:color="000000" w:fill="F2F2F2"/>
            <w:noWrap/>
            <w:vAlign w:val="center"/>
            <w:hideMark/>
          </w:tcPr>
          <w:p w14:paraId="76971058"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111.7357%</w:t>
            </w:r>
          </w:p>
        </w:tc>
        <w:tc>
          <w:tcPr>
            <w:tcW w:w="1871" w:type="dxa"/>
            <w:tcBorders>
              <w:top w:val="nil"/>
              <w:left w:val="single" w:sz="4" w:space="0" w:color="auto"/>
              <w:bottom w:val="nil"/>
              <w:right w:val="nil"/>
            </w:tcBorders>
            <w:shd w:val="clear" w:color="000000" w:fill="F2F2F2"/>
            <w:noWrap/>
            <w:vAlign w:val="center"/>
            <w:hideMark/>
          </w:tcPr>
          <w:p w14:paraId="1C5AE80C"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111.4665%</w:t>
            </w:r>
          </w:p>
        </w:tc>
        <w:tc>
          <w:tcPr>
            <w:tcW w:w="1420" w:type="dxa"/>
            <w:tcBorders>
              <w:top w:val="nil"/>
              <w:left w:val="nil"/>
              <w:bottom w:val="nil"/>
              <w:right w:val="single" w:sz="4" w:space="0" w:color="auto"/>
            </w:tcBorders>
            <w:shd w:val="clear" w:color="auto" w:fill="auto"/>
            <w:noWrap/>
            <w:vAlign w:val="bottom"/>
            <w:hideMark/>
          </w:tcPr>
          <w:p w14:paraId="6684D35F"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1B864287" w14:textId="77777777" w:rsidTr="006B528A">
        <w:trPr>
          <w:trHeight w:val="300"/>
        </w:trPr>
        <w:tc>
          <w:tcPr>
            <w:tcW w:w="3520" w:type="dxa"/>
            <w:tcBorders>
              <w:top w:val="nil"/>
              <w:left w:val="single" w:sz="4" w:space="0" w:color="auto"/>
              <w:right w:val="nil"/>
            </w:tcBorders>
            <w:shd w:val="clear" w:color="000000" w:fill="F2F2F2"/>
            <w:noWrap/>
            <w:vAlign w:val="center"/>
            <w:hideMark/>
          </w:tcPr>
          <w:p w14:paraId="78A4250E"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Accrued Interest</w:t>
            </w:r>
          </w:p>
        </w:tc>
        <w:tc>
          <w:tcPr>
            <w:tcW w:w="1898" w:type="dxa"/>
            <w:tcBorders>
              <w:top w:val="nil"/>
              <w:left w:val="single" w:sz="4" w:space="0" w:color="auto"/>
              <w:right w:val="nil"/>
            </w:tcBorders>
            <w:shd w:val="clear" w:color="000000" w:fill="F2F2F2"/>
            <w:noWrap/>
            <w:vAlign w:val="center"/>
            <w:hideMark/>
          </w:tcPr>
          <w:p w14:paraId="4C2E9201"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0.9399%</w:t>
            </w:r>
          </w:p>
        </w:tc>
        <w:tc>
          <w:tcPr>
            <w:tcW w:w="1871" w:type="dxa"/>
            <w:tcBorders>
              <w:top w:val="nil"/>
              <w:left w:val="single" w:sz="4" w:space="0" w:color="auto"/>
              <w:right w:val="nil"/>
            </w:tcBorders>
            <w:shd w:val="clear" w:color="000000" w:fill="F2F2F2"/>
            <w:noWrap/>
            <w:vAlign w:val="center"/>
            <w:hideMark/>
          </w:tcPr>
          <w:p w14:paraId="31A41D63"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3.0734%</w:t>
            </w:r>
          </w:p>
        </w:tc>
        <w:tc>
          <w:tcPr>
            <w:tcW w:w="1871" w:type="dxa"/>
            <w:tcBorders>
              <w:top w:val="nil"/>
              <w:left w:val="single" w:sz="4" w:space="0" w:color="auto"/>
              <w:right w:val="nil"/>
            </w:tcBorders>
            <w:shd w:val="clear" w:color="000000" w:fill="F2F2F2"/>
            <w:noWrap/>
            <w:vAlign w:val="center"/>
            <w:hideMark/>
          </w:tcPr>
          <w:p w14:paraId="00081D76"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3.7680%</w:t>
            </w:r>
          </w:p>
        </w:tc>
        <w:tc>
          <w:tcPr>
            <w:tcW w:w="1420" w:type="dxa"/>
            <w:tcBorders>
              <w:top w:val="nil"/>
              <w:left w:val="nil"/>
              <w:right w:val="single" w:sz="4" w:space="0" w:color="auto"/>
            </w:tcBorders>
            <w:shd w:val="clear" w:color="auto" w:fill="auto"/>
            <w:noWrap/>
            <w:vAlign w:val="bottom"/>
            <w:hideMark/>
          </w:tcPr>
          <w:p w14:paraId="525ED7B6"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51023ABE" w14:textId="77777777" w:rsidTr="006B528A">
        <w:trPr>
          <w:trHeight w:val="300"/>
        </w:trPr>
        <w:tc>
          <w:tcPr>
            <w:tcW w:w="3520" w:type="dxa"/>
            <w:tcBorders>
              <w:top w:val="nil"/>
              <w:left w:val="single" w:sz="4" w:space="0" w:color="auto"/>
              <w:bottom w:val="single" w:sz="4" w:space="0" w:color="auto"/>
              <w:right w:val="nil"/>
            </w:tcBorders>
            <w:shd w:val="clear" w:color="000000" w:fill="F2F2F2"/>
            <w:noWrap/>
            <w:vAlign w:val="center"/>
            <w:hideMark/>
          </w:tcPr>
          <w:p w14:paraId="08B2FB41" w14:textId="77777777" w:rsidR="006B528A" w:rsidRPr="006B528A" w:rsidRDefault="006B528A" w:rsidP="006B528A">
            <w:pPr>
              <w:rPr>
                <w:rFonts w:ascii="Calibri" w:eastAsia="Times New Roman" w:hAnsi="Calibri" w:cs="Calibri"/>
                <w:color w:val="000000"/>
                <w:lang w:eastAsia="en-US"/>
              </w:rPr>
            </w:pPr>
            <w:r w:rsidRPr="006B528A">
              <w:rPr>
                <w:rFonts w:ascii="Calibri" w:eastAsia="Times New Roman" w:hAnsi="Calibri" w:cs="Calibri"/>
                <w:color w:val="000000"/>
                <w:lang w:eastAsia="en-US"/>
              </w:rPr>
              <w:t>Gross Price</w:t>
            </w:r>
          </w:p>
        </w:tc>
        <w:tc>
          <w:tcPr>
            <w:tcW w:w="1898" w:type="dxa"/>
            <w:tcBorders>
              <w:top w:val="nil"/>
              <w:left w:val="single" w:sz="4" w:space="0" w:color="auto"/>
              <w:bottom w:val="single" w:sz="4" w:space="0" w:color="auto"/>
              <w:right w:val="nil"/>
            </w:tcBorders>
            <w:shd w:val="clear" w:color="000000" w:fill="F2F2F2"/>
            <w:noWrap/>
            <w:vAlign w:val="center"/>
            <w:hideMark/>
          </w:tcPr>
          <w:p w14:paraId="555DA7A8"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103.9654%</w:t>
            </w:r>
          </w:p>
        </w:tc>
        <w:tc>
          <w:tcPr>
            <w:tcW w:w="1871" w:type="dxa"/>
            <w:tcBorders>
              <w:top w:val="nil"/>
              <w:left w:val="single" w:sz="4" w:space="0" w:color="auto"/>
              <w:bottom w:val="single" w:sz="4" w:space="0" w:color="auto"/>
              <w:right w:val="nil"/>
            </w:tcBorders>
            <w:shd w:val="clear" w:color="000000" w:fill="F2F2F2"/>
            <w:noWrap/>
            <w:vAlign w:val="center"/>
            <w:hideMark/>
          </w:tcPr>
          <w:p w14:paraId="04F5B6F8"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114.8091%</w:t>
            </w:r>
          </w:p>
        </w:tc>
        <w:tc>
          <w:tcPr>
            <w:tcW w:w="1871" w:type="dxa"/>
            <w:tcBorders>
              <w:top w:val="nil"/>
              <w:left w:val="single" w:sz="4" w:space="0" w:color="auto"/>
              <w:bottom w:val="single" w:sz="4" w:space="0" w:color="auto"/>
              <w:right w:val="nil"/>
            </w:tcBorders>
            <w:shd w:val="clear" w:color="000000" w:fill="F2F2F2"/>
            <w:noWrap/>
            <w:vAlign w:val="center"/>
            <w:hideMark/>
          </w:tcPr>
          <w:p w14:paraId="617900E3" w14:textId="77777777" w:rsidR="006B528A" w:rsidRPr="006B528A" w:rsidRDefault="006B528A" w:rsidP="006B528A">
            <w:pPr>
              <w:jc w:val="right"/>
              <w:rPr>
                <w:rFonts w:ascii="Calibri" w:eastAsia="Times New Roman" w:hAnsi="Calibri" w:cs="Calibri"/>
                <w:color w:val="000000"/>
                <w:lang w:eastAsia="en-US"/>
              </w:rPr>
            </w:pPr>
            <w:r w:rsidRPr="006B528A">
              <w:rPr>
                <w:rFonts w:ascii="Calibri" w:eastAsia="Times New Roman" w:hAnsi="Calibri" w:cs="Calibri"/>
                <w:color w:val="000000"/>
                <w:lang w:eastAsia="en-US"/>
              </w:rPr>
              <w:t>115.2345%</w:t>
            </w:r>
          </w:p>
        </w:tc>
        <w:tc>
          <w:tcPr>
            <w:tcW w:w="1420" w:type="dxa"/>
            <w:tcBorders>
              <w:top w:val="nil"/>
              <w:left w:val="nil"/>
              <w:bottom w:val="single" w:sz="4" w:space="0" w:color="auto"/>
              <w:right w:val="single" w:sz="4" w:space="0" w:color="auto"/>
            </w:tcBorders>
            <w:shd w:val="clear" w:color="auto" w:fill="auto"/>
            <w:noWrap/>
            <w:vAlign w:val="bottom"/>
            <w:hideMark/>
          </w:tcPr>
          <w:p w14:paraId="7A23F887" w14:textId="77777777" w:rsidR="006B528A" w:rsidRPr="006B528A" w:rsidRDefault="006B528A" w:rsidP="006B528A">
            <w:pPr>
              <w:jc w:val="right"/>
              <w:rPr>
                <w:rFonts w:ascii="Calibri" w:eastAsia="Times New Roman" w:hAnsi="Calibri" w:cs="Calibri"/>
                <w:color w:val="000000"/>
                <w:lang w:eastAsia="en-US"/>
              </w:rPr>
            </w:pPr>
          </w:p>
        </w:tc>
      </w:tr>
      <w:tr w:rsidR="006B528A" w:rsidRPr="006B528A" w14:paraId="34E9E6E4" w14:textId="77777777" w:rsidTr="006B528A">
        <w:trPr>
          <w:trHeight w:val="300"/>
        </w:trPr>
        <w:tc>
          <w:tcPr>
            <w:tcW w:w="3520" w:type="dxa"/>
            <w:tcBorders>
              <w:top w:val="single" w:sz="4" w:space="0" w:color="auto"/>
              <w:left w:val="single" w:sz="4" w:space="0" w:color="auto"/>
              <w:bottom w:val="single" w:sz="4" w:space="0" w:color="auto"/>
              <w:right w:val="nil"/>
            </w:tcBorders>
            <w:shd w:val="clear" w:color="000000" w:fill="F2F2F2"/>
            <w:noWrap/>
            <w:vAlign w:val="center"/>
            <w:hideMark/>
          </w:tcPr>
          <w:p w14:paraId="5D9473D9" w14:textId="77777777" w:rsidR="006B528A" w:rsidRPr="006B528A" w:rsidRDefault="006B528A" w:rsidP="006B528A">
            <w:pPr>
              <w:rPr>
                <w:rFonts w:ascii="Calibri" w:eastAsia="Times New Roman" w:hAnsi="Calibri" w:cs="Calibri"/>
                <w:b/>
                <w:color w:val="000000"/>
                <w:lang w:eastAsia="en-US"/>
              </w:rPr>
            </w:pPr>
            <w:r w:rsidRPr="006B528A">
              <w:rPr>
                <w:rFonts w:ascii="Calibri" w:eastAsia="Times New Roman" w:hAnsi="Calibri" w:cs="Calibri"/>
                <w:b/>
                <w:color w:val="000000"/>
                <w:lang w:eastAsia="en-US"/>
              </w:rPr>
              <w:t>Gross Value at Exchange (AMD)</w:t>
            </w:r>
          </w:p>
        </w:tc>
        <w:tc>
          <w:tcPr>
            <w:tcW w:w="1898" w:type="dxa"/>
            <w:tcBorders>
              <w:top w:val="single" w:sz="4" w:space="0" w:color="auto"/>
              <w:left w:val="single" w:sz="4" w:space="0" w:color="auto"/>
              <w:bottom w:val="single" w:sz="4" w:space="0" w:color="auto"/>
              <w:right w:val="nil"/>
            </w:tcBorders>
            <w:shd w:val="clear" w:color="000000" w:fill="92D050"/>
            <w:noWrap/>
            <w:vAlign w:val="center"/>
            <w:hideMark/>
          </w:tcPr>
          <w:p w14:paraId="232D2A18" w14:textId="77777777" w:rsidR="006B528A" w:rsidRPr="006B528A" w:rsidRDefault="006B528A" w:rsidP="006B528A">
            <w:pPr>
              <w:jc w:val="right"/>
              <w:rPr>
                <w:rFonts w:ascii="Calibri" w:eastAsia="Times New Roman" w:hAnsi="Calibri" w:cs="Calibri"/>
                <w:b/>
                <w:bCs/>
                <w:color w:val="000000"/>
                <w:lang w:eastAsia="en-US"/>
              </w:rPr>
            </w:pPr>
            <w:r w:rsidRPr="006B528A">
              <w:rPr>
                <w:rFonts w:ascii="Calibri" w:eastAsia="Times New Roman" w:hAnsi="Calibri" w:cs="Calibri"/>
                <w:b/>
                <w:bCs/>
                <w:color w:val="000000"/>
                <w:lang w:eastAsia="en-US"/>
              </w:rPr>
              <w:t>40,369,764.82</w:t>
            </w:r>
          </w:p>
        </w:tc>
        <w:tc>
          <w:tcPr>
            <w:tcW w:w="1871" w:type="dxa"/>
            <w:tcBorders>
              <w:top w:val="single" w:sz="4" w:space="0" w:color="auto"/>
              <w:left w:val="single" w:sz="4" w:space="0" w:color="auto"/>
              <w:bottom w:val="single" w:sz="4" w:space="0" w:color="auto"/>
              <w:right w:val="nil"/>
            </w:tcBorders>
            <w:shd w:val="clear" w:color="000000" w:fill="92D050"/>
            <w:noWrap/>
            <w:vAlign w:val="center"/>
            <w:hideMark/>
          </w:tcPr>
          <w:p w14:paraId="16B4A187" w14:textId="77777777" w:rsidR="006B528A" w:rsidRPr="006B528A" w:rsidRDefault="006B528A" w:rsidP="006B528A">
            <w:pPr>
              <w:jc w:val="right"/>
              <w:rPr>
                <w:rFonts w:ascii="Calibri" w:eastAsia="Times New Roman" w:hAnsi="Calibri" w:cs="Calibri"/>
                <w:b/>
                <w:bCs/>
                <w:color w:val="000000"/>
                <w:lang w:eastAsia="en-US"/>
              </w:rPr>
            </w:pPr>
            <w:r w:rsidRPr="006B528A">
              <w:rPr>
                <w:rFonts w:ascii="Calibri" w:eastAsia="Times New Roman" w:hAnsi="Calibri" w:cs="Calibri"/>
                <w:b/>
                <w:bCs/>
                <w:color w:val="000000"/>
                <w:lang w:eastAsia="en-US"/>
              </w:rPr>
              <w:t>43,317,473.43</w:t>
            </w:r>
          </w:p>
        </w:tc>
        <w:tc>
          <w:tcPr>
            <w:tcW w:w="1871" w:type="dxa"/>
            <w:tcBorders>
              <w:top w:val="single" w:sz="4" w:space="0" w:color="auto"/>
              <w:left w:val="single" w:sz="4" w:space="0" w:color="auto"/>
              <w:bottom w:val="single" w:sz="4" w:space="0" w:color="auto"/>
              <w:right w:val="nil"/>
            </w:tcBorders>
            <w:shd w:val="clear" w:color="000000" w:fill="92D050"/>
            <w:noWrap/>
            <w:vAlign w:val="center"/>
            <w:hideMark/>
          </w:tcPr>
          <w:p w14:paraId="2AA58479" w14:textId="77777777" w:rsidR="006B528A" w:rsidRPr="006B528A" w:rsidRDefault="006B528A" w:rsidP="006B528A">
            <w:pPr>
              <w:jc w:val="right"/>
              <w:rPr>
                <w:rFonts w:ascii="Calibri" w:eastAsia="Times New Roman" w:hAnsi="Calibri" w:cs="Calibri"/>
                <w:b/>
                <w:bCs/>
                <w:color w:val="000000"/>
                <w:lang w:eastAsia="en-US"/>
              </w:rPr>
            </w:pPr>
            <w:r w:rsidRPr="006B528A">
              <w:rPr>
                <w:rFonts w:ascii="Calibri" w:eastAsia="Times New Roman" w:hAnsi="Calibri" w:cs="Calibri"/>
                <w:b/>
                <w:bCs/>
                <w:color w:val="000000"/>
                <w:lang w:eastAsia="en-US"/>
              </w:rPr>
              <w:t>35,250,233.55</w:t>
            </w:r>
          </w:p>
        </w:tc>
        <w:tc>
          <w:tcPr>
            <w:tcW w:w="1420" w:type="dxa"/>
            <w:tcBorders>
              <w:top w:val="single" w:sz="4" w:space="0" w:color="auto"/>
              <w:left w:val="nil"/>
              <w:bottom w:val="single" w:sz="4" w:space="0" w:color="auto"/>
              <w:right w:val="single" w:sz="4" w:space="0" w:color="auto"/>
            </w:tcBorders>
            <w:shd w:val="clear" w:color="auto" w:fill="92D050"/>
            <w:noWrap/>
            <w:vAlign w:val="bottom"/>
            <w:hideMark/>
          </w:tcPr>
          <w:p w14:paraId="2AD7D3ED" w14:textId="77777777" w:rsidR="006B528A" w:rsidRPr="006B528A" w:rsidRDefault="006B528A" w:rsidP="006B528A">
            <w:pPr>
              <w:jc w:val="right"/>
              <w:rPr>
                <w:rFonts w:ascii="Calibri" w:eastAsia="Times New Roman" w:hAnsi="Calibri" w:cs="Calibri"/>
                <w:b/>
                <w:color w:val="000000"/>
                <w:lang w:eastAsia="en-US"/>
              </w:rPr>
            </w:pPr>
            <w:r w:rsidRPr="006B528A">
              <w:rPr>
                <w:rFonts w:ascii="Calibri" w:eastAsia="Times New Roman" w:hAnsi="Calibri" w:cs="Calibri"/>
                <w:b/>
                <w:color w:val="000000"/>
                <w:lang w:eastAsia="en-US"/>
              </w:rPr>
              <w:t>118,937,472</w:t>
            </w:r>
          </w:p>
        </w:tc>
      </w:tr>
    </w:tbl>
    <w:p w14:paraId="2ACEB11B" w14:textId="77777777" w:rsidR="0082766E" w:rsidRPr="000621C7" w:rsidRDefault="0082766E" w:rsidP="00A44D61">
      <w:pPr>
        <w:rPr>
          <w:rFonts w:cs="Arial"/>
        </w:rPr>
      </w:pPr>
    </w:p>
    <w:sectPr w:rsidR="0082766E" w:rsidRPr="000621C7" w:rsidSect="001C41E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FA2FF" w14:textId="77777777" w:rsidR="00974F72" w:rsidRDefault="00974F72" w:rsidP="004861B4">
      <w:r>
        <w:separator/>
      </w:r>
    </w:p>
  </w:endnote>
  <w:endnote w:type="continuationSeparator" w:id="0">
    <w:p w14:paraId="7C2B4EBE" w14:textId="77777777" w:rsidR="00974F72" w:rsidRDefault="00974F72" w:rsidP="0048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FD68" w14:textId="77777777" w:rsidR="00E45687" w:rsidRDefault="00E45687" w:rsidP="004C0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61712" w14:textId="77777777" w:rsidR="00E45687" w:rsidRDefault="00E45687" w:rsidP="004C0C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50C2" w14:textId="77777777" w:rsidR="00E45687" w:rsidRDefault="00E45687" w:rsidP="004C0C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F70E5" w14:textId="77777777" w:rsidR="00974F72" w:rsidRDefault="00974F72" w:rsidP="004861B4">
      <w:r>
        <w:separator/>
      </w:r>
    </w:p>
  </w:footnote>
  <w:footnote w:type="continuationSeparator" w:id="0">
    <w:p w14:paraId="0C3B8F46" w14:textId="77777777" w:rsidR="00974F72" w:rsidRDefault="00974F72" w:rsidP="004861B4">
      <w:r>
        <w:continuationSeparator/>
      </w:r>
    </w:p>
  </w:footnote>
  <w:footnote w:id="1">
    <w:p w14:paraId="631CCD09" w14:textId="77777777" w:rsidR="00E45687" w:rsidRPr="00EF5F39" w:rsidRDefault="00E45687" w:rsidP="00B373FE">
      <w:pPr>
        <w:autoSpaceDE w:val="0"/>
        <w:autoSpaceDN w:val="0"/>
        <w:adjustRightInd w:val="0"/>
        <w:jc w:val="both"/>
        <w:rPr>
          <w:rFonts w:cstheme="minorHAnsi"/>
          <w:sz w:val="20"/>
          <w:szCs w:val="20"/>
        </w:rPr>
      </w:pPr>
      <w:r w:rsidRPr="00EF5F39">
        <w:rPr>
          <w:rStyle w:val="FootnoteReference"/>
          <w:rFonts w:cstheme="minorHAnsi"/>
          <w:sz w:val="20"/>
          <w:szCs w:val="20"/>
        </w:rPr>
        <w:footnoteRef/>
      </w:r>
      <w:r w:rsidRPr="00EF5F39">
        <w:rPr>
          <w:rFonts w:cstheme="minorHAnsi"/>
          <w:sz w:val="20"/>
          <w:szCs w:val="20"/>
        </w:rPr>
        <w:t xml:space="preserve"> </w:t>
      </w:r>
      <w:r>
        <w:rPr>
          <w:rFonts w:cstheme="minorHAnsi"/>
          <w:sz w:val="20"/>
          <w:szCs w:val="20"/>
        </w:rPr>
        <w:t>T</w:t>
      </w:r>
      <w:r w:rsidRPr="00EF5F39">
        <w:rPr>
          <w:rFonts w:cstheme="minorHAnsi"/>
          <w:sz w:val="20"/>
          <w:szCs w:val="20"/>
        </w:rPr>
        <w:t xml:space="preserve">his is a derived benefit of such transactions and should not be viewed as the main objective of switch operations. There is a debate as to what extent the DMO should make attempts to correct pricing anomalies or </w:t>
      </w:r>
      <w:r>
        <w:rPr>
          <w:rFonts w:cstheme="minorHAnsi"/>
          <w:sz w:val="20"/>
          <w:szCs w:val="20"/>
        </w:rPr>
        <w:t xml:space="preserve">whether </w:t>
      </w:r>
      <w:r w:rsidRPr="00EF5F39">
        <w:rPr>
          <w:rFonts w:cstheme="minorHAnsi"/>
          <w:sz w:val="20"/>
          <w:szCs w:val="20"/>
        </w:rPr>
        <w:t>it is better to leave them to private market participants.</w:t>
      </w:r>
    </w:p>
    <w:p w14:paraId="62F2BE3D" w14:textId="6042DA00" w:rsidR="00E45687" w:rsidRDefault="00E45687" w:rsidP="00B373FE">
      <w:pPr>
        <w:pStyle w:val="FootnoteText"/>
        <w:rPr>
          <w:lang w:val="en-GB"/>
        </w:rPr>
      </w:pPr>
    </w:p>
    <w:p w14:paraId="7FB208D7" w14:textId="77777777" w:rsidR="00E45687" w:rsidRPr="00EF5F39" w:rsidRDefault="00E45687" w:rsidP="00B373FE">
      <w:pPr>
        <w:pStyle w:val="FootnoteText"/>
        <w:rPr>
          <w:lang w:val="en-GB"/>
        </w:rPr>
      </w:pPr>
    </w:p>
  </w:footnote>
  <w:footnote w:id="2">
    <w:p w14:paraId="1579208D" w14:textId="77777777" w:rsidR="00E45687" w:rsidRPr="00681C53" w:rsidRDefault="00E45687" w:rsidP="00B373FE">
      <w:pPr>
        <w:autoSpaceDE w:val="0"/>
        <w:autoSpaceDN w:val="0"/>
        <w:adjustRightInd w:val="0"/>
        <w:jc w:val="both"/>
        <w:rPr>
          <w:lang w:val="en-GB"/>
        </w:rPr>
      </w:pPr>
      <w:r w:rsidRPr="00681C53">
        <w:rPr>
          <w:rStyle w:val="FootnoteReference"/>
          <w:rFonts w:cstheme="minorHAnsi"/>
          <w:sz w:val="20"/>
          <w:szCs w:val="20"/>
        </w:rPr>
        <w:footnoteRef/>
      </w:r>
      <w:r w:rsidRPr="00681C53">
        <w:rPr>
          <w:rFonts w:cstheme="minorHAnsi"/>
          <w:sz w:val="20"/>
          <w:szCs w:val="20"/>
        </w:rPr>
        <w:t xml:space="preserve"> </w:t>
      </w:r>
      <w:r w:rsidRPr="00681C53">
        <w:rPr>
          <w:rFonts w:cstheme="minorHAnsi"/>
          <w:sz w:val="20"/>
          <w:szCs w:val="20"/>
          <w:lang w:val="en-GB"/>
        </w:rPr>
        <w:t xml:space="preserve">Switches based on fixed prices </w:t>
      </w:r>
      <w:r>
        <w:rPr>
          <w:rFonts w:cstheme="minorHAnsi"/>
          <w:sz w:val="20"/>
          <w:szCs w:val="20"/>
          <w:lang w:val="en-GB"/>
        </w:rPr>
        <w:t xml:space="preserve">(or </w:t>
      </w:r>
      <w:r w:rsidRPr="00681C53">
        <w:rPr>
          <w:rFonts w:cstheme="minorHAnsi"/>
          <w:sz w:val="20"/>
          <w:szCs w:val="20"/>
        </w:rPr>
        <w:t xml:space="preserve">fixed exchange </w:t>
      </w:r>
      <w:r>
        <w:rPr>
          <w:rFonts w:cstheme="minorHAnsi"/>
          <w:sz w:val="20"/>
          <w:szCs w:val="20"/>
        </w:rPr>
        <w:t xml:space="preserve">ratio) </w:t>
      </w:r>
      <w:r w:rsidRPr="00681C53">
        <w:rPr>
          <w:rFonts w:cstheme="minorHAnsi"/>
          <w:sz w:val="20"/>
          <w:szCs w:val="20"/>
        </w:rPr>
        <w:t>is preferred when the outstanding amount of the source</w:t>
      </w:r>
      <w:r>
        <w:rPr>
          <w:rFonts w:cstheme="minorHAnsi"/>
          <w:sz w:val="20"/>
          <w:szCs w:val="20"/>
        </w:rPr>
        <w:t xml:space="preserve"> bonds </w:t>
      </w:r>
      <w:r w:rsidRPr="00681C53">
        <w:rPr>
          <w:rFonts w:cstheme="minorHAnsi"/>
          <w:sz w:val="20"/>
          <w:szCs w:val="20"/>
        </w:rPr>
        <w:t>to be bought back</w:t>
      </w:r>
      <w:r>
        <w:rPr>
          <w:rFonts w:cstheme="minorHAnsi"/>
          <w:sz w:val="20"/>
          <w:szCs w:val="20"/>
        </w:rPr>
        <w:t xml:space="preserve"> </w:t>
      </w:r>
      <w:r w:rsidRPr="00681C53">
        <w:rPr>
          <w:rFonts w:cstheme="minorHAnsi"/>
          <w:sz w:val="20"/>
          <w:szCs w:val="20"/>
        </w:rPr>
        <w:t>is rather low and it is concentrated in the</w:t>
      </w:r>
      <w:r>
        <w:rPr>
          <w:rFonts w:cstheme="minorHAnsi"/>
          <w:sz w:val="20"/>
          <w:szCs w:val="20"/>
        </w:rPr>
        <w:t xml:space="preserve"> </w:t>
      </w:r>
      <w:r w:rsidRPr="00681C53">
        <w:rPr>
          <w:rFonts w:cstheme="minorHAnsi"/>
          <w:sz w:val="20"/>
          <w:szCs w:val="20"/>
        </w:rPr>
        <w:t xml:space="preserve">hands of only a couple of investors. In this case </w:t>
      </w:r>
      <w:r>
        <w:rPr>
          <w:rFonts w:cstheme="minorHAnsi"/>
          <w:sz w:val="20"/>
          <w:szCs w:val="20"/>
        </w:rPr>
        <w:t xml:space="preserve">it is </w:t>
      </w:r>
      <w:r w:rsidRPr="00681C53">
        <w:rPr>
          <w:rFonts w:cstheme="minorHAnsi"/>
          <w:sz w:val="20"/>
          <w:szCs w:val="20"/>
        </w:rPr>
        <w:t>not worth</w:t>
      </w:r>
      <w:r>
        <w:rPr>
          <w:rFonts w:cstheme="minorHAnsi"/>
          <w:sz w:val="20"/>
          <w:szCs w:val="20"/>
        </w:rPr>
        <w:t>while</w:t>
      </w:r>
      <w:r w:rsidRPr="00681C53">
        <w:rPr>
          <w:rFonts w:cstheme="minorHAnsi"/>
          <w:sz w:val="20"/>
          <w:szCs w:val="20"/>
        </w:rPr>
        <w:t xml:space="preserve"> to launch a </w:t>
      </w:r>
      <w:r>
        <w:rPr>
          <w:rFonts w:cstheme="minorHAnsi"/>
          <w:sz w:val="20"/>
          <w:szCs w:val="20"/>
        </w:rPr>
        <w:t xml:space="preserve">switch </w:t>
      </w:r>
      <w:r w:rsidRPr="00681C53">
        <w:rPr>
          <w:rFonts w:cstheme="minorHAnsi"/>
          <w:sz w:val="20"/>
          <w:szCs w:val="20"/>
        </w:rPr>
        <w:t>exchange</w:t>
      </w:r>
      <w:r>
        <w:rPr>
          <w:rFonts w:cstheme="minorHAnsi"/>
          <w:sz w:val="20"/>
          <w:szCs w:val="20"/>
        </w:rPr>
        <w:t xml:space="preserve"> </w:t>
      </w:r>
      <w:r w:rsidRPr="00681C53">
        <w:rPr>
          <w:rFonts w:cstheme="minorHAnsi"/>
          <w:sz w:val="20"/>
          <w:szCs w:val="20"/>
        </w:rPr>
        <w:t xml:space="preserve">auction because </w:t>
      </w:r>
      <w:r>
        <w:rPr>
          <w:rFonts w:cstheme="minorHAnsi"/>
          <w:sz w:val="20"/>
          <w:szCs w:val="20"/>
        </w:rPr>
        <w:t xml:space="preserve">of </w:t>
      </w:r>
      <w:r w:rsidRPr="00681C53">
        <w:rPr>
          <w:rFonts w:cstheme="minorHAnsi"/>
          <w:sz w:val="20"/>
          <w:szCs w:val="20"/>
        </w:rPr>
        <w:t>the lack of the competition.</w:t>
      </w:r>
    </w:p>
  </w:footnote>
  <w:footnote w:id="3">
    <w:p w14:paraId="62E27466" w14:textId="77777777" w:rsidR="00E45687" w:rsidRPr="00F44321" w:rsidRDefault="00E45687" w:rsidP="00B373FE">
      <w:pPr>
        <w:autoSpaceDE w:val="0"/>
        <w:autoSpaceDN w:val="0"/>
        <w:adjustRightInd w:val="0"/>
        <w:jc w:val="both"/>
        <w:rPr>
          <w:rFonts w:cstheme="minorHAnsi"/>
          <w:sz w:val="20"/>
          <w:szCs w:val="20"/>
        </w:rPr>
      </w:pPr>
      <w:r>
        <w:rPr>
          <w:rStyle w:val="FootnoteReference"/>
        </w:rPr>
        <w:footnoteRef/>
      </w:r>
      <w:r>
        <w:t xml:space="preserve"> </w:t>
      </w:r>
      <w:r w:rsidRPr="00F44321">
        <w:rPr>
          <w:rFonts w:cstheme="minorHAnsi"/>
          <w:sz w:val="20"/>
          <w:szCs w:val="20"/>
        </w:rPr>
        <w:t>This is often referred to as ‘coincidence of needs’ problem associated with a switch auction whereby to participate in a specific bond exchange operation, existing investors would need to have an interest to trade in the given direction in exactly those exchange bonds on offer.</w:t>
      </w:r>
    </w:p>
    <w:p w14:paraId="24984938" w14:textId="77777777" w:rsidR="00E45687" w:rsidRPr="00F44321" w:rsidRDefault="00E45687" w:rsidP="00B373FE">
      <w:pPr>
        <w:pStyle w:val="FootnoteText"/>
        <w:rPr>
          <w:lang w:val="en-GB"/>
        </w:rPr>
      </w:pPr>
    </w:p>
  </w:footnote>
  <w:footnote w:id="4">
    <w:p w14:paraId="013DACDC" w14:textId="77777777" w:rsidR="00E45687" w:rsidRPr="00EF5F39" w:rsidRDefault="00E45687" w:rsidP="00B373FE">
      <w:pPr>
        <w:autoSpaceDE w:val="0"/>
        <w:autoSpaceDN w:val="0"/>
        <w:adjustRightInd w:val="0"/>
        <w:jc w:val="both"/>
        <w:rPr>
          <w:rFonts w:cstheme="minorHAnsi"/>
          <w:sz w:val="20"/>
          <w:szCs w:val="20"/>
        </w:rPr>
      </w:pPr>
      <w:r>
        <w:rPr>
          <w:rStyle w:val="FootnoteReference"/>
        </w:rPr>
        <w:footnoteRef/>
      </w:r>
      <w:r>
        <w:t xml:space="preserve"> </w:t>
      </w:r>
      <w:r w:rsidRPr="00EF5F39">
        <w:rPr>
          <w:rFonts w:cstheme="minorHAnsi"/>
          <w:sz w:val="20"/>
          <w:szCs w:val="20"/>
        </w:rPr>
        <w:t xml:space="preserve">This relative advantage </w:t>
      </w:r>
      <w:r>
        <w:rPr>
          <w:rFonts w:cstheme="minorHAnsi"/>
          <w:sz w:val="20"/>
          <w:szCs w:val="20"/>
        </w:rPr>
        <w:t xml:space="preserve">over buybacks </w:t>
      </w:r>
      <w:r w:rsidRPr="00EF5F39">
        <w:rPr>
          <w:rFonts w:cstheme="minorHAnsi"/>
          <w:sz w:val="20"/>
          <w:szCs w:val="20"/>
        </w:rPr>
        <w:t>is likely to be more pronounced in periods of market turmoil, where high interest-rate volatility, wide bid-ask spreads and reduced market depth would tend to make portfolio rebalancing via the secondary market more risky.</w:t>
      </w:r>
    </w:p>
    <w:p w14:paraId="361D1A49" w14:textId="77777777" w:rsidR="00E45687" w:rsidRPr="00EF5F39" w:rsidRDefault="00E45687" w:rsidP="00B373FE">
      <w:pPr>
        <w:pStyle w:val="FootnoteText"/>
        <w:rPr>
          <w:lang w:val="en-GB"/>
        </w:rPr>
      </w:pPr>
    </w:p>
  </w:footnote>
  <w:footnote w:id="5">
    <w:p w14:paraId="15863C5D" w14:textId="77777777" w:rsidR="00E45687" w:rsidRPr="004C4D04" w:rsidRDefault="00E45687" w:rsidP="00B373FE">
      <w:pPr>
        <w:pStyle w:val="NoSpacing"/>
        <w:jc w:val="both"/>
        <w:rPr>
          <w:sz w:val="20"/>
          <w:szCs w:val="20"/>
        </w:rPr>
      </w:pPr>
      <w:r w:rsidRPr="004C4D04">
        <w:rPr>
          <w:rStyle w:val="FootnoteReference"/>
          <w:sz w:val="20"/>
          <w:szCs w:val="20"/>
        </w:rPr>
        <w:footnoteRef/>
      </w:r>
      <w:r w:rsidRPr="004C4D04">
        <w:rPr>
          <w:sz w:val="20"/>
          <w:szCs w:val="20"/>
        </w:rPr>
        <w:t xml:space="preserve"> In case of duration neutral switches, the nominal amount of the destination bond will typically be rounded to the nearest amount in line with the standard lot of bonds in the secondary market. Due to the rounding practice, effective duration approximation may not be precisely matched. The DMO may choose not to round the destination bond in order to match duration more precisely.</w:t>
      </w:r>
    </w:p>
    <w:p w14:paraId="59C6728E" w14:textId="77777777" w:rsidR="00E45687" w:rsidRPr="004C4D04" w:rsidRDefault="00E45687" w:rsidP="00B373FE">
      <w:pPr>
        <w:pStyle w:val="FootnoteText"/>
        <w:rPr>
          <w:lang w:val="en-GB"/>
        </w:rPr>
      </w:pPr>
    </w:p>
  </w:footnote>
  <w:footnote w:id="6">
    <w:p w14:paraId="2D25A953" w14:textId="77777777" w:rsidR="00E45687" w:rsidRPr="00434B24" w:rsidRDefault="00E45687" w:rsidP="00B373FE">
      <w:pPr>
        <w:autoSpaceDE w:val="0"/>
        <w:autoSpaceDN w:val="0"/>
        <w:adjustRightInd w:val="0"/>
        <w:jc w:val="both"/>
        <w:rPr>
          <w:rFonts w:cstheme="minorHAnsi"/>
          <w:sz w:val="20"/>
          <w:szCs w:val="20"/>
        </w:rPr>
      </w:pPr>
      <w:r w:rsidRPr="00434B24">
        <w:rPr>
          <w:rStyle w:val="FootnoteReference"/>
          <w:sz w:val="20"/>
          <w:szCs w:val="20"/>
        </w:rPr>
        <w:footnoteRef/>
      </w:r>
      <w:r w:rsidRPr="00434B24">
        <w:rPr>
          <w:sz w:val="20"/>
          <w:szCs w:val="20"/>
        </w:rPr>
        <w:t xml:space="preserve"> </w:t>
      </w:r>
      <w:r w:rsidRPr="00434B24">
        <w:rPr>
          <w:rFonts w:cstheme="minorHAnsi"/>
          <w:sz w:val="20"/>
          <w:szCs w:val="20"/>
        </w:rPr>
        <w:t>The advantage for the issuer of an auction over a fixed-price exchange is that the auction</w:t>
      </w:r>
      <w:r>
        <w:rPr>
          <w:rFonts w:cstheme="minorHAnsi"/>
          <w:sz w:val="20"/>
          <w:szCs w:val="20"/>
        </w:rPr>
        <w:t xml:space="preserve"> </w:t>
      </w:r>
      <w:r w:rsidRPr="00434B24">
        <w:rPr>
          <w:rFonts w:cstheme="minorHAnsi"/>
          <w:sz w:val="20"/>
          <w:szCs w:val="20"/>
        </w:rPr>
        <w:t>creates no market risk; the risk is borne by the bidders. The size of the transaction can also</w:t>
      </w:r>
      <w:r>
        <w:rPr>
          <w:rFonts w:cstheme="minorHAnsi"/>
          <w:sz w:val="20"/>
          <w:szCs w:val="20"/>
        </w:rPr>
        <w:t xml:space="preserve"> </w:t>
      </w:r>
      <w:r w:rsidRPr="00434B24">
        <w:rPr>
          <w:rFonts w:cstheme="minorHAnsi"/>
          <w:sz w:val="20"/>
          <w:szCs w:val="20"/>
        </w:rPr>
        <w:t>be larger than in a fixed price</w:t>
      </w:r>
      <w:r>
        <w:rPr>
          <w:rFonts w:cstheme="minorHAnsi"/>
          <w:sz w:val="20"/>
          <w:szCs w:val="20"/>
        </w:rPr>
        <w:t xml:space="preserve"> </w:t>
      </w:r>
      <w:r w:rsidRPr="00434B24">
        <w:rPr>
          <w:rFonts w:cstheme="minorHAnsi"/>
          <w:sz w:val="20"/>
          <w:szCs w:val="20"/>
        </w:rPr>
        <w:t>exchange because the issuer can adjust the price to the level</w:t>
      </w:r>
      <w:r>
        <w:rPr>
          <w:rFonts w:cstheme="minorHAnsi"/>
          <w:sz w:val="20"/>
          <w:szCs w:val="20"/>
        </w:rPr>
        <w:t xml:space="preserve"> </w:t>
      </w:r>
      <w:r w:rsidRPr="00434B24">
        <w:rPr>
          <w:rFonts w:cstheme="minorHAnsi"/>
          <w:sz w:val="20"/>
          <w:szCs w:val="20"/>
        </w:rPr>
        <w:t>asked by the market.</w:t>
      </w:r>
    </w:p>
    <w:p w14:paraId="18DD92AC" w14:textId="77777777" w:rsidR="00E45687" w:rsidRPr="00434B24" w:rsidRDefault="00E45687" w:rsidP="00B373FE">
      <w:pPr>
        <w:pStyle w:val="FootnoteText"/>
        <w:rPr>
          <w:lang w:val="en-GB"/>
        </w:rPr>
      </w:pPr>
    </w:p>
  </w:footnote>
  <w:footnote w:id="7">
    <w:p w14:paraId="075088D6" w14:textId="77777777" w:rsidR="00E45687" w:rsidRPr="00197022" w:rsidRDefault="00E45687" w:rsidP="00B373FE">
      <w:pPr>
        <w:autoSpaceDE w:val="0"/>
        <w:autoSpaceDN w:val="0"/>
        <w:adjustRightInd w:val="0"/>
        <w:jc w:val="both"/>
        <w:rPr>
          <w:lang w:val="en-GB"/>
        </w:rPr>
      </w:pPr>
      <w:r w:rsidRPr="00197022">
        <w:rPr>
          <w:rStyle w:val="FootnoteReference"/>
          <w:rFonts w:cstheme="minorHAnsi"/>
          <w:sz w:val="20"/>
          <w:szCs w:val="20"/>
        </w:rPr>
        <w:footnoteRef/>
      </w:r>
      <w:r w:rsidRPr="00197022">
        <w:rPr>
          <w:rFonts w:cstheme="minorHAnsi"/>
          <w:sz w:val="20"/>
          <w:szCs w:val="20"/>
        </w:rPr>
        <w:t xml:space="preserve"> For example, in Denmark, all entities authorized to trade</w:t>
      </w:r>
      <w:r>
        <w:rPr>
          <w:rFonts w:cstheme="minorHAnsi"/>
          <w:sz w:val="20"/>
          <w:szCs w:val="20"/>
        </w:rPr>
        <w:t xml:space="preserve"> </w:t>
      </w:r>
      <w:r w:rsidRPr="00197022">
        <w:rPr>
          <w:rFonts w:cstheme="minorHAnsi"/>
          <w:sz w:val="20"/>
          <w:szCs w:val="20"/>
        </w:rPr>
        <w:t>on the Copenhagen Exchange are eligible to participate. In Spain, all market members can</w:t>
      </w:r>
      <w:r>
        <w:rPr>
          <w:rFonts w:cstheme="minorHAnsi"/>
          <w:sz w:val="20"/>
          <w:szCs w:val="20"/>
        </w:rPr>
        <w:t xml:space="preserve"> </w:t>
      </w:r>
      <w:r w:rsidRPr="00197022">
        <w:rPr>
          <w:rFonts w:cstheme="minorHAnsi"/>
          <w:sz w:val="20"/>
          <w:szCs w:val="20"/>
        </w:rPr>
        <w:t>participate, although some extra time to bid is given to PDs.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88D8" w14:textId="77777777" w:rsidR="00E45687" w:rsidRDefault="00974F72">
    <w:pPr>
      <w:pStyle w:val="Header"/>
    </w:pPr>
    <w:sdt>
      <w:sdtPr>
        <w:id w:val="746378512"/>
        <w:placeholder>
          <w:docPart w:val="CD5EE26D1EBACC44B95F32A7D2CFD290"/>
        </w:placeholder>
        <w:temporary/>
        <w:showingPlcHdr/>
      </w:sdtPr>
      <w:sdtEndPr/>
      <w:sdtContent>
        <w:r w:rsidR="00E45687">
          <w:t>[Type text]</w:t>
        </w:r>
      </w:sdtContent>
    </w:sdt>
    <w:r w:rsidR="00E45687">
      <w:ptab w:relativeTo="margin" w:alignment="center" w:leader="none"/>
    </w:r>
    <w:sdt>
      <w:sdtPr>
        <w:id w:val="1019895488"/>
        <w:placeholder>
          <w:docPart w:val="A38F1BD93F30A24B9099E78FBDD6E6E6"/>
        </w:placeholder>
        <w:temporary/>
        <w:showingPlcHdr/>
      </w:sdtPr>
      <w:sdtEndPr/>
      <w:sdtContent>
        <w:r w:rsidR="00E45687">
          <w:t>[Type text]</w:t>
        </w:r>
      </w:sdtContent>
    </w:sdt>
    <w:r w:rsidR="00E45687">
      <w:ptab w:relativeTo="margin" w:alignment="right" w:leader="none"/>
    </w:r>
    <w:sdt>
      <w:sdtPr>
        <w:id w:val="1342439667"/>
        <w:placeholder>
          <w:docPart w:val="9ABCFA5F3895C240990767A0E816E62C"/>
        </w:placeholder>
        <w:temporary/>
        <w:showingPlcHdr/>
      </w:sdtPr>
      <w:sdtEndPr/>
      <w:sdtContent>
        <w:r w:rsidR="00E45687">
          <w:t>[Type text]</w:t>
        </w:r>
      </w:sdtContent>
    </w:sdt>
  </w:p>
  <w:p w14:paraId="4FF005E0" w14:textId="77777777" w:rsidR="00E45687" w:rsidRDefault="00E45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350"/>
    </w:tblGrid>
    <w:sdt>
      <w:sdtPr>
        <w:rPr>
          <w:color w:val="7F7F7F" w:themeColor="background1" w:themeShade="7F"/>
          <w:spacing w:val="60"/>
        </w:rPr>
        <w:id w:val="-319804995"/>
        <w:docPartObj>
          <w:docPartGallery w:val="Page Numbers (Top of Page)"/>
          <w:docPartUnique/>
        </w:docPartObj>
      </w:sdtPr>
      <w:sdtEndPr>
        <w:rPr>
          <w:b/>
          <w:bCs/>
          <w:noProof/>
          <w:color w:val="auto"/>
          <w:spacing w:val="0"/>
        </w:rPr>
      </w:sdtEndPr>
      <w:sdtContent>
        <w:tr w:rsidR="00E45687" w:rsidRPr="002475F3" w14:paraId="0BE951B9" w14:textId="77777777" w:rsidTr="0082080F">
          <w:tc>
            <w:tcPr>
              <w:tcW w:w="8028" w:type="dxa"/>
            </w:tcPr>
            <w:sdt>
              <w:sdtPr>
                <w:rPr>
                  <w:color w:val="7F7F7F" w:themeColor="background1" w:themeShade="7F"/>
                  <w:spacing w:val="60"/>
                </w:rPr>
                <w:id w:val="-541291247"/>
                <w:docPartObj>
                  <w:docPartGallery w:val="Page Numbers (Top of Page)"/>
                  <w:docPartUnique/>
                </w:docPartObj>
              </w:sdtPr>
              <w:sdtEndPr>
                <w:rPr>
                  <w:b/>
                  <w:bCs/>
                  <w:noProof/>
                  <w:color w:val="auto"/>
                  <w:spacing w:val="0"/>
                </w:rPr>
              </w:sdtEndPr>
              <w:sdtContent>
                <w:p w14:paraId="185368B0" w14:textId="7466BFED" w:rsidR="00E45687" w:rsidRPr="001C41EB" w:rsidRDefault="00E45687" w:rsidP="001C41EB">
                  <w:pPr>
                    <w:pStyle w:val="Header"/>
                    <w:tabs>
                      <w:tab w:val="left" w:pos="0"/>
                    </w:tabs>
                    <w:rPr>
                      <w:b/>
                      <w:bCs/>
                      <w:noProof/>
                    </w:rPr>
                  </w:pPr>
                  <w:r>
                    <w:rPr>
                      <w:rFonts w:cs="Arial"/>
                      <w:b/>
                      <w:sz w:val="18"/>
                      <w:szCs w:val="18"/>
                    </w:rPr>
                    <w:t>Draft Report - TA-9332 ARM: Framework for Switch Auction in Armenia</w:t>
                  </w:r>
                  <w:r w:rsidRPr="00BB7E11">
                    <w:rPr>
                      <w:b/>
                      <w:sz w:val="18"/>
                      <w:szCs w:val="18"/>
                    </w:rPr>
                    <w:t xml:space="preserve"> </w:t>
                  </w:r>
                  <w:r w:rsidRPr="00BB7E11">
                    <w:rPr>
                      <w:b/>
                      <w:sz w:val="18"/>
                      <w:szCs w:val="18"/>
                    </w:rPr>
                    <w:ptab w:relativeTo="margin" w:alignment="center" w:leader="none"/>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350" w:type="dxa"/>
            </w:tcPr>
            <w:p w14:paraId="52E3E587" w14:textId="1900C251" w:rsidR="00E45687" w:rsidRPr="002475F3" w:rsidRDefault="00E45687" w:rsidP="004E0425">
              <w:pPr>
                <w:pStyle w:val="Header"/>
                <w:tabs>
                  <w:tab w:val="clear" w:pos="4320"/>
                  <w:tab w:val="clear" w:pos="8640"/>
                </w:tabs>
                <w:jc w:val="both"/>
                <w:rPr>
                  <w:b/>
                  <w:bCs/>
                </w:rPr>
              </w:pPr>
              <w:r w:rsidRPr="002475F3">
                <w:rPr>
                  <w:color w:val="7F7F7F" w:themeColor="background1" w:themeShade="7F"/>
                  <w:spacing w:val="60"/>
                </w:rPr>
                <w:t>Page</w:t>
              </w:r>
              <w:r w:rsidRPr="002475F3">
                <w:fldChar w:fldCharType="begin"/>
              </w:r>
              <w:r w:rsidRPr="002475F3">
                <w:instrText xml:space="preserve"> PAGE   \* MERGEFORMAT </w:instrText>
              </w:r>
              <w:r w:rsidRPr="002475F3">
                <w:fldChar w:fldCharType="separate"/>
              </w:r>
              <w:r w:rsidR="003B216C" w:rsidRPr="003B216C">
                <w:rPr>
                  <w:b/>
                  <w:bCs/>
                  <w:noProof/>
                </w:rPr>
                <w:t>24</w:t>
              </w:r>
              <w:r w:rsidRPr="002475F3">
                <w:rPr>
                  <w:b/>
                  <w:bCs/>
                  <w:noProof/>
                </w:rPr>
                <w:fldChar w:fldCharType="end"/>
              </w:r>
            </w:p>
          </w:tc>
        </w:tr>
      </w:sdtContent>
    </w:sdt>
  </w:tbl>
  <w:p w14:paraId="7EC98C6D" w14:textId="414481A3" w:rsidR="00E45687" w:rsidRPr="008E1ACA" w:rsidRDefault="00E45687" w:rsidP="00BB7E11">
    <w:pPr>
      <w:pStyle w:val="Header"/>
      <w:tabs>
        <w:tab w:val="left" w:pos="0"/>
      </w:tabs>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71"/>
    </w:tblGrid>
    <w:sdt>
      <w:sdtPr>
        <w:rPr>
          <w:color w:val="7F7F7F" w:themeColor="background1" w:themeShade="7F"/>
          <w:spacing w:val="60"/>
        </w:rPr>
        <w:id w:val="1843963411"/>
        <w:docPartObj>
          <w:docPartGallery w:val="Page Numbers (Top of Page)"/>
          <w:docPartUnique/>
        </w:docPartObj>
      </w:sdtPr>
      <w:sdtEndPr>
        <w:rPr>
          <w:b/>
          <w:bCs/>
          <w:noProof/>
          <w:color w:val="auto"/>
          <w:spacing w:val="0"/>
        </w:rPr>
      </w:sdtEndPr>
      <w:sdtContent>
        <w:tr w:rsidR="00E45687" w:rsidRPr="002475F3" w14:paraId="5259FB58" w14:textId="77777777" w:rsidTr="001C41EB">
          <w:trPr>
            <w:trHeight w:val="180"/>
          </w:trPr>
          <w:tc>
            <w:tcPr>
              <w:tcW w:w="8208" w:type="dxa"/>
            </w:tcPr>
            <w:sdt>
              <w:sdtPr>
                <w:rPr>
                  <w:b/>
                  <w:spacing w:val="60"/>
                  <w:sz w:val="18"/>
                  <w:szCs w:val="18"/>
                </w:rPr>
                <w:id w:val="2049102196"/>
                <w:docPartObj>
                  <w:docPartGallery w:val="Page Numbers (Top of Page)"/>
                  <w:docPartUnique/>
                </w:docPartObj>
              </w:sdtPr>
              <w:sdtEndPr>
                <w:rPr>
                  <w:bCs/>
                  <w:noProof/>
                  <w:spacing w:val="0"/>
                  <w:sz w:val="22"/>
                  <w:szCs w:val="22"/>
                </w:rPr>
              </w:sdtEndPr>
              <w:sdtContent>
                <w:p w14:paraId="64A583B3" w14:textId="1A5AD323" w:rsidR="00E45687" w:rsidRPr="00931EDE" w:rsidRDefault="00E45687" w:rsidP="00745A5E">
                  <w:pPr>
                    <w:pStyle w:val="Header"/>
                    <w:tabs>
                      <w:tab w:val="left" w:pos="0"/>
                    </w:tabs>
                    <w:rPr>
                      <w:rFonts w:cs="Arial"/>
                      <w:b/>
                      <w:sz w:val="18"/>
                      <w:szCs w:val="18"/>
                    </w:rPr>
                  </w:pPr>
                  <w:r>
                    <w:rPr>
                      <w:rFonts w:cs="Arial"/>
                      <w:b/>
                      <w:sz w:val="18"/>
                      <w:szCs w:val="18"/>
                    </w:rPr>
                    <w:t>Draft Report - TA-9332 ARM: Framework for Switch Auction in Armenia</w:t>
                  </w:r>
                  <w:r w:rsidRPr="00BB7E11">
                    <w:rPr>
                      <w:b/>
                      <w:sz w:val="18"/>
                      <w:szCs w:val="18"/>
                    </w:rPr>
                    <w:ptab w:relativeTo="margin" w:alignment="center" w:leader="none"/>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171" w:type="dxa"/>
            </w:tcPr>
            <w:p w14:paraId="3CBA4E48" w14:textId="5C47ACBC" w:rsidR="00E45687" w:rsidRPr="002475F3" w:rsidRDefault="00E45687" w:rsidP="004A7E4E">
              <w:pPr>
                <w:pStyle w:val="Header"/>
                <w:tabs>
                  <w:tab w:val="clear" w:pos="4320"/>
                  <w:tab w:val="clear" w:pos="8640"/>
                </w:tabs>
                <w:jc w:val="both"/>
                <w:rPr>
                  <w:b/>
                  <w:bCs/>
                </w:rPr>
              </w:pPr>
              <w:r w:rsidRPr="002475F3">
                <w:rPr>
                  <w:color w:val="7F7F7F" w:themeColor="background1" w:themeShade="7F"/>
                  <w:spacing w:val="60"/>
                </w:rPr>
                <w:t>Page</w:t>
              </w:r>
              <w:r w:rsidRPr="002475F3">
                <w:t xml:space="preserve"> </w:t>
              </w:r>
              <w:r w:rsidRPr="002475F3">
                <w:rPr>
                  <w:b/>
                  <w:bCs/>
                  <w:noProof/>
                </w:rPr>
                <w:t>i</w:t>
              </w:r>
            </w:p>
          </w:tc>
        </w:tr>
      </w:sdtContent>
    </w:sdt>
  </w:tbl>
  <w:p w14:paraId="3A491A77" w14:textId="77777777" w:rsidR="00E45687" w:rsidRDefault="00E45687" w:rsidP="00247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087F2E"/>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7FE44AA"/>
    <w:multiLevelType w:val="hybridMultilevel"/>
    <w:tmpl w:val="CA9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7CD0"/>
    <w:multiLevelType w:val="hybridMultilevel"/>
    <w:tmpl w:val="24FA12DC"/>
    <w:lvl w:ilvl="0" w:tplc="F06290EA">
      <w:start w:val="1"/>
      <w:numFmt w:val="bullet"/>
      <w:pStyle w:val="Bullet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954837"/>
    <w:multiLevelType w:val="hybridMultilevel"/>
    <w:tmpl w:val="80408904"/>
    <w:lvl w:ilvl="0" w:tplc="19845C6A">
      <w:start w:val="1"/>
      <w:numFmt w:val="bullet"/>
      <w:lvlText w:val="–"/>
      <w:lvlJc w:val="left"/>
      <w:pPr>
        <w:ind w:left="720" w:hanging="360"/>
      </w:pPr>
      <w:rPr>
        <w:rFonts w:ascii="Arial" w:hAnsi="Arial" w:cs="Arial" w:hint="default"/>
        <w:b/>
        <w:bCs/>
        <w:color w:val="auto"/>
        <w:sz w:val="24"/>
        <w:szCs w:val="24"/>
      </w:rPr>
    </w:lvl>
    <w:lvl w:ilvl="1" w:tplc="D8D01ECA">
      <w:start w:val="1"/>
      <w:numFmt w:val="bullet"/>
      <w:pStyle w:val="Bulletstab"/>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4105CA9"/>
    <w:multiLevelType w:val="hybridMultilevel"/>
    <w:tmpl w:val="4E9AC554"/>
    <w:lvl w:ilvl="0" w:tplc="CB146D4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7802DE"/>
    <w:multiLevelType w:val="hybridMultilevel"/>
    <w:tmpl w:val="86F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26D8F"/>
    <w:multiLevelType w:val="hybridMultilevel"/>
    <w:tmpl w:val="3CBA0A4E"/>
    <w:lvl w:ilvl="0" w:tplc="B2FE37EE">
      <w:start w:val="1"/>
      <w:numFmt w:val="upperRoman"/>
      <w:pStyle w:val="Topic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92FBE"/>
    <w:multiLevelType w:val="multilevel"/>
    <w:tmpl w:val="0AE2C1F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321FBC"/>
    <w:multiLevelType w:val="hybridMultilevel"/>
    <w:tmpl w:val="56E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44C0B"/>
    <w:multiLevelType w:val="hybridMultilevel"/>
    <w:tmpl w:val="0210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64BE5"/>
    <w:multiLevelType w:val="multilevel"/>
    <w:tmpl w:val="38489BD8"/>
    <w:lvl w:ilvl="0">
      <w:start w:val="1"/>
      <w:numFmt w:val="decimal"/>
      <w:pStyle w:val="List1"/>
      <w:lvlText w:val="%1."/>
      <w:lvlJc w:val="left"/>
      <w:pPr>
        <w:tabs>
          <w:tab w:val="num" w:pos="397"/>
        </w:tabs>
        <w:ind w:left="432" w:hanging="432"/>
      </w:pPr>
      <w:rPr>
        <w:rFonts w:cs="Times New Roman" w:hint="default"/>
        <w:color w:val="auto"/>
      </w:rPr>
    </w:lvl>
    <w:lvl w:ilvl="1">
      <w:start w:val="1"/>
      <w:numFmt w:val="lowerRoman"/>
      <w:pStyle w:val="List2"/>
      <w:lvlText w:val="%2."/>
      <w:lvlJc w:val="left"/>
      <w:pPr>
        <w:tabs>
          <w:tab w:val="num" w:pos="1008"/>
        </w:tabs>
        <w:ind w:left="1008" w:hanging="576"/>
      </w:pPr>
      <w:rPr>
        <w:rFonts w:cs="Times New Roman" w:hint="default"/>
        <w:color w:val="auto"/>
      </w:rPr>
    </w:lvl>
    <w:lvl w:ilvl="2">
      <w:start w:val="1"/>
      <w:numFmt w:val="lowerLetter"/>
      <w:pStyle w:val="List3"/>
      <w:lvlText w:val="%3."/>
      <w:lvlJc w:val="left"/>
      <w:pPr>
        <w:tabs>
          <w:tab w:val="num" w:pos="1440"/>
        </w:tabs>
        <w:ind w:left="1440" w:hanging="432"/>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982488E"/>
    <w:multiLevelType w:val="hybridMultilevel"/>
    <w:tmpl w:val="853C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0750F5"/>
    <w:multiLevelType w:val="hybridMultilevel"/>
    <w:tmpl w:val="1598C6F6"/>
    <w:lvl w:ilvl="0" w:tplc="AC4A2242">
      <w:start w:val="1"/>
      <w:numFmt w:val="upperLetter"/>
      <w:pStyle w:val="Topic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484312"/>
    <w:multiLevelType w:val="hybridMultilevel"/>
    <w:tmpl w:val="8CCC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4"/>
  </w:num>
  <w:num w:numId="6">
    <w:abstractNumId w:val="3"/>
  </w:num>
  <w:num w:numId="7">
    <w:abstractNumId w:val="0"/>
  </w:num>
  <w:num w:numId="8">
    <w:abstractNumId w:val="12"/>
  </w:num>
  <w:num w:numId="9">
    <w:abstractNumId w:val="5"/>
  </w:num>
  <w:num w:numId="10">
    <w:abstractNumId w:val="1"/>
  </w:num>
  <w:num w:numId="11">
    <w:abstractNumId w:val="9"/>
  </w:num>
  <w:num w:numId="12">
    <w:abstractNumId w:val="8"/>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9"/>
    <w:rsid w:val="00000A51"/>
    <w:rsid w:val="00001398"/>
    <w:rsid w:val="000018F3"/>
    <w:rsid w:val="00006E8D"/>
    <w:rsid w:val="00007228"/>
    <w:rsid w:val="00010BA6"/>
    <w:rsid w:val="000141AE"/>
    <w:rsid w:val="00023019"/>
    <w:rsid w:val="0002333D"/>
    <w:rsid w:val="00032D54"/>
    <w:rsid w:val="00035758"/>
    <w:rsid w:val="000400C0"/>
    <w:rsid w:val="000402B5"/>
    <w:rsid w:val="000405F6"/>
    <w:rsid w:val="000424D7"/>
    <w:rsid w:val="00045727"/>
    <w:rsid w:val="000470CC"/>
    <w:rsid w:val="0004773A"/>
    <w:rsid w:val="00047E40"/>
    <w:rsid w:val="00054859"/>
    <w:rsid w:val="000621C7"/>
    <w:rsid w:val="000730D1"/>
    <w:rsid w:val="000834E3"/>
    <w:rsid w:val="00086991"/>
    <w:rsid w:val="00091F48"/>
    <w:rsid w:val="00096979"/>
    <w:rsid w:val="00096F56"/>
    <w:rsid w:val="000A3B0C"/>
    <w:rsid w:val="000A4DB0"/>
    <w:rsid w:val="000A4E7B"/>
    <w:rsid w:val="000A630C"/>
    <w:rsid w:val="000A7247"/>
    <w:rsid w:val="000B0B75"/>
    <w:rsid w:val="000B23BF"/>
    <w:rsid w:val="000B2ACA"/>
    <w:rsid w:val="000B45A3"/>
    <w:rsid w:val="000B6612"/>
    <w:rsid w:val="000C0862"/>
    <w:rsid w:val="000C0973"/>
    <w:rsid w:val="000C0B02"/>
    <w:rsid w:val="000C56D5"/>
    <w:rsid w:val="000C6B03"/>
    <w:rsid w:val="000C7A31"/>
    <w:rsid w:val="000D2DF0"/>
    <w:rsid w:val="000D31FF"/>
    <w:rsid w:val="000D6155"/>
    <w:rsid w:val="000E391E"/>
    <w:rsid w:val="000E3DB7"/>
    <w:rsid w:val="000E4C08"/>
    <w:rsid w:val="00100A82"/>
    <w:rsid w:val="0011207F"/>
    <w:rsid w:val="00116816"/>
    <w:rsid w:val="00117747"/>
    <w:rsid w:val="00117DF3"/>
    <w:rsid w:val="00123D8A"/>
    <w:rsid w:val="00125C74"/>
    <w:rsid w:val="00125EBA"/>
    <w:rsid w:val="00134C96"/>
    <w:rsid w:val="0013791C"/>
    <w:rsid w:val="001414AF"/>
    <w:rsid w:val="001426FA"/>
    <w:rsid w:val="00142DDF"/>
    <w:rsid w:val="00143746"/>
    <w:rsid w:val="00145832"/>
    <w:rsid w:val="00147507"/>
    <w:rsid w:val="00152F30"/>
    <w:rsid w:val="00154133"/>
    <w:rsid w:val="00154C04"/>
    <w:rsid w:val="001612CE"/>
    <w:rsid w:val="00161647"/>
    <w:rsid w:val="00164770"/>
    <w:rsid w:val="00164E21"/>
    <w:rsid w:val="001667F5"/>
    <w:rsid w:val="00171C81"/>
    <w:rsid w:val="00172D96"/>
    <w:rsid w:val="0017377B"/>
    <w:rsid w:val="0017604C"/>
    <w:rsid w:val="001803FA"/>
    <w:rsid w:val="00184756"/>
    <w:rsid w:val="00186932"/>
    <w:rsid w:val="00190C9E"/>
    <w:rsid w:val="001916FE"/>
    <w:rsid w:val="0019192D"/>
    <w:rsid w:val="00191D6D"/>
    <w:rsid w:val="00192A68"/>
    <w:rsid w:val="001933DE"/>
    <w:rsid w:val="00193AC9"/>
    <w:rsid w:val="00193B92"/>
    <w:rsid w:val="00196093"/>
    <w:rsid w:val="001A07D9"/>
    <w:rsid w:val="001A33F4"/>
    <w:rsid w:val="001B1CCF"/>
    <w:rsid w:val="001B55DF"/>
    <w:rsid w:val="001C16C6"/>
    <w:rsid w:val="001C1C12"/>
    <w:rsid w:val="001C1E53"/>
    <w:rsid w:val="001C2691"/>
    <w:rsid w:val="001C41EB"/>
    <w:rsid w:val="001C476D"/>
    <w:rsid w:val="001C4B48"/>
    <w:rsid w:val="001C57B6"/>
    <w:rsid w:val="001D069C"/>
    <w:rsid w:val="001D3C2D"/>
    <w:rsid w:val="001D4A14"/>
    <w:rsid w:val="001D53EF"/>
    <w:rsid w:val="001D6976"/>
    <w:rsid w:val="001E1B0A"/>
    <w:rsid w:val="001E1C61"/>
    <w:rsid w:val="001E4373"/>
    <w:rsid w:val="001E46E3"/>
    <w:rsid w:val="001F28A8"/>
    <w:rsid w:val="001F31A9"/>
    <w:rsid w:val="001F37C7"/>
    <w:rsid w:val="001F41EC"/>
    <w:rsid w:val="001F4A21"/>
    <w:rsid w:val="001F4F13"/>
    <w:rsid w:val="002002C6"/>
    <w:rsid w:val="00200C5C"/>
    <w:rsid w:val="00201C1A"/>
    <w:rsid w:val="00204BC1"/>
    <w:rsid w:val="002065CA"/>
    <w:rsid w:val="00210078"/>
    <w:rsid w:val="00210753"/>
    <w:rsid w:val="00212C1F"/>
    <w:rsid w:val="00215017"/>
    <w:rsid w:val="002177DC"/>
    <w:rsid w:val="002262A0"/>
    <w:rsid w:val="00226BF6"/>
    <w:rsid w:val="002279ED"/>
    <w:rsid w:val="00231EE8"/>
    <w:rsid w:val="0023490C"/>
    <w:rsid w:val="00234A79"/>
    <w:rsid w:val="00235C1E"/>
    <w:rsid w:val="002371DF"/>
    <w:rsid w:val="00243586"/>
    <w:rsid w:val="002469A7"/>
    <w:rsid w:val="00246EC2"/>
    <w:rsid w:val="002475F3"/>
    <w:rsid w:val="00253495"/>
    <w:rsid w:val="002565B6"/>
    <w:rsid w:val="0025699F"/>
    <w:rsid w:val="00256FF3"/>
    <w:rsid w:val="00257E9C"/>
    <w:rsid w:val="0026111F"/>
    <w:rsid w:val="00261136"/>
    <w:rsid w:val="00261333"/>
    <w:rsid w:val="002660AB"/>
    <w:rsid w:val="002673FE"/>
    <w:rsid w:val="002701F4"/>
    <w:rsid w:val="0027439B"/>
    <w:rsid w:val="00280710"/>
    <w:rsid w:val="00280B9B"/>
    <w:rsid w:val="00281FB5"/>
    <w:rsid w:val="00282A17"/>
    <w:rsid w:val="002832EB"/>
    <w:rsid w:val="00290212"/>
    <w:rsid w:val="002958D2"/>
    <w:rsid w:val="002973B7"/>
    <w:rsid w:val="002A0E63"/>
    <w:rsid w:val="002A552F"/>
    <w:rsid w:val="002C298F"/>
    <w:rsid w:val="002C3574"/>
    <w:rsid w:val="002C40A9"/>
    <w:rsid w:val="002C7D6A"/>
    <w:rsid w:val="002D01FB"/>
    <w:rsid w:val="002E1B88"/>
    <w:rsid w:val="002E25B6"/>
    <w:rsid w:val="002E2982"/>
    <w:rsid w:val="002F0313"/>
    <w:rsid w:val="002F0CE4"/>
    <w:rsid w:val="002F1269"/>
    <w:rsid w:val="002F1CC7"/>
    <w:rsid w:val="00301B41"/>
    <w:rsid w:val="00302F71"/>
    <w:rsid w:val="00303615"/>
    <w:rsid w:val="00305D0F"/>
    <w:rsid w:val="00307F68"/>
    <w:rsid w:val="003103DC"/>
    <w:rsid w:val="003155E6"/>
    <w:rsid w:val="00315C03"/>
    <w:rsid w:val="00321B08"/>
    <w:rsid w:val="003224C3"/>
    <w:rsid w:val="0032254A"/>
    <w:rsid w:val="003265D1"/>
    <w:rsid w:val="003302F5"/>
    <w:rsid w:val="003314AD"/>
    <w:rsid w:val="003317FF"/>
    <w:rsid w:val="00334FD4"/>
    <w:rsid w:val="003350F0"/>
    <w:rsid w:val="00335878"/>
    <w:rsid w:val="00335E39"/>
    <w:rsid w:val="00337A26"/>
    <w:rsid w:val="00340A54"/>
    <w:rsid w:val="003533A7"/>
    <w:rsid w:val="00355527"/>
    <w:rsid w:val="0036062C"/>
    <w:rsid w:val="00367500"/>
    <w:rsid w:val="00370F8A"/>
    <w:rsid w:val="003722E3"/>
    <w:rsid w:val="00372869"/>
    <w:rsid w:val="00373A61"/>
    <w:rsid w:val="00375287"/>
    <w:rsid w:val="00383166"/>
    <w:rsid w:val="00384945"/>
    <w:rsid w:val="003857A1"/>
    <w:rsid w:val="00385AA5"/>
    <w:rsid w:val="00386FBE"/>
    <w:rsid w:val="00391EA0"/>
    <w:rsid w:val="003957EA"/>
    <w:rsid w:val="003A404D"/>
    <w:rsid w:val="003A569F"/>
    <w:rsid w:val="003B1E64"/>
    <w:rsid w:val="003B216C"/>
    <w:rsid w:val="003B56E3"/>
    <w:rsid w:val="003B5819"/>
    <w:rsid w:val="003C11B4"/>
    <w:rsid w:val="003C2E6B"/>
    <w:rsid w:val="003C2F14"/>
    <w:rsid w:val="003C3069"/>
    <w:rsid w:val="003C659A"/>
    <w:rsid w:val="003D2C95"/>
    <w:rsid w:val="003D6B23"/>
    <w:rsid w:val="003E12FB"/>
    <w:rsid w:val="003E3226"/>
    <w:rsid w:val="003E348D"/>
    <w:rsid w:val="003E759F"/>
    <w:rsid w:val="003F011A"/>
    <w:rsid w:val="003F15EE"/>
    <w:rsid w:val="003F5413"/>
    <w:rsid w:val="00400FBD"/>
    <w:rsid w:val="004066CF"/>
    <w:rsid w:val="004127C1"/>
    <w:rsid w:val="004134AF"/>
    <w:rsid w:val="00413675"/>
    <w:rsid w:val="00413C28"/>
    <w:rsid w:val="00413C50"/>
    <w:rsid w:val="004151EB"/>
    <w:rsid w:val="004158B9"/>
    <w:rsid w:val="00416A41"/>
    <w:rsid w:val="00417A3C"/>
    <w:rsid w:val="0042056C"/>
    <w:rsid w:val="00422915"/>
    <w:rsid w:val="00423C15"/>
    <w:rsid w:val="00423DE4"/>
    <w:rsid w:val="004248B0"/>
    <w:rsid w:val="0042581C"/>
    <w:rsid w:val="00425A03"/>
    <w:rsid w:val="00426101"/>
    <w:rsid w:val="00430AA3"/>
    <w:rsid w:val="00430FCF"/>
    <w:rsid w:val="00435205"/>
    <w:rsid w:val="00436788"/>
    <w:rsid w:val="00437A15"/>
    <w:rsid w:val="00445D11"/>
    <w:rsid w:val="00453996"/>
    <w:rsid w:val="00453EA1"/>
    <w:rsid w:val="00454003"/>
    <w:rsid w:val="00454389"/>
    <w:rsid w:val="00455BD8"/>
    <w:rsid w:val="00464C0E"/>
    <w:rsid w:val="00466D0E"/>
    <w:rsid w:val="00467A44"/>
    <w:rsid w:val="004733DD"/>
    <w:rsid w:val="004861B4"/>
    <w:rsid w:val="00486EC3"/>
    <w:rsid w:val="00487DD7"/>
    <w:rsid w:val="00495F4E"/>
    <w:rsid w:val="00496B37"/>
    <w:rsid w:val="004978AE"/>
    <w:rsid w:val="004A7E4E"/>
    <w:rsid w:val="004B20AD"/>
    <w:rsid w:val="004B2F1B"/>
    <w:rsid w:val="004B4B3A"/>
    <w:rsid w:val="004B52CE"/>
    <w:rsid w:val="004B545F"/>
    <w:rsid w:val="004B74BF"/>
    <w:rsid w:val="004C0C0F"/>
    <w:rsid w:val="004C292B"/>
    <w:rsid w:val="004C2D1D"/>
    <w:rsid w:val="004C3F0D"/>
    <w:rsid w:val="004C56F5"/>
    <w:rsid w:val="004D1F72"/>
    <w:rsid w:val="004D23B3"/>
    <w:rsid w:val="004D35C8"/>
    <w:rsid w:val="004D367B"/>
    <w:rsid w:val="004D3858"/>
    <w:rsid w:val="004D3946"/>
    <w:rsid w:val="004D3A9A"/>
    <w:rsid w:val="004D5784"/>
    <w:rsid w:val="004D70AD"/>
    <w:rsid w:val="004E0425"/>
    <w:rsid w:val="004E4989"/>
    <w:rsid w:val="004E4F27"/>
    <w:rsid w:val="004E7CD2"/>
    <w:rsid w:val="004F108E"/>
    <w:rsid w:val="004F36E0"/>
    <w:rsid w:val="00501835"/>
    <w:rsid w:val="00502316"/>
    <w:rsid w:val="00513434"/>
    <w:rsid w:val="00514638"/>
    <w:rsid w:val="005156A9"/>
    <w:rsid w:val="005206FD"/>
    <w:rsid w:val="0052131F"/>
    <w:rsid w:val="00521EBB"/>
    <w:rsid w:val="0052239C"/>
    <w:rsid w:val="00523465"/>
    <w:rsid w:val="0052399D"/>
    <w:rsid w:val="00524A7A"/>
    <w:rsid w:val="00524E09"/>
    <w:rsid w:val="0052542D"/>
    <w:rsid w:val="00525E54"/>
    <w:rsid w:val="0053105C"/>
    <w:rsid w:val="00535B20"/>
    <w:rsid w:val="005409B3"/>
    <w:rsid w:val="005410BB"/>
    <w:rsid w:val="00541F51"/>
    <w:rsid w:val="005438F2"/>
    <w:rsid w:val="005446AF"/>
    <w:rsid w:val="00546669"/>
    <w:rsid w:val="005509AD"/>
    <w:rsid w:val="0055168A"/>
    <w:rsid w:val="00555A2A"/>
    <w:rsid w:val="00555D87"/>
    <w:rsid w:val="00555DD3"/>
    <w:rsid w:val="00560BDC"/>
    <w:rsid w:val="00566A1F"/>
    <w:rsid w:val="00567687"/>
    <w:rsid w:val="00570B09"/>
    <w:rsid w:val="00571A0E"/>
    <w:rsid w:val="0057643A"/>
    <w:rsid w:val="00580188"/>
    <w:rsid w:val="0058519F"/>
    <w:rsid w:val="00585D83"/>
    <w:rsid w:val="0059070A"/>
    <w:rsid w:val="00590921"/>
    <w:rsid w:val="0059150B"/>
    <w:rsid w:val="0059479C"/>
    <w:rsid w:val="00596A46"/>
    <w:rsid w:val="00596F16"/>
    <w:rsid w:val="005976C2"/>
    <w:rsid w:val="00597C68"/>
    <w:rsid w:val="005A0D4F"/>
    <w:rsid w:val="005A1594"/>
    <w:rsid w:val="005A1BFF"/>
    <w:rsid w:val="005A2931"/>
    <w:rsid w:val="005A46D8"/>
    <w:rsid w:val="005B48F4"/>
    <w:rsid w:val="005B5CE4"/>
    <w:rsid w:val="005C0920"/>
    <w:rsid w:val="005C1C1A"/>
    <w:rsid w:val="005C3942"/>
    <w:rsid w:val="005C6428"/>
    <w:rsid w:val="005C6D20"/>
    <w:rsid w:val="005D182B"/>
    <w:rsid w:val="005D426A"/>
    <w:rsid w:val="005D5C88"/>
    <w:rsid w:val="005E46E7"/>
    <w:rsid w:val="005E5DC5"/>
    <w:rsid w:val="005F43F5"/>
    <w:rsid w:val="005F7982"/>
    <w:rsid w:val="00602676"/>
    <w:rsid w:val="00603912"/>
    <w:rsid w:val="00604421"/>
    <w:rsid w:val="00604E49"/>
    <w:rsid w:val="00605D5B"/>
    <w:rsid w:val="00610343"/>
    <w:rsid w:val="00611444"/>
    <w:rsid w:val="006118A7"/>
    <w:rsid w:val="006129C9"/>
    <w:rsid w:val="00613491"/>
    <w:rsid w:val="006137FF"/>
    <w:rsid w:val="0061476F"/>
    <w:rsid w:val="00615EB8"/>
    <w:rsid w:val="00617369"/>
    <w:rsid w:val="0062256A"/>
    <w:rsid w:val="006244B4"/>
    <w:rsid w:val="00626528"/>
    <w:rsid w:val="006265E4"/>
    <w:rsid w:val="0062704C"/>
    <w:rsid w:val="00634088"/>
    <w:rsid w:val="0063643A"/>
    <w:rsid w:val="00640306"/>
    <w:rsid w:val="00640768"/>
    <w:rsid w:val="00641E7A"/>
    <w:rsid w:val="006426DB"/>
    <w:rsid w:val="0064479F"/>
    <w:rsid w:val="006450FE"/>
    <w:rsid w:val="006465BE"/>
    <w:rsid w:val="006468D2"/>
    <w:rsid w:val="00650BF7"/>
    <w:rsid w:val="00653337"/>
    <w:rsid w:val="00653CB2"/>
    <w:rsid w:val="006556C7"/>
    <w:rsid w:val="006564D5"/>
    <w:rsid w:val="00656758"/>
    <w:rsid w:val="00661591"/>
    <w:rsid w:val="00661A35"/>
    <w:rsid w:val="00662C14"/>
    <w:rsid w:val="00664219"/>
    <w:rsid w:val="00667D52"/>
    <w:rsid w:val="00671DA3"/>
    <w:rsid w:val="0067773D"/>
    <w:rsid w:val="0068055B"/>
    <w:rsid w:val="00685F7E"/>
    <w:rsid w:val="00687143"/>
    <w:rsid w:val="006914F9"/>
    <w:rsid w:val="00691F71"/>
    <w:rsid w:val="00692F16"/>
    <w:rsid w:val="0069373B"/>
    <w:rsid w:val="006940BB"/>
    <w:rsid w:val="00694EFE"/>
    <w:rsid w:val="00696DAC"/>
    <w:rsid w:val="006A59F3"/>
    <w:rsid w:val="006A5CB1"/>
    <w:rsid w:val="006A6B4E"/>
    <w:rsid w:val="006A6BFD"/>
    <w:rsid w:val="006A6E28"/>
    <w:rsid w:val="006A76DD"/>
    <w:rsid w:val="006B224A"/>
    <w:rsid w:val="006B3930"/>
    <w:rsid w:val="006B528A"/>
    <w:rsid w:val="006C1528"/>
    <w:rsid w:val="006C2B1F"/>
    <w:rsid w:val="006C5B86"/>
    <w:rsid w:val="006C7C11"/>
    <w:rsid w:val="006D3EDF"/>
    <w:rsid w:val="006D3F08"/>
    <w:rsid w:val="006D60BF"/>
    <w:rsid w:val="006E1578"/>
    <w:rsid w:val="006E166B"/>
    <w:rsid w:val="006E3A1A"/>
    <w:rsid w:val="006E6230"/>
    <w:rsid w:val="006E69BD"/>
    <w:rsid w:val="006F04EF"/>
    <w:rsid w:val="006F242B"/>
    <w:rsid w:val="006F2B30"/>
    <w:rsid w:val="006F4817"/>
    <w:rsid w:val="006F5909"/>
    <w:rsid w:val="00701226"/>
    <w:rsid w:val="0070199C"/>
    <w:rsid w:val="0070500B"/>
    <w:rsid w:val="00705504"/>
    <w:rsid w:val="0071223E"/>
    <w:rsid w:val="00712363"/>
    <w:rsid w:val="00713010"/>
    <w:rsid w:val="00715DD6"/>
    <w:rsid w:val="00716950"/>
    <w:rsid w:val="00717B11"/>
    <w:rsid w:val="00722174"/>
    <w:rsid w:val="00722A00"/>
    <w:rsid w:val="00726A12"/>
    <w:rsid w:val="00727B44"/>
    <w:rsid w:val="00733C24"/>
    <w:rsid w:val="007362A0"/>
    <w:rsid w:val="00737093"/>
    <w:rsid w:val="007425CA"/>
    <w:rsid w:val="00744DF2"/>
    <w:rsid w:val="00745799"/>
    <w:rsid w:val="00745A5E"/>
    <w:rsid w:val="00745D82"/>
    <w:rsid w:val="00747B9B"/>
    <w:rsid w:val="00761F18"/>
    <w:rsid w:val="00762B48"/>
    <w:rsid w:val="00762C9D"/>
    <w:rsid w:val="00763B10"/>
    <w:rsid w:val="0076556D"/>
    <w:rsid w:val="00765DA1"/>
    <w:rsid w:val="00771A21"/>
    <w:rsid w:val="00773816"/>
    <w:rsid w:val="00773B97"/>
    <w:rsid w:val="007765D0"/>
    <w:rsid w:val="00777C3E"/>
    <w:rsid w:val="00777D38"/>
    <w:rsid w:val="0078340E"/>
    <w:rsid w:val="00786239"/>
    <w:rsid w:val="007878C8"/>
    <w:rsid w:val="00793610"/>
    <w:rsid w:val="00794A29"/>
    <w:rsid w:val="0079511F"/>
    <w:rsid w:val="00796075"/>
    <w:rsid w:val="00796707"/>
    <w:rsid w:val="007A5BBD"/>
    <w:rsid w:val="007B057E"/>
    <w:rsid w:val="007B1392"/>
    <w:rsid w:val="007B2FD3"/>
    <w:rsid w:val="007B45B2"/>
    <w:rsid w:val="007B51B7"/>
    <w:rsid w:val="007B5A84"/>
    <w:rsid w:val="007C0682"/>
    <w:rsid w:val="007C1706"/>
    <w:rsid w:val="007C1A6F"/>
    <w:rsid w:val="007C343F"/>
    <w:rsid w:val="007C5D02"/>
    <w:rsid w:val="007C6B79"/>
    <w:rsid w:val="007D21A8"/>
    <w:rsid w:val="007D2F1B"/>
    <w:rsid w:val="007D3295"/>
    <w:rsid w:val="007D394D"/>
    <w:rsid w:val="007D5FE6"/>
    <w:rsid w:val="007E2D0E"/>
    <w:rsid w:val="007E3533"/>
    <w:rsid w:val="007E5622"/>
    <w:rsid w:val="007F3A54"/>
    <w:rsid w:val="007F764B"/>
    <w:rsid w:val="00800BFC"/>
    <w:rsid w:val="00801239"/>
    <w:rsid w:val="0082080F"/>
    <w:rsid w:val="008214BD"/>
    <w:rsid w:val="0082766E"/>
    <w:rsid w:val="00831424"/>
    <w:rsid w:val="00832536"/>
    <w:rsid w:val="0084301F"/>
    <w:rsid w:val="0084352E"/>
    <w:rsid w:val="00847866"/>
    <w:rsid w:val="00854A2F"/>
    <w:rsid w:val="008570D4"/>
    <w:rsid w:val="0085757E"/>
    <w:rsid w:val="00857751"/>
    <w:rsid w:val="00867CD8"/>
    <w:rsid w:val="00871837"/>
    <w:rsid w:val="00872386"/>
    <w:rsid w:val="00873567"/>
    <w:rsid w:val="00873D47"/>
    <w:rsid w:val="00876AA8"/>
    <w:rsid w:val="00877402"/>
    <w:rsid w:val="008844E8"/>
    <w:rsid w:val="00885685"/>
    <w:rsid w:val="00885C5E"/>
    <w:rsid w:val="00885FFC"/>
    <w:rsid w:val="00886027"/>
    <w:rsid w:val="00887136"/>
    <w:rsid w:val="008912B0"/>
    <w:rsid w:val="00893657"/>
    <w:rsid w:val="00894A7C"/>
    <w:rsid w:val="00897C07"/>
    <w:rsid w:val="008A07F2"/>
    <w:rsid w:val="008A0A86"/>
    <w:rsid w:val="008A2C67"/>
    <w:rsid w:val="008B1A3C"/>
    <w:rsid w:val="008B21BA"/>
    <w:rsid w:val="008B7A79"/>
    <w:rsid w:val="008C12BA"/>
    <w:rsid w:val="008C6EC7"/>
    <w:rsid w:val="008D1BE1"/>
    <w:rsid w:val="008D705F"/>
    <w:rsid w:val="008E030F"/>
    <w:rsid w:val="008E1ACA"/>
    <w:rsid w:val="008E2E48"/>
    <w:rsid w:val="008E608E"/>
    <w:rsid w:val="008E648B"/>
    <w:rsid w:val="008F380B"/>
    <w:rsid w:val="00900B26"/>
    <w:rsid w:val="009027CF"/>
    <w:rsid w:val="00903286"/>
    <w:rsid w:val="00906B11"/>
    <w:rsid w:val="00906F06"/>
    <w:rsid w:val="00907B62"/>
    <w:rsid w:val="009144A1"/>
    <w:rsid w:val="009161C2"/>
    <w:rsid w:val="00923DDD"/>
    <w:rsid w:val="009254B9"/>
    <w:rsid w:val="00927C70"/>
    <w:rsid w:val="00927E59"/>
    <w:rsid w:val="00931EDE"/>
    <w:rsid w:val="0093258E"/>
    <w:rsid w:val="00933C1A"/>
    <w:rsid w:val="00934F1C"/>
    <w:rsid w:val="00935E8A"/>
    <w:rsid w:val="00936D0A"/>
    <w:rsid w:val="00941333"/>
    <w:rsid w:val="00941631"/>
    <w:rsid w:val="00941E54"/>
    <w:rsid w:val="00943443"/>
    <w:rsid w:val="0094354C"/>
    <w:rsid w:val="00944832"/>
    <w:rsid w:val="00950132"/>
    <w:rsid w:val="0095343D"/>
    <w:rsid w:val="00953E64"/>
    <w:rsid w:val="009540A4"/>
    <w:rsid w:val="009545C3"/>
    <w:rsid w:val="009569C6"/>
    <w:rsid w:val="00961E61"/>
    <w:rsid w:val="00962702"/>
    <w:rsid w:val="00962CC2"/>
    <w:rsid w:val="009639AD"/>
    <w:rsid w:val="00970CC7"/>
    <w:rsid w:val="00974F72"/>
    <w:rsid w:val="0097630E"/>
    <w:rsid w:val="00981902"/>
    <w:rsid w:val="00981B34"/>
    <w:rsid w:val="00983EEE"/>
    <w:rsid w:val="00987522"/>
    <w:rsid w:val="00987742"/>
    <w:rsid w:val="00987B70"/>
    <w:rsid w:val="00990D90"/>
    <w:rsid w:val="00992B03"/>
    <w:rsid w:val="0099344A"/>
    <w:rsid w:val="00993973"/>
    <w:rsid w:val="00994954"/>
    <w:rsid w:val="009A727F"/>
    <w:rsid w:val="009A7F77"/>
    <w:rsid w:val="009B1AFF"/>
    <w:rsid w:val="009B2706"/>
    <w:rsid w:val="009B2741"/>
    <w:rsid w:val="009B28E3"/>
    <w:rsid w:val="009B4BD8"/>
    <w:rsid w:val="009B5286"/>
    <w:rsid w:val="009C2031"/>
    <w:rsid w:val="009C28BB"/>
    <w:rsid w:val="009C2C98"/>
    <w:rsid w:val="009C4101"/>
    <w:rsid w:val="009C5A17"/>
    <w:rsid w:val="009C5AFC"/>
    <w:rsid w:val="009D232F"/>
    <w:rsid w:val="009D660C"/>
    <w:rsid w:val="009D684A"/>
    <w:rsid w:val="009E5527"/>
    <w:rsid w:val="009F388E"/>
    <w:rsid w:val="00A009DE"/>
    <w:rsid w:val="00A02108"/>
    <w:rsid w:val="00A0303A"/>
    <w:rsid w:val="00A03A60"/>
    <w:rsid w:val="00A05895"/>
    <w:rsid w:val="00A0678D"/>
    <w:rsid w:val="00A10ED8"/>
    <w:rsid w:val="00A12A6E"/>
    <w:rsid w:val="00A14981"/>
    <w:rsid w:val="00A16A40"/>
    <w:rsid w:val="00A206F4"/>
    <w:rsid w:val="00A20EF2"/>
    <w:rsid w:val="00A22E1D"/>
    <w:rsid w:val="00A2368E"/>
    <w:rsid w:val="00A23892"/>
    <w:rsid w:val="00A26480"/>
    <w:rsid w:val="00A313C5"/>
    <w:rsid w:val="00A31BEC"/>
    <w:rsid w:val="00A37DB4"/>
    <w:rsid w:val="00A430BC"/>
    <w:rsid w:val="00A438C0"/>
    <w:rsid w:val="00A44065"/>
    <w:rsid w:val="00A44D61"/>
    <w:rsid w:val="00A4751C"/>
    <w:rsid w:val="00A50926"/>
    <w:rsid w:val="00A536D0"/>
    <w:rsid w:val="00A53704"/>
    <w:rsid w:val="00A54FE5"/>
    <w:rsid w:val="00A6058C"/>
    <w:rsid w:val="00A62471"/>
    <w:rsid w:val="00A70755"/>
    <w:rsid w:val="00A72F2B"/>
    <w:rsid w:val="00A730F3"/>
    <w:rsid w:val="00A736CC"/>
    <w:rsid w:val="00A73C69"/>
    <w:rsid w:val="00A74C2B"/>
    <w:rsid w:val="00A75C90"/>
    <w:rsid w:val="00A82778"/>
    <w:rsid w:val="00A833D0"/>
    <w:rsid w:val="00A8638F"/>
    <w:rsid w:val="00A879E0"/>
    <w:rsid w:val="00A87C8C"/>
    <w:rsid w:val="00A9014A"/>
    <w:rsid w:val="00A90260"/>
    <w:rsid w:val="00A91451"/>
    <w:rsid w:val="00A92DB8"/>
    <w:rsid w:val="00A93556"/>
    <w:rsid w:val="00A9471F"/>
    <w:rsid w:val="00A95214"/>
    <w:rsid w:val="00AA1297"/>
    <w:rsid w:val="00AA15E9"/>
    <w:rsid w:val="00AB539F"/>
    <w:rsid w:val="00AC45D0"/>
    <w:rsid w:val="00AC5124"/>
    <w:rsid w:val="00AC6D69"/>
    <w:rsid w:val="00AC7AB3"/>
    <w:rsid w:val="00AE19C2"/>
    <w:rsid w:val="00AE77B0"/>
    <w:rsid w:val="00AF0581"/>
    <w:rsid w:val="00AF7D80"/>
    <w:rsid w:val="00B012CF"/>
    <w:rsid w:val="00B02E5F"/>
    <w:rsid w:val="00B045A8"/>
    <w:rsid w:val="00B075F4"/>
    <w:rsid w:val="00B1117A"/>
    <w:rsid w:val="00B148B3"/>
    <w:rsid w:val="00B15AD7"/>
    <w:rsid w:val="00B2162D"/>
    <w:rsid w:val="00B2292A"/>
    <w:rsid w:val="00B22E21"/>
    <w:rsid w:val="00B24570"/>
    <w:rsid w:val="00B32E08"/>
    <w:rsid w:val="00B33ED3"/>
    <w:rsid w:val="00B35D6F"/>
    <w:rsid w:val="00B36862"/>
    <w:rsid w:val="00B36B29"/>
    <w:rsid w:val="00B373FE"/>
    <w:rsid w:val="00B409E3"/>
    <w:rsid w:val="00B42037"/>
    <w:rsid w:val="00B43649"/>
    <w:rsid w:val="00B478B7"/>
    <w:rsid w:val="00B50965"/>
    <w:rsid w:val="00B511BA"/>
    <w:rsid w:val="00B55D73"/>
    <w:rsid w:val="00B56AF6"/>
    <w:rsid w:val="00B66430"/>
    <w:rsid w:val="00B67317"/>
    <w:rsid w:val="00B67AA4"/>
    <w:rsid w:val="00B72B39"/>
    <w:rsid w:val="00B74948"/>
    <w:rsid w:val="00B75586"/>
    <w:rsid w:val="00B80246"/>
    <w:rsid w:val="00B82468"/>
    <w:rsid w:val="00B82AA8"/>
    <w:rsid w:val="00B82E3A"/>
    <w:rsid w:val="00B84694"/>
    <w:rsid w:val="00B84F79"/>
    <w:rsid w:val="00B87045"/>
    <w:rsid w:val="00B93C3A"/>
    <w:rsid w:val="00B94435"/>
    <w:rsid w:val="00B955FD"/>
    <w:rsid w:val="00B96B78"/>
    <w:rsid w:val="00BA05EE"/>
    <w:rsid w:val="00BA0CA8"/>
    <w:rsid w:val="00BA3064"/>
    <w:rsid w:val="00BA4DC7"/>
    <w:rsid w:val="00BA760E"/>
    <w:rsid w:val="00BB006B"/>
    <w:rsid w:val="00BB0865"/>
    <w:rsid w:val="00BB2BC1"/>
    <w:rsid w:val="00BB3C4D"/>
    <w:rsid w:val="00BB60AD"/>
    <w:rsid w:val="00BB7E11"/>
    <w:rsid w:val="00BC4261"/>
    <w:rsid w:val="00BC5EFB"/>
    <w:rsid w:val="00BD0817"/>
    <w:rsid w:val="00BD2986"/>
    <w:rsid w:val="00BD2CD6"/>
    <w:rsid w:val="00BD5867"/>
    <w:rsid w:val="00BD7130"/>
    <w:rsid w:val="00BE1E4D"/>
    <w:rsid w:val="00BF5235"/>
    <w:rsid w:val="00BF58FC"/>
    <w:rsid w:val="00BF755D"/>
    <w:rsid w:val="00BF7BF9"/>
    <w:rsid w:val="00C01A5E"/>
    <w:rsid w:val="00C04826"/>
    <w:rsid w:val="00C15E9E"/>
    <w:rsid w:val="00C20215"/>
    <w:rsid w:val="00C21294"/>
    <w:rsid w:val="00C27D23"/>
    <w:rsid w:val="00C304B3"/>
    <w:rsid w:val="00C31033"/>
    <w:rsid w:val="00C312CC"/>
    <w:rsid w:val="00C3168E"/>
    <w:rsid w:val="00C319EC"/>
    <w:rsid w:val="00C321D1"/>
    <w:rsid w:val="00C34014"/>
    <w:rsid w:val="00C35941"/>
    <w:rsid w:val="00C36651"/>
    <w:rsid w:val="00C401BC"/>
    <w:rsid w:val="00C444EA"/>
    <w:rsid w:val="00C45490"/>
    <w:rsid w:val="00C4679F"/>
    <w:rsid w:val="00C4783F"/>
    <w:rsid w:val="00C5166C"/>
    <w:rsid w:val="00C51A73"/>
    <w:rsid w:val="00C5392A"/>
    <w:rsid w:val="00C55748"/>
    <w:rsid w:val="00C572BD"/>
    <w:rsid w:val="00C611DF"/>
    <w:rsid w:val="00C61D8E"/>
    <w:rsid w:val="00C704D7"/>
    <w:rsid w:val="00C70B42"/>
    <w:rsid w:val="00C7455C"/>
    <w:rsid w:val="00C74841"/>
    <w:rsid w:val="00C76002"/>
    <w:rsid w:val="00C81F83"/>
    <w:rsid w:val="00C866A8"/>
    <w:rsid w:val="00C91EA8"/>
    <w:rsid w:val="00C93413"/>
    <w:rsid w:val="00C96205"/>
    <w:rsid w:val="00CA4049"/>
    <w:rsid w:val="00CA6DAE"/>
    <w:rsid w:val="00CB2FAC"/>
    <w:rsid w:val="00CB7B2A"/>
    <w:rsid w:val="00CB7CBA"/>
    <w:rsid w:val="00CC5A83"/>
    <w:rsid w:val="00CD0FC7"/>
    <w:rsid w:val="00CD2035"/>
    <w:rsid w:val="00CD2AC5"/>
    <w:rsid w:val="00CE261D"/>
    <w:rsid w:val="00CE3F2C"/>
    <w:rsid w:val="00CE5463"/>
    <w:rsid w:val="00CF37F7"/>
    <w:rsid w:val="00CF3809"/>
    <w:rsid w:val="00D01A16"/>
    <w:rsid w:val="00D0266E"/>
    <w:rsid w:val="00D038A0"/>
    <w:rsid w:val="00D1588F"/>
    <w:rsid w:val="00D220DF"/>
    <w:rsid w:val="00D224AA"/>
    <w:rsid w:val="00D24621"/>
    <w:rsid w:val="00D25EC9"/>
    <w:rsid w:val="00D25F52"/>
    <w:rsid w:val="00D261CD"/>
    <w:rsid w:val="00D26B0F"/>
    <w:rsid w:val="00D2726F"/>
    <w:rsid w:val="00D44BD3"/>
    <w:rsid w:val="00D45015"/>
    <w:rsid w:val="00D45FA7"/>
    <w:rsid w:val="00D46A95"/>
    <w:rsid w:val="00D61B3A"/>
    <w:rsid w:val="00D64CF7"/>
    <w:rsid w:val="00D65450"/>
    <w:rsid w:val="00D66E4E"/>
    <w:rsid w:val="00D67540"/>
    <w:rsid w:val="00D701F0"/>
    <w:rsid w:val="00D71450"/>
    <w:rsid w:val="00D71F35"/>
    <w:rsid w:val="00D72517"/>
    <w:rsid w:val="00D73EB1"/>
    <w:rsid w:val="00D74588"/>
    <w:rsid w:val="00D7470F"/>
    <w:rsid w:val="00D80B9F"/>
    <w:rsid w:val="00D829B9"/>
    <w:rsid w:val="00D83398"/>
    <w:rsid w:val="00D8365C"/>
    <w:rsid w:val="00D83E38"/>
    <w:rsid w:val="00D84E07"/>
    <w:rsid w:val="00D86C6F"/>
    <w:rsid w:val="00D95445"/>
    <w:rsid w:val="00DA1B07"/>
    <w:rsid w:val="00DA1F76"/>
    <w:rsid w:val="00DA628F"/>
    <w:rsid w:val="00DA6D3B"/>
    <w:rsid w:val="00DA6EF8"/>
    <w:rsid w:val="00DB20DE"/>
    <w:rsid w:val="00DB25F8"/>
    <w:rsid w:val="00DB2BA4"/>
    <w:rsid w:val="00DB4FA7"/>
    <w:rsid w:val="00DC1307"/>
    <w:rsid w:val="00DC63E1"/>
    <w:rsid w:val="00DC6800"/>
    <w:rsid w:val="00DD2CC7"/>
    <w:rsid w:val="00DD3CDE"/>
    <w:rsid w:val="00DD49A4"/>
    <w:rsid w:val="00DD52E7"/>
    <w:rsid w:val="00DE0AC1"/>
    <w:rsid w:val="00DE1BC9"/>
    <w:rsid w:val="00DE3FB0"/>
    <w:rsid w:val="00DE6025"/>
    <w:rsid w:val="00DE7F6D"/>
    <w:rsid w:val="00DF02BD"/>
    <w:rsid w:val="00DF3B18"/>
    <w:rsid w:val="00DF494A"/>
    <w:rsid w:val="00E0043A"/>
    <w:rsid w:val="00E1062C"/>
    <w:rsid w:val="00E120C9"/>
    <w:rsid w:val="00E134FB"/>
    <w:rsid w:val="00E13528"/>
    <w:rsid w:val="00E17AC9"/>
    <w:rsid w:val="00E20F47"/>
    <w:rsid w:val="00E210CE"/>
    <w:rsid w:val="00E253D8"/>
    <w:rsid w:val="00E25551"/>
    <w:rsid w:val="00E328A5"/>
    <w:rsid w:val="00E37B73"/>
    <w:rsid w:val="00E42CB6"/>
    <w:rsid w:val="00E43DA2"/>
    <w:rsid w:val="00E45687"/>
    <w:rsid w:val="00E51D22"/>
    <w:rsid w:val="00E53640"/>
    <w:rsid w:val="00E54A70"/>
    <w:rsid w:val="00E5641B"/>
    <w:rsid w:val="00E5666F"/>
    <w:rsid w:val="00E66A01"/>
    <w:rsid w:val="00E674E4"/>
    <w:rsid w:val="00E70608"/>
    <w:rsid w:val="00E730C2"/>
    <w:rsid w:val="00E74879"/>
    <w:rsid w:val="00E76E83"/>
    <w:rsid w:val="00E90748"/>
    <w:rsid w:val="00E912C4"/>
    <w:rsid w:val="00E91333"/>
    <w:rsid w:val="00E9509E"/>
    <w:rsid w:val="00EA2F6C"/>
    <w:rsid w:val="00EA3152"/>
    <w:rsid w:val="00EB7BEC"/>
    <w:rsid w:val="00EC20B8"/>
    <w:rsid w:val="00EC41FC"/>
    <w:rsid w:val="00EC49B3"/>
    <w:rsid w:val="00EC4FFE"/>
    <w:rsid w:val="00EC6A69"/>
    <w:rsid w:val="00ED1583"/>
    <w:rsid w:val="00ED24FC"/>
    <w:rsid w:val="00ED293E"/>
    <w:rsid w:val="00ED357A"/>
    <w:rsid w:val="00EE0F00"/>
    <w:rsid w:val="00EE2BCC"/>
    <w:rsid w:val="00EE6427"/>
    <w:rsid w:val="00EE7860"/>
    <w:rsid w:val="00EF44B9"/>
    <w:rsid w:val="00EF44FB"/>
    <w:rsid w:val="00EF5BDF"/>
    <w:rsid w:val="00EF7DEB"/>
    <w:rsid w:val="00F07E4B"/>
    <w:rsid w:val="00F13916"/>
    <w:rsid w:val="00F13A0D"/>
    <w:rsid w:val="00F14BBD"/>
    <w:rsid w:val="00F14BED"/>
    <w:rsid w:val="00F14F44"/>
    <w:rsid w:val="00F16AD7"/>
    <w:rsid w:val="00F17B59"/>
    <w:rsid w:val="00F20100"/>
    <w:rsid w:val="00F21532"/>
    <w:rsid w:val="00F2201B"/>
    <w:rsid w:val="00F254F5"/>
    <w:rsid w:val="00F25E9F"/>
    <w:rsid w:val="00F2645B"/>
    <w:rsid w:val="00F269CF"/>
    <w:rsid w:val="00F27BA2"/>
    <w:rsid w:val="00F31727"/>
    <w:rsid w:val="00F36BC1"/>
    <w:rsid w:val="00F37B72"/>
    <w:rsid w:val="00F428E5"/>
    <w:rsid w:val="00F4337A"/>
    <w:rsid w:val="00F43E32"/>
    <w:rsid w:val="00F528C6"/>
    <w:rsid w:val="00F554F8"/>
    <w:rsid w:val="00F60135"/>
    <w:rsid w:val="00F64F1E"/>
    <w:rsid w:val="00F659C7"/>
    <w:rsid w:val="00F6686F"/>
    <w:rsid w:val="00F700E7"/>
    <w:rsid w:val="00F72F6C"/>
    <w:rsid w:val="00F734FC"/>
    <w:rsid w:val="00F77793"/>
    <w:rsid w:val="00F84C3B"/>
    <w:rsid w:val="00F85A80"/>
    <w:rsid w:val="00F85F3A"/>
    <w:rsid w:val="00F86A0D"/>
    <w:rsid w:val="00F909AA"/>
    <w:rsid w:val="00F93F80"/>
    <w:rsid w:val="00FA0364"/>
    <w:rsid w:val="00FA0EAF"/>
    <w:rsid w:val="00FA49E0"/>
    <w:rsid w:val="00FA5B69"/>
    <w:rsid w:val="00FA5F53"/>
    <w:rsid w:val="00FA671B"/>
    <w:rsid w:val="00FB03AE"/>
    <w:rsid w:val="00FB306B"/>
    <w:rsid w:val="00FB44E4"/>
    <w:rsid w:val="00FC0724"/>
    <w:rsid w:val="00FC24C6"/>
    <w:rsid w:val="00FC3340"/>
    <w:rsid w:val="00FC402A"/>
    <w:rsid w:val="00FC7BF4"/>
    <w:rsid w:val="00FC7DD5"/>
    <w:rsid w:val="00FD3432"/>
    <w:rsid w:val="00FE1FB1"/>
    <w:rsid w:val="00FE5750"/>
    <w:rsid w:val="00FE6BA8"/>
    <w:rsid w:val="00FF152C"/>
    <w:rsid w:val="00FF34A7"/>
    <w:rsid w:val="00FF373D"/>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55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Helvetica"/>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B"/>
  </w:style>
  <w:style w:type="paragraph" w:styleId="Heading1">
    <w:name w:val="heading 1"/>
    <w:basedOn w:val="Normal"/>
    <w:next w:val="Bodytext"/>
    <w:link w:val="Heading1Char"/>
    <w:qFormat/>
    <w:rsid w:val="00953E64"/>
    <w:pPr>
      <w:pageBreakBefore/>
      <w:numPr>
        <w:numId w:val="3"/>
      </w:numPr>
      <w:tabs>
        <w:tab w:val="left" w:pos="567"/>
        <w:tab w:val="left" w:pos="3175"/>
        <w:tab w:val="left" w:pos="4763"/>
      </w:tabs>
      <w:spacing w:after="240" w:line="240" w:lineRule="atLeast"/>
      <w:jc w:val="both"/>
      <w:outlineLvl w:val="0"/>
    </w:pPr>
    <w:rPr>
      <w:rFonts w:eastAsia="Times New Roman" w:cs="Times New Roman"/>
      <w:b/>
      <w:color w:val="C00000"/>
      <w:sz w:val="24"/>
      <w:szCs w:val="24"/>
      <w:lang w:val="en-GB" w:eastAsia="nl-NL"/>
    </w:rPr>
  </w:style>
  <w:style w:type="paragraph" w:styleId="Heading2">
    <w:name w:val="heading 2"/>
    <w:basedOn w:val="Normal"/>
    <w:next w:val="Normal"/>
    <w:link w:val="Heading2Char"/>
    <w:uiPriority w:val="9"/>
    <w:semiHidden/>
    <w:unhideWhenUsed/>
    <w:qFormat/>
    <w:rsid w:val="004D3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39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p1,Bullet paras,Main numbered paragraph,Bullets,List Paragraph Char Char Char,List Paragraph2,List Paragraph 1,NUMBERED PARAGRAPH,Akapit z listą BS,References,List Paragraph1,Bullet1"/>
    <w:basedOn w:val="Normal"/>
    <w:link w:val="ListParagraphChar"/>
    <w:uiPriority w:val="34"/>
    <w:qFormat/>
    <w:rsid w:val="00701226"/>
    <w:pPr>
      <w:ind w:left="720"/>
      <w:contextualSpacing/>
    </w:pPr>
  </w:style>
  <w:style w:type="paragraph" w:styleId="BalloonText">
    <w:name w:val="Balloon Text"/>
    <w:basedOn w:val="Normal"/>
    <w:link w:val="BalloonTextChar"/>
    <w:uiPriority w:val="99"/>
    <w:semiHidden/>
    <w:unhideWhenUsed/>
    <w:rsid w:val="000C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B03"/>
    <w:rPr>
      <w:rFonts w:ascii="Lucida Grande" w:hAnsi="Lucida Grande"/>
      <w:sz w:val="18"/>
      <w:szCs w:val="18"/>
    </w:rPr>
  </w:style>
  <w:style w:type="paragraph" w:styleId="TOC1">
    <w:name w:val="toc 1"/>
    <w:basedOn w:val="Normal"/>
    <w:next w:val="Normal"/>
    <w:autoRedefine/>
    <w:uiPriority w:val="39"/>
    <w:rsid w:val="0032254A"/>
    <w:pPr>
      <w:tabs>
        <w:tab w:val="left" w:pos="480"/>
        <w:tab w:val="right" w:leader="dot" w:pos="8647"/>
      </w:tabs>
      <w:spacing w:before="240"/>
    </w:pPr>
    <w:rPr>
      <w:rFonts w:ascii="Times New Roman" w:eastAsia="Times New Roman" w:hAnsi="Times New Roman" w:cs="Times New Roman"/>
      <w:szCs w:val="24"/>
      <w:lang w:eastAsia="en-US"/>
    </w:rPr>
  </w:style>
  <w:style w:type="character" w:styleId="Hyperlink">
    <w:name w:val="Hyperlink"/>
    <w:uiPriority w:val="99"/>
    <w:rsid w:val="0032254A"/>
    <w:rPr>
      <w:rFonts w:cs="Times New Roman"/>
      <w:color w:val="0000FF"/>
      <w:u w:val="single"/>
    </w:rPr>
  </w:style>
  <w:style w:type="paragraph" w:customStyle="1" w:styleId="ParagraphTextNormal">
    <w:name w:val="Paragraph Text Normal"/>
    <w:basedOn w:val="Normal"/>
    <w:uiPriority w:val="99"/>
    <w:rsid w:val="00634088"/>
    <w:pPr>
      <w:spacing w:before="240" w:after="240" w:line="280" w:lineRule="atLeast"/>
      <w:jc w:val="both"/>
    </w:pPr>
    <w:rPr>
      <w:rFonts w:ascii="Garamond" w:eastAsia="Times New Roman" w:hAnsi="Garamond" w:cs="Garamond"/>
      <w:sz w:val="24"/>
      <w:szCs w:val="24"/>
      <w:lang w:eastAsia="en-US"/>
    </w:rPr>
  </w:style>
  <w:style w:type="paragraph" w:customStyle="1" w:styleId="Default">
    <w:name w:val="Default"/>
    <w:rsid w:val="00634088"/>
    <w:pPr>
      <w:widowControl w:val="0"/>
      <w:autoSpaceDE w:val="0"/>
      <w:autoSpaceDN w:val="0"/>
      <w:adjustRightInd w:val="0"/>
    </w:pPr>
    <w:rPr>
      <w:rFonts w:cs="Arial"/>
      <w:color w:val="000000"/>
      <w:sz w:val="24"/>
      <w:szCs w:val="24"/>
    </w:rPr>
  </w:style>
  <w:style w:type="paragraph" w:customStyle="1" w:styleId="Bullet2">
    <w:name w:val="Bullet 2"/>
    <w:basedOn w:val="Normal"/>
    <w:link w:val="Bullet2Char"/>
    <w:qFormat/>
    <w:rsid w:val="00640306"/>
    <w:pPr>
      <w:numPr>
        <w:numId w:val="1"/>
      </w:numPr>
      <w:spacing w:before="60"/>
    </w:pPr>
    <w:rPr>
      <w:rFonts w:ascii="Times New Roman" w:eastAsia="SimSun" w:hAnsi="Times New Roman" w:cs="Times New Roman"/>
      <w:szCs w:val="24"/>
      <w:lang w:val="en-GB" w:eastAsia="zh-CN"/>
    </w:rPr>
  </w:style>
  <w:style w:type="character" w:customStyle="1" w:styleId="Bullet2Char">
    <w:name w:val="Bullet 2 Char"/>
    <w:link w:val="Bullet2"/>
    <w:locked/>
    <w:rsid w:val="00640306"/>
    <w:rPr>
      <w:rFonts w:ascii="Times New Roman" w:eastAsia="SimSun" w:hAnsi="Times New Roman" w:cs="Times New Roman"/>
      <w:szCs w:val="24"/>
      <w:lang w:val="en-GB" w:eastAsia="zh-CN"/>
    </w:rPr>
  </w:style>
  <w:style w:type="paragraph" w:styleId="Footer">
    <w:name w:val="footer"/>
    <w:basedOn w:val="Normal"/>
    <w:link w:val="FooterChar"/>
    <w:uiPriority w:val="99"/>
    <w:unhideWhenUsed/>
    <w:rsid w:val="004861B4"/>
    <w:pPr>
      <w:tabs>
        <w:tab w:val="center" w:pos="4320"/>
        <w:tab w:val="right" w:pos="8640"/>
      </w:tabs>
    </w:pPr>
  </w:style>
  <w:style w:type="character" w:customStyle="1" w:styleId="FooterChar">
    <w:name w:val="Footer Char"/>
    <w:basedOn w:val="DefaultParagraphFont"/>
    <w:link w:val="Footer"/>
    <w:uiPriority w:val="99"/>
    <w:rsid w:val="004861B4"/>
  </w:style>
  <w:style w:type="character" w:styleId="PageNumber">
    <w:name w:val="page number"/>
    <w:basedOn w:val="DefaultParagraphFont"/>
    <w:uiPriority w:val="99"/>
    <w:semiHidden/>
    <w:unhideWhenUsed/>
    <w:rsid w:val="004861B4"/>
  </w:style>
  <w:style w:type="paragraph" w:styleId="Caption">
    <w:name w:val="caption"/>
    <w:basedOn w:val="Normal"/>
    <w:next w:val="Normal"/>
    <w:qFormat/>
    <w:rsid w:val="00ED24FC"/>
    <w:pPr>
      <w:spacing w:after="120"/>
      <w:ind w:left="1021" w:hanging="1021"/>
    </w:pPr>
    <w:rPr>
      <w:rFonts w:ascii="Times New Roman" w:eastAsia="Times New Roman" w:hAnsi="Times New Roman" w:cs="Times New Roman"/>
      <w:b/>
      <w:bCs/>
      <w:u w:val="single"/>
      <w:lang w:eastAsia="en-US"/>
    </w:rPr>
  </w:style>
  <w:style w:type="paragraph" w:styleId="List2">
    <w:name w:val="List 2"/>
    <w:basedOn w:val="Normal"/>
    <w:qFormat/>
    <w:rsid w:val="00ED24FC"/>
    <w:pPr>
      <w:numPr>
        <w:ilvl w:val="1"/>
        <w:numId w:val="2"/>
      </w:numPr>
      <w:spacing w:before="240"/>
      <w:jc w:val="both"/>
    </w:pPr>
    <w:rPr>
      <w:rFonts w:ascii="Times New Roman" w:eastAsia="SimSun" w:hAnsi="Times New Roman" w:cs="Times New Roman"/>
      <w:szCs w:val="24"/>
      <w:lang w:eastAsia="zh-CN"/>
    </w:rPr>
  </w:style>
  <w:style w:type="paragraph" w:customStyle="1" w:styleId="List1">
    <w:name w:val="List 1"/>
    <w:basedOn w:val="Bullet2"/>
    <w:link w:val="List1Char"/>
    <w:qFormat/>
    <w:rsid w:val="00ED24FC"/>
    <w:pPr>
      <w:numPr>
        <w:numId w:val="2"/>
      </w:numPr>
      <w:spacing w:before="240"/>
      <w:jc w:val="both"/>
    </w:pPr>
  </w:style>
  <w:style w:type="paragraph" w:styleId="List3">
    <w:name w:val="List 3"/>
    <w:basedOn w:val="Normal"/>
    <w:qFormat/>
    <w:rsid w:val="00ED24FC"/>
    <w:pPr>
      <w:numPr>
        <w:ilvl w:val="2"/>
        <w:numId w:val="2"/>
      </w:numPr>
      <w:spacing w:before="120"/>
    </w:pPr>
    <w:rPr>
      <w:rFonts w:ascii="Times New Roman" w:eastAsia="Times New Roman" w:hAnsi="Times New Roman" w:cs="Times New Roman"/>
      <w:szCs w:val="24"/>
      <w:lang w:val="en-GB" w:eastAsia="en-US"/>
    </w:rPr>
  </w:style>
  <w:style w:type="character" w:customStyle="1" w:styleId="List1Char">
    <w:name w:val="List 1 Char"/>
    <w:basedOn w:val="Bullet2Char"/>
    <w:link w:val="List1"/>
    <w:locked/>
    <w:rsid w:val="00ED24FC"/>
    <w:rPr>
      <w:rFonts w:ascii="Times New Roman" w:eastAsia="SimSun" w:hAnsi="Times New Roman" w:cs="Times New Roman"/>
      <w:szCs w:val="24"/>
      <w:lang w:val="en-GB" w:eastAsia="zh-CN"/>
    </w:rPr>
  </w:style>
  <w:style w:type="character" w:styleId="CommentReference">
    <w:name w:val="annotation reference"/>
    <w:uiPriority w:val="99"/>
    <w:semiHidden/>
    <w:rsid w:val="007425CA"/>
    <w:rPr>
      <w:rFonts w:cs="Times New Roman"/>
      <w:sz w:val="16"/>
      <w:szCs w:val="16"/>
    </w:rPr>
  </w:style>
  <w:style w:type="paragraph" w:styleId="CommentText">
    <w:name w:val="annotation text"/>
    <w:basedOn w:val="Normal"/>
    <w:link w:val="CommentTextChar"/>
    <w:uiPriority w:val="99"/>
    <w:semiHidden/>
    <w:rsid w:val="007425CA"/>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7425CA"/>
    <w:rPr>
      <w:rFonts w:ascii="Times New Roman" w:eastAsia="Times New Roman" w:hAnsi="Times New Roman" w:cs="Times New Roman"/>
      <w:sz w:val="20"/>
      <w:szCs w:val="20"/>
      <w:lang w:val="en-GB" w:eastAsia="en-US"/>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ußnotentextf"/>
    <w:basedOn w:val="Normal"/>
    <w:link w:val="FootnoteTextChar"/>
    <w:uiPriority w:val="99"/>
    <w:unhideWhenUsed/>
    <w:qFormat/>
    <w:rsid w:val="008E030F"/>
    <w:rPr>
      <w:sz w:val="24"/>
      <w:szCs w:val="24"/>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
    <w:basedOn w:val="DefaultParagraphFont"/>
    <w:link w:val="FootnoteText"/>
    <w:uiPriority w:val="99"/>
    <w:rsid w:val="008E030F"/>
    <w:rPr>
      <w:sz w:val="24"/>
      <w:szCs w:val="24"/>
    </w:rPr>
  </w:style>
  <w:style w:type="character" w:styleId="FootnoteReference">
    <w:name w:val="footnote reference"/>
    <w:aliases w:val="ftref,16 Point,Superscript 6 Point,(NECG) Footnote Reference,Ref,de nota al pie,fr,Footnote Ref in FtNote,BVI fnr,Fußnotenzeichen DISS,SUPERS,footnote ref,Char Char Char Char Car Char,Footnote Reference Number, BVI fnr,Footnote symbol"/>
    <w:basedOn w:val="DefaultParagraphFont"/>
    <w:uiPriority w:val="99"/>
    <w:unhideWhenUsed/>
    <w:rsid w:val="008E030F"/>
    <w:rPr>
      <w:vertAlign w:val="superscript"/>
    </w:rPr>
  </w:style>
  <w:style w:type="paragraph" w:styleId="Header">
    <w:name w:val="header"/>
    <w:basedOn w:val="Normal"/>
    <w:link w:val="HeaderChar"/>
    <w:uiPriority w:val="99"/>
    <w:unhideWhenUsed/>
    <w:rsid w:val="00FF373D"/>
    <w:pPr>
      <w:tabs>
        <w:tab w:val="center" w:pos="4320"/>
        <w:tab w:val="right" w:pos="8640"/>
      </w:tabs>
    </w:pPr>
  </w:style>
  <w:style w:type="character" w:customStyle="1" w:styleId="HeaderChar">
    <w:name w:val="Header Char"/>
    <w:basedOn w:val="DefaultParagraphFont"/>
    <w:link w:val="Header"/>
    <w:uiPriority w:val="99"/>
    <w:rsid w:val="00FF373D"/>
  </w:style>
  <w:style w:type="character" w:customStyle="1" w:styleId="Heading1Char">
    <w:name w:val="Heading 1 Char"/>
    <w:basedOn w:val="DefaultParagraphFont"/>
    <w:link w:val="Heading1"/>
    <w:rsid w:val="00953E64"/>
    <w:rPr>
      <w:rFonts w:eastAsia="Times New Roman" w:cs="Times New Roman"/>
      <w:b/>
      <w:color w:val="C00000"/>
      <w:sz w:val="24"/>
      <w:szCs w:val="24"/>
      <w:lang w:val="en-GB" w:eastAsia="nl-NL"/>
    </w:rPr>
  </w:style>
  <w:style w:type="paragraph" w:customStyle="1" w:styleId="Bodytext">
    <w:name w:val="Bodytext"/>
    <w:basedOn w:val="Normal"/>
    <w:rsid w:val="00953E64"/>
    <w:pPr>
      <w:spacing w:after="120" w:line="240" w:lineRule="atLeast"/>
      <w:jc w:val="both"/>
    </w:pPr>
    <w:rPr>
      <w:rFonts w:eastAsia="Times New Roman" w:cs="Times New Roman"/>
      <w:sz w:val="18"/>
      <w:szCs w:val="18"/>
      <w:lang w:val="en-GB" w:eastAsia="nl-NL"/>
    </w:rPr>
  </w:style>
  <w:style w:type="paragraph" w:styleId="NoSpacing">
    <w:name w:val="No Spacing"/>
    <w:link w:val="NoSpacingChar"/>
    <w:uiPriority w:val="1"/>
    <w:qFormat/>
    <w:rsid w:val="00F20100"/>
    <w:rPr>
      <w:rFonts w:asciiTheme="minorHAnsi" w:hAnsiTheme="minorHAnsi" w:cstheme="minorBidi"/>
      <w:lang w:eastAsia="en-US"/>
    </w:rPr>
  </w:style>
  <w:style w:type="table" w:styleId="TableGrid">
    <w:name w:val="Table Grid"/>
    <w:basedOn w:val="TableNormal"/>
    <w:uiPriority w:val="59"/>
    <w:rsid w:val="00437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2E5F"/>
    <w:pPr>
      <w:spacing w:before="100" w:beforeAutospacing="1" w:after="100" w:afterAutospacing="1"/>
    </w:pPr>
    <w:rPr>
      <w:rFonts w:ascii="Times New Roman" w:hAnsi="Times New Roman" w:cs="Times New Roman"/>
      <w:sz w:val="24"/>
      <w:szCs w:val="24"/>
      <w:lang w:eastAsia="en-US"/>
    </w:rPr>
  </w:style>
  <w:style w:type="paragraph" w:customStyle="1" w:styleId="ParagraphNumbering">
    <w:name w:val="Paragraph Numbering"/>
    <w:basedOn w:val="Normal"/>
    <w:link w:val="ParagraphNumberingChar"/>
    <w:qFormat/>
    <w:rsid w:val="00CE3F2C"/>
    <w:pPr>
      <w:numPr>
        <w:numId w:val="5"/>
      </w:numPr>
      <w:spacing w:after="240" w:line="264" w:lineRule="auto"/>
    </w:pPr>
    <w:rPr>
      <w:rFonts w:ascii="Times New Roman" w:eastAsia="SimSun" w:hAnsi="Times New Roman" w:cs="Times New Roman"/>
      <w:sz w:val="24"/>
      <w:szCs w:val="24"/>
      <w:lang w:eastAsia="en-US"/>
    </w:rPr>
  </w:style>
  <w:style w:type="character" w:customStyle="1" w:styleId="ParagraphNumberingChar">
    <w:name w:val="Paragraph Numbering Char"/>
    <w:basedOn w:val="DefaultParagraphFont"/>
    <w:link w:val="ParagraphNumbering"/>
    <w:locked/>
    <w:rsid w:val="00CE3F2C"/>
    <w:rPr>
      <w:rFonts w:ascii="Times New Roman" w:eastAsia="SimSun" w:hAnsi="Times New Roman" w:cs="Times New Roman"/>
      <w:sz w:val="24"/>
      <w:szCs w:val="24"/>
      <w:lang w:eastAsia="en-US"/>
    </w:rPr>
  </w:style>
  <w:style w:type="paragraph" w:customStyle="1" w:styleId="Bulletstab">
    <w:name w:val="Bullets tab"/>
    <w:basedOn w:val="Normal"/>
    <w:uiPriority w:val="99"/>
    <w:rsid w:val="00C70B42"/>
    <w:pPr>
      <w:widowControl w:val="0"/>
      <w:numPr>
        <w:ilvl w:val="1"/>
        <w:numId w:val="6"/>
      </w:numPr>
      <w:spacing w:after="120"/>
      <w:jc w:val="both"/>
    </w:pPr>
    <w:rPr>
      <w:rFonts w:eastAsia="Times New Roman" w:cs="Arial"/>
      <w:bCs/>
      <w:lang w:eastAsia="en-US"/>
    </w:rPr>
  </w:style>
  <w:style w:type="paragraph" w:styleId="ListBullet">
    <w:name w:val="List Bullet"/>
    <w:basedOn w:val="Normal"/>
    <w:uiPriority w:val="99"/>
    <w:qFormat/>
    <w:rsid w:val="00BF58FC"/>
    <w:pPr>
      <w:numPr>
        <w:numId w:val="7"/>
      </w:numPr>
      <w:spacing w:after="240" w:line="264" w:lineRule="auto"/>
    </w:pPr>
    <w:rPr>
      <w:rFonts w:ascii="Times New Roman" w:eastAsia="Times New Roman" w:hAnsi="Times New Roman" w:cs="Times New Roman"/>
      <w:sz w:val="24"/>
      <w:szCs w:val="24"/>
      <w:lang w:eastAsia="en-US"/>
    </w:rPr>
  </w:style>
  <w:style w:type="character" w:customStyle="1" w:styleId="ListParagraphChar">
    <w:name w:val="List Paragraph Char"/>
    <w:aliases w:val="List Paragraph (numbered (a)) Char,Use Case List Paragraph Char,lp1 Char,Bullet paras Char,Main numbered paragraph Char,Bullets Char,List Paragraph Char Char Char Char,List Paragraph2 Char,List Paragraph 1 Char,Akapit z listą BS Char"/>
    <w:basedOn w:val="DefaultParagraphFont"/>
    <w:link w:val="ListParagraph"/>
    <w:uiPriority w:val="34"/>
    <w:rsid w:val="00D038A0"/>
  </w:style>
  <w:style w:type="character" w:customStyle="1" w:styleId="apple-converted-space">
    <w:name w:val="apple-converted-space"/>
    <w:basedOn w:val="DefaultParagraphFont"/>
    <w:rsid w:val="002279ED"/>
  </w:style>
  <w:style w:type="character" w:styleId="Strong">
    <w:name w:val="Strong"/>
    <w:basedOn w:val="DefaultParagraphFont"/>
    <w:uiPriority w:val="22"/>
    <w:qFormat/>
    <w:rsid w:val="002279ED"/>
    <w:rPr>
      <w:b/>
      <w:bCs/>
    </w:rPr>
  </w:style>
  <w:style w:type="character" w:customStyle="1" w:styleId="NoSpacingChar">
    <w:name w:val="No Spacing Char"/>
    <w:basedOn w:val="DefaultParagraphFont"/>
    <w:link w:val="NoSpacing"/>
    <w:uiPriority w:val="1"/>
    <w:rsid w:val="0071695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545C3"/>
    <w:rPr>
      <w:rFonts w:ascii="Arial" w:eastAsiaTheme="minorEastAsia" w:hAnsi="Arial" w:cs="Helvetica"/>
      <w:b/>
      <w:bCs/>
      <w:lang w:val="en-US" w:eastAsia="ja-JP"/>
    </w:rPr>
  </w:style>
  <w:style w:type="character" w:customStyle="1" w:styleId="CommentSubjectChar">
    <w:name w:val="Comment Subject Char"/>
    <w:basedOn w:val="CommentTextChar"/>
    <w:link w:val="CommentSubject"/>
    <w:uiPriority w:val="99"/>
    <w:semiHidden/>
    <w:rsid w:val="009545C3"/>
    <w:rPr>
      <w:rFonts w:ascii="Times New Roman" w:eastAsia="Times New Roman" w:hAnsi="Times New Roman" w:cs="Times New Roman"/>
      <w:b/>
      <w:bCs/>
      <w:sz w:val="20"/>
      <w:szCs w:val="20"/>
      <w:lang w:val="en-GB" w:eastAsia="en-US"/>
    </w:rPr>
  </w:style>
  <w:style w:type="paragraph" w:styleId="BodyText0">
    <w:name w:val="Body Text"/>
    <w:basedOn w:val="Normal"/>
    <w:link w:val="BodyTextChar"/>
    <w:rsid w:val="009545C3"/>
    <w:pPr>
      <w:suppressAutoHyphens/>
      <w:jc w:val="both"/>
    </w:pPr>
    <w:rPr>
      <w:rFonts w:eastAsia="Times New Roman" w:cs="Times New Roman"/>
      <w:i/>
      <w:szCs w:val="20"/>
      <w:lang w:val="en-GB" w:eastAsia="ar-SA"/>
    </w:rPr>
  </w:style>
  <w:style w:type="character" w:customStyle="1" w:styleId="BodyTextChar">
    <w:name w:val="Body Text Char"/>
    <w:basedOn w:val="DefaultParagraphFont"/>
    <w:link w:val="BodyText0"/>
    <w:rsid w:val="009545C3"/>
    <w:rPr>
      <w:rFonts w:eastAsia="Times New Roman" w:cs="Times New Roman"/>
      <w:i/>
      <w:szCs w:val="20"/>
      <w:lang w:val="en-GB" w:eastAsia="ar-SA"/>
    </w:rPr>
  </w:style>
  <w:style w:type="paragraph" w:customStyle="1" w:styleId="mechtex">
    <w:name w:val="mechtex"/>
    <w:basedOn w:val="Normal"/>
    <w:link w:val="mechtexChar"/>
    <w:rsid w:val="009545C3"/>
    <w:pPr>
      <w:jc w:val="center"/>
    </w:pPr>
    <w:rPr>
      <w:rFonts w:ascii="Arial Armenian" w:eastAsia="Times New Roman" w:hAnsi="Arial Armenian" w:cs="Times New Roman"/>
      <w:szCs w:val="20"/>
      <w:lang w:eastAsia="ru-RU"/>
    </w:rPr>
  </w:style>
  <w:style w:type="character" w:customStyle="1" w:styleId="mechtexChar">
    <w:name w:val="mechtex Char"/>
    <w:link w:val="mechtex"/>
    <w:rsid w:val="009545C3"/>
    <w:rPr>
      <w:rFonts w:ascii="Arial Armenian" w:eastAsia="Times New Roman" w:hAnsi="Arial Armenian" w:cs="Times New Roman"/>
      <w:szCs w:val="20"/>
      <w:lang w:eastAsia="ru-RU"/>
    </w:rPr>
  </w:style>
  <w:style w:type="paragraph" w:customStyle="1" w:styleId="Topic1">
    <w:name w:val="Topic_1"/>
    <w:basedOn w:val="ListParagraph"/>
    <w:qFormat/>
    <w:rsid w:val="00466D0E"/>
    <w:pPr>
      <w:numPr>
        <w:numId w:val="4"/>
      </w:numPr>
      <w:jc w:val="center"/>
    </w:pPr>
    <w:rPr>
      <w:rFonts w:cs="Arial"/>
      <w:b/>
      <w:sz w:val="24"/>
    </w:rPr>
  </w:style>
  <w:style w:type="paragraph" w:customStyle="1" w:styleId="Topic2">
    <w:name w:val="Topic_2"/>
    <w:basedOn w:val="Topic1"/>
    <w:qFormat/>
    <w:rsid w:val="00466D0E"/>
    <w:pPr>
      <w:numPr>
        <w:numId w:val="8"/>
      </w:numPr>
      <w:ind w:left="0" w:firstLine="0"/>
      <w:jc w:val="left"/>
    </w:pPr>
    <w:rPr>
      <w:sz w:val="22"/>
    </w:rPr>
  </w:style>
  <w:style w:type="paragraph" w:customStyle="1" w:styleId="Topic3">
    <w:name w:val="Topic_3"/>
    <w:basedOn w:val="Normal"/>
    <w:qFormat/>
    <w:rsid w:val="00466D0E"/>
    <w:rPr>
      <w:rFonts w:cs="Arial"/>
      <w:b/>
      <w:color w:val="000000" w:themeColor="text1"/>
    </w:rPr>
  </w:style>
  <w:style w:type="paragraph" w:customStyle="1" w:styleId="Appendix">
    <w:name w:val="Appendix"/>
    <w:basedOn w:val="Normal"/>
    <w:qFormat/>
    <w:rsid w:val="007A5BBD"/>
    <w:pPr>
      <w:jc w:val="center"/>
    </w:pPr>
    <w:rPr>
      <w:rFonts w:cs="Arial"/>
      <w:sz w:val="24"/>
      <w:u w:val="single"/>
    </w:rPr>
  </w:style>
  <w:style w:type="character" w:customStyle="1" w:styleId="Heading2Char">
    <w:name w:val="Heading 2 Char"/>
    <w:basedOn w:val="DefaultParagraphFont"/>
    <w:link w:val="Heading2"/>
    <w:uiPriority w:val="9"/>
    <w:semiHidden/>
    <w:rsid w:val="004D3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394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D3946"/>
    <w:pPr>
      <w:spacing w:after="100"/>
      <w:ind w:left="220"/>
    </w:pPr>
  </w:style>
  <w:style w:type="paragraph" w:styleId="TOC3">
    <w:name w:val="toc 3"/>
    <w:basedOn w:val="Normal"/>
    <w:next w:val="Normal"/>
    <w:autoRedefine/>
    <w:uiPriority w:val="39"/>
    <w:unhideWhenUsed/>
    <w:rsid w:val="004D3946"/>
    <w:pPr>
      <w:spacing w:after="100"/>
      <w:ind w:left="440"/>
    </w:pPr>
  </w:style>
  <w:style w:type="paragraph" w:styleId="TableofFigures">
    <w:name w:val="table of figures"/>
    <w:basedOn w:val="Normal"/>
    <w:next w:val="Normal"/>
    <w:uiPriority w:val="99"/>
    <w:unhideWhenUsed/>
    <w:rsid w:val="00422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Helvetica"/>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B"/>
  </w:style>
  <w:style w:type="paragraph" w:styleId="Heading1">
    <w:name w:val="heading 1"/>
    <w:basedOn w:val="Normal"/>
    <w:next w:val="Bodytext"/>
    <w:link w:val="Heading1Char"/>
    <w:qFormat/>
    <w:rsid w:val="00953E64"/>
    <w:pPr>
      <w:pageBreakBefore/>
      <w:numPr>
        <w:numId w:val="3"/>
      </w:numPr>
      <w:tabs>
        <w:tab w:val="left" w:pos="567"/>
        <w:tab w:val="left" w:pos="3175"/>
        <w:tab w:val="left" w:pos="4763"/>
      </w:tabs>
      <w:spacing w:after="240" w:line="240" w:lineRule="atLeast"/>
      <w:jc w:val="both"/>
      <w:outlineLvl w:val="0"/>
    </w:pPr>
    <w:rPr>
      <w:rFonts w:eastAsia="Times New Roman" w:cs="Times New Roman"/>
      <w:b/>
      <w:color w:val="C00000"/>
      <w:sz w:val="24"/>
      <w:szCs w:val="24"/>
      <w:lang w:val="en-GB" w:eastAsia="nl-NL"/>
    </w:rPr>
  </w:style>
  <w:style w:type="paragraph" w:styleId="Heading2">
    <w:name w:val="heading 2"/>
    <w:basedOn w:val="Normal"/>
    <w:next w:val="Normal"/>
    <w:link w:val="Heading2Char"/>
    <w:uiPriority w:val="9"/>
    <w:semiHidden/>
    <w:unhideWhenUsed/>
    <w:qFormat/>
    <w:rsid w:val="004D3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39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p1,Bullet paras,Main numbered paragraph,Bullets,List Paragraph Char Char Char,List Paragraph2,List Paragraph 1,NUMBERED PARAGRAPH,Akapit z listą BS,References,List Paragraph1,Bullet1"/>
    <w:basedOn w:val="Normal"/>
    <w:link w:val="ListParagraphChar"/>
    <w:uiPriority w:val="34"/>
    <w:qFormat/>
    <w:rsid w:val="00701226"/>
    <w:pPr>
      <w:ind w:left="720"/>
      <w:contextualSpacing/>
    </w:pPr>
  </w:style>
  <w:style w:type="paragraph" w:styleId="BalloonText">
    <w:name w:val="Balloon Text"/>
    <w:basedOn w:val="Normal"/>
    <w:link w:val="BalloonTextChar"/>
    <w:uiPriority w:val="99"/>
    <w:semiHidden/>
    <w:unhideWhenUsed/>
    <w:rsid w:val="000C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B03"/>
    <w:rPr>
      <w:rFonts w:ascii="Lucida Grande" w:hAnsi="Lucida Grande"/>
      <w:sz w:val="18"/>
      <w:szCs w:val="18"/>
    </w:rPr>
  </w:style>
  <w:style w:type="paragraph" w:styleId="TOC1">
    <w:name w:val="toc 1"/>
    <w:basedOn w:val="Normal"/>
    <w:next w:val="Normal"/>
    <w:autoRedefine/>
    <w:uiPriority w:val="39"/>
    <w:rsid w:val="0032254A"/>
    <w:pPr>
      <w:tabs>
        <w:tab w:val="left" w:pos="480"/>
        <w:tab w:val="right" w:leader="dot" w:pos="8647"/>
      </w:tabs>
      <w:spacing w:before="240"/>
    </w:pPr>
    <w:rPr>
      <w:rFonts w:ascii="Times New Roman" w:eastAsia="Times New Roman" w:hAnsi="Times New Roman" w:cs="Times New Roman"/>
      <w:szCs w:val="24"/>
      <w:lang w:eastAsia="en-US"/>
    </w:rPr>
  </w:style>
  <w:style w:type="character" w:styleId="Hyperlink">
    <w:name w:val="Hyperlink"/>
    <w:uiPriority w:val="99"/>
    <w:rsid w:val="0032254A"/>
    <w:rPr>
      <w:rFonts w:cs="Times New Roman"/>
      <w:color w:val="0000FF"/>
      <w:u w:val="single"/>
    </w:rPr>
  </w:style>
  <w:style w:type="paragraph" w:customStyle="1" w:styleId="ParagraphTextNormal">
    <w:name w:val="Paragraph Text Normal"/>
    <w:basedOn w:val="Normal"/>
    <w:uiPriority w:val="99"/>
    <w:rsid w:val="00634088"/>
    <w:pPr>
      <w:spacing w:before="240" w:after="240" w:line="280" w:lineRule="atLeast"/>
      <w:jc w:val="both"/>
    </w:pPr>
    <w:rPr>
      <w:rFonts w:ascii="Garamond" w:eastAsia="Times New Roman" w:hAnsi="Garamond" w:cs="Garamond"/>
      <w:sz w:val="24"/>
      <w:szCs w:val="24"/>
      <w:lang w:eastAsia="en-US"/>
    </w:rPr>
  </w:style>
  <w:style w:type="paragraph" w:customStyle="1" w:styleId="Default">
    <w:name w:val="Default"/>
    <w:rsid w:val="00634088"/>
    <w:pPr>
      <w:widowControl w:val="0"/>
      <w:autoSpaceDE w:val="0"/>
      <w:autoSpaceDN w:val="0"/>
      <w:adjustRightInd w:val="0"/>
    </w:pPr>
    <w:rPr>
      <w:rFonts w:cs="Arial"/>
      <w:color w:val="000000"/>
      <w:sz w:val="24"/>
      <w:szCs w:val="24"/>
    </w:rPr>
  </w:style>
  <w:style w:type="paragraph" w:customStyle="1" w:styleId="Bullet2">
    <w:name w:val="Bullet 2"/>
    <w:basedOn w:val="Normal"/>
    <w:link w:val="Bullet2Char"/>
    <w:qFormat/>
    <w:rsid w:val="00640306"/>
    <w:pPr>
      <w:numPr>
        <w:numId w:val="1"/>
      </w:numPr>
      <w:spacing w:before="60"/>
    </w:pPr>
    <w:rPr>
      <w:rFonts w:ascii="Times New Roman" w:eastAsia="SimSun" w:hAnsi="Times New Roman" w:cs="Times New Roman"/>
      <w:szCs w:val="24"/>
      <w:lang w:val="en-GB" w:eastAsia="zh-CN"/>
    </w:rPr>
  </w:style>
  <w:style w:type="character" w:customStyle="1" w:styleId="Bullet2Char">
    <w:name w:val="Bullet 2 Char"/>
    <w:link w:val="Bullet2"/>
    <w:locked/>
    <w:rsid w:val="00640306"/>
    <w:rPr>
      <w:rFonts w:ascii="Times New Roman" w:eastAsia="SimSun" w:hAnsi="Times New Roman" w:cs="Times New Roman"/>
      <w:szCs w:val="24"/>
      <w:lang w:val="en-GB" w:eastAsia="zh-CN"/>
    </w:rPr>
  </w:style>
  <w:style w:type="paragraph" w:styleId="Footer">
    <w:name w:val="footer"/>
    <w:basedOn w:val="Normal"/>
    <w:link w:val="FooterChar"/>
    <w:uiPriority w:val="99"/>
    <w:unhideWhenUsed/>
    <w:rsid w:val="004861B4"/>
    <w:pPr>
      <w:tabs>
        <w:tab w:val="center" w:pos="4320"/>
        <w:tab w:val="right" w:pos="8640"/>
      </w:tabs>
    </w:pPr>
  </w:style>
  <w:style w:type="character" w:customStyle="1" w:styleId="FooterChar">
    <w:name w:val="Footer Char"/>
    <w:basedOn w:val="DefaultParagraphFont"/>
    <w:link w:val="Footer"/>
    <w:uiPriority w:val="99"/>
    <w:rsid w:val="004861B4"/>
  </w:style>
  <w:style w:type="character" w:styleId="PageNumber">
    <w:name w:val="page number"/>
    <w:basedOn w:val="DefaultParagraphFont"/>
    <w:uiPriority w:val="99"/>
    <w:semiHidden/>
    <w:unhideWhenUsed/>
    <w:rsid w:val="004861B4"/>
  </w:style>
  <w:style w:type="paragraph" w:styleId="Caption">
    <w:name w:val="caption"/>
    <w:basedOn w:val="Normal"/>
    <w:next w:val="Normal"/>
    <w:qFormat/>
    <w:rsid w:val="00ED24FC"/>
    <w:pPr>
      <w:spacing w:after="120"/>
      <w:ind w:left="1021" w:hanging="1021"/>
    </w:pPr>
    <w:rPr>
      <w:rFonts w:ascii="Times New Roman" w:eastAsia="Times New Roman" w:hAnsi="Times New Roman" w:cs="Times New Roman"/>
      <w:b/>
      <w:bCs/>
      <w:u w:val="single"/>
      <w:lang w:eastAsia="en-US"/>
    </w:rPr>
  </w:style>
  <w:style w:type="paragraph" w:styleId="List2">
    <w:name w:val="List 2"/>
    <w:basedOn w:val="Normal"/>
    <w:qFormat/>
    <w:rsid w:val="00ED24FC"/>
    <w:pPr>
      <w:numPr>
        <w:ilvl w:val="1"/>
        <w:numId w:val="2"/>
      </w:numPr>
      <w:spacing w:before="240"/>
      <w:jc w:val="both"/>
    </w:pPr>
    <w:rPr>
      <w:rFonts w:ascii="Times New Roman" w:eastAsia="SimSun" w:hAnsi="Times New Roman" w:cs="Times New Roman"/>
      <w:szCs w:val="24"/>
      <w:lang w:eastAsia="zh-CN"/>
    </w:rPr>
  </w:style>
  <w:style w:type="paragraph" w:customStyle="1" w:styleId="List1">
    <w:name w:val="List 1"/>
    <w:basedOn w:val="Bullet2"/>
    <w:link w:val="List1Char"/>
    <w:qFormat/>
    <w:rsid w:val="00ED24FC"/>
    <w:pPr>
      <w:numPr>
        <w:numId w:val="2"/>
      </w:numPr>
      <w:spacing w:before="240"/>
      <w:jc w:val="both"/>
    </w:pPr>
  </w:style>
  <w:style w:type="paragraph" w:styleId="List3">
    <w:name w:val="List 3"/>
    <w:basedOn w:val="Normal"/>
    <w:qFormat/>
    <w:rsid w:val="00ED24FC"/>
    <w:pPr>
      <w:numPr>
        <w:ilvl w:val="2"/>
        <w:numId w:val="2"/>
      </w:numPr>
      <w:spacing w:before="120"/>
    </w:pPr>
    <w:rPr>
      <w:rFonts w:ascii="Times New Roman" w:eastAsia="Times New Roman" w:hAnsi="Times New Roman" w:cs="Times New Roman"/>
      <w:szCs w:val="24"/>
      <w:lang w:val="en-GB" w:eastAsia="en-US"/>
    </w:rPr>
  </w:style>
  <w:style w:type="character" w:customStyle="1" w:styleId="List1Char">
    <w:name w:val="List 1 Char"/>
    <w:basedOn w:val="Bullet2Char"/>
    <w:link w:val="List1"/>
    <w:locked/>
    <w:rsid w:val="00ED24FC"/>
    <w:rPr>
      <w:rFonts w:ascii="Times New Roman" w:eastAsia="SimSun" w:hAnsi="Times New Roman" w:cs="Times New Roman"/>
      <w:szCs w:val="24"/>
      <w:lang w:val="en-GB" w:eastAsia="zh-CN"/>
    </w:rPr>
  </w:style>
  <w:style w:type="character" w:styleId="CommentReference">
    <w:name w:val="annotation reference"/>
    <w:uiPriority w:val="99"/>
    <w:semiHidden/>
    <w:rsid w:val="007425CA"/>
    <w:rPr>
      <w:rFonts w:cs="Times New Roman"/>
      <w:sz w:val="16"/>
      <w:szCs w:val="16"/>
    </w:rPr>
  </w:style>
  <w:style w:type="paragraph" w:styleId="CommentText">
    <w:name w:val="annotation text"/>
    <w:basedOn w:val="Normal"/>
    <w:link w:val="CommentTextChar"/>
    <w:uiPriority w:val="99"/>
    <w:semiHidden/>
    <w:rsid w:val="007425CA"/>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7425CA"/>
    <w:rPr>
      <w:rFonts w:ascii="Times New Roman" w:eastAsia="Times New Roman" w:hAnsi="Times New Roman" w:cs="Times New Roman"/>
      <w:sz w:val="20"/>
      <w:szCs w:val="20"/>
      <w:lang w:val="en-GB" w:eastAsia="en-US"/>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ußnotentextf"/>
    <w:basedOn w:val="Normal"/>
    <w:link w:val="FootnoteTextChar"/>
    <w:uiPriority w:val="99"/>
    <w:unhideWhenUsed/>
    <w:qFormat/>
    <w:rsid w:val="008E030F"/>
    <w:rPr>
      <w:sz w:val="24"/>
      <w:szCs w:val="24"/>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
    <w:basedOn w:val="DefaultParagraphFont"/>
    <w:link w:val="FootnoteText"/>
    <w:uiPriority w:val="99"/>
    <w:rsid w:val="008E030F"/>
    <w:rPr>
      <w:sz w:val="24"/>
      <w:szCs w:val="24"/>
    </w:rPr>
  </w:style>
  <w:style w:type="character" w:styleId="FootnoteReference">
    <w:name w:val="footnote reference"/>
    <w:aliases w:val="ftref,16 Point,Superscript 6 Point,(NECG) Footnote Reference,Ref,de nota al pie,fr,Footnote Ref in FtNote,BVI fnr,Fußnotenzeichen DISS,SUPERS,footnote ref,Char Char Char Char Car Char,Footnote Reference Number, BVI fnr,Footnote symbol"/>
    <w:basedOn w:val="DefaultParagraphFont"/>
    <w:uiPriority w:val="99"/>
    <w:unhideWhenUsed/>
    <w:rsid w:val="008E030F"/>
    <w:rPr>
      <w:vertAlign w:val="superscript"/>
    </w:rPr>
  </w:style>
  <w:style w:type="paragraph" w:styleId="Header">
    <w:name w:val="header"/>
    <w:basedOn w:val="Normal"/>
    <w:link w:val="HeaderChar"/>
    <w:uiPriority w:val="99"/>
    <w:unhideWhenUsed/>
    <w:rsid w:val="00FF373D"/>
    <w:pPr>
      <w:tabs>
        <w:tab w:val="center" w:pos="4320"/>
        <w:tab w:val="right" w:pos="8640"/>
      </w:tabs>
    </w:pPr>
  </w:style>
  <w:style w:type="character" w:customStyle="1" w:styleId="HeaderChar">
    <w:name w:val="Header Char"/>
    <w:basedOn w:val="DefaultParagraphFont"/>
    <w:link w:val="Header"/>
    <w:uiPriority w:val="99"/>
    <w:rsid w:val="00FF373D"/>
  </w:style>
  <w:style w:type="character" w:customStyle="1" w:styleId="Heading1Char">
    <w:name w:val="Heading 1 Char"/>
    <w:basedOn w:val="DefaultParagraphFont"/>
    <w:link w:val="Heading1"/>
    <w:rsid w:val="00953E64"/>
    <w:rPr>
      <w:rFonts w:eastAsia="Times New Roman" w:cs="Times New Roman"/>
      <w:b/>
      <w:color w:val="C00000"/>
      <w:sz w:val="24"/>
      <w:szCs w:val="24"/>
      <w:lang w:val="en-GB" w:eastAsia="nl-NL"/>
    </w:rPr>
  </w:style>
  <w:style w:type="paragraph" w:customStyle="1" w:styleId="Bodytext">
    <w:name w:val="Bodytext"/>
    <w:basedOn w:val="Normal"/>
    <w:rsid w:val="00953E64"/>
    <w:pPr>
      <w:spacing w:after="120" w:line="240" w:lineRule="atLeast"/>
      <w:jc w:val="both"/>
    </w:pPr>
    <w:rPr>
      <w:rFonts w:eastAsia="Times New Roman" w:cs="Times New Roman"/>
      <w:sz w:val="18"/>
      <w:szCs w:val="18"/>
      <w:lang w:val="en-GB" w:eastAsia="nl-NL"/>
    </w:rPr>
  </w:style>
  <w:style w:type="paragraph" w:styleId="NoSpacing">
    <w:name w:val="No Spacing"/>
    <w:link w:val="NoSpacingChar"/>
    <w:uiPriority w:val="1"/>
    <w:qFormat/>
    <w:rsid w:val="00F20100"/>
    <w:rPr>
      <w:rFonts w:asciiTheme="minorHAnsi" w:hAnsiTheme="minorHAnsi" w:cstheme="minorBidi"/>
      <w:lang w:eastAsia="en-US"/>
    </w:rPr>
  </w:style>
  <w:style w:type="table" w:styleId="TableGrid">
    <w:name w:val="Table Grid"/>
    <w:basedOn w:val="TableNormal"/>
    <w:uiPriority w:val="59"/>
    <w:rsid w:val="00437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2E5F"/>
    <w:pPr>
      <w:spacing w:before="100" w:beforeAutospacing="1" w:after="100" w:afterAutospacing="1"/>
    </w:pPr>
    <w:rPr>
      <w:rFonts w:ascii="Times New Roman" w:hAnsi="Times New Roman" w:cs="Times New Roman"/>
      <w:sz w:val="24"/>
      <w:szCs w:val="24"/>
      <w:lang w:eastAsia="en-US"/>
    </w:rPr>
  </w:style>
  <w:style w:type="paragraph" w:customStyle="1" w:styleId="ParagraphNumbering">
    <w:name w:val="Paragraph Numbering"/>
    <w:basedOn w:val="Normal"/>
    <w:link w:val="ParagraphNumberingChar"/>
    <w:qFormat/>
    <w:rsid w:val="00CE3F2C"/>
    <w:pPr>
      <w:numPr>
        <w:numId w:val="5"/>
      </w:numPr>
      <w:spacing w:after="240" w:line="264" w:lineRule="auto"/>
    </w:pPr>
    <w:rPr>
      <w:rFonts w:ascii="Times New Roman" w:eastAsia="SimSun" w:hAnsi="Times New Roman" w:cs="Times New Roman"/>
      <w:sz w:val="24"/>
      <w:szCs w:val="24"/>
      <w:lang w:eastAsia="en-US"/>
    </w:rPr>
  </w:style>
  <w:style w:type="character" w:customStyle="1" w:styleId="ParagraphNumberingChar">
    <w:name w:val="Paragraph Numbering Char"/>
    <w:basedOn w:val="DefaultParagraphFont"/>
    <w:link w:val="ParagraphNumbering"/>
    <w:locked/>
    <w:rsid w:val="00CE3F2C"/>
    <w:rPr>
      <w:rFonts w:ascii="Times New Roman" w:eastAsia="SimSun" w:hAnsi="Times New Roman" w:cs="Times New Roman"/>
      <w:sz w:val="24"/>
      <w:szCs w:val="24"/>
      <w:lang w:eastAsia="en-US"/>
    </w:rPr>
  </w:style>
  <w:style w:type="paragraph" w:customStyle="1" w:styleId="Bulletstab">
    <w:name w:val="Bullets tab"/>
    <w:basedOn w:val="Normal"/>
    <w:uiPriority w:val="99"/>
    <w:rsid w:val="00C70B42"/>
    <w:pPr>
      <w:widowControl w:val="0"/>
      <w:numPr>
        <w:ilvl w:val="1"/>
        <w:numId w:val="6"/>
      </w:numPr>
      <w:spacing w:after="120"/>
      <w:jc w:val="both"/>
    </w:pPr>
    <w:rPr>
      <w:rFonts w:eastAsia="Times New Roman" w:cs="Arial"/>
      <w:bCs/>
      <w:lang w:eastAsia="en-US"/>
    </w:rPr>
  </w:style>
  <w:style w:type="paragraph" w:styleId="ListBullet">
    <w:name w:val="List Bullet"/>
    <w:basedOn w:val="Normal"/>
    <w:uiPriority w:val="99"/>
    <w:qFormat/>
    <w:rsid w:val="00BF58FC"/>
    <w:pPr>
      <w:numPr>
        <w:numId w:val="7"/>
      </w:numPr>
      <w:spacing w:after="240" w:line="264" w:lineRule="auto"/>
    </w:pPr>
    <w:rPr>
      <w:rFonts w:ascii="Times New Roman" w:eastAsia="Times New Roman" w:hAnsi="Times New Roman" w:cs="Times New Roman"/>
      <w:sz w:val="24"/>
      <w:szCs w:val="24"/>
      <w:lang w:eastAsia="en-US"/>
    </w:rPr>
  </w:style>
  <w:style w:type="character" w:customStyle="1" w:styleId="ListParagraphChar">
    <w:name w:val="List Paragraph Char"/>
    <w:aliases w:val="List Paragraph (numbered (a)) Char,Use Case List Paragraph Char,lp1 Char,Bullet paras Char,Main numbered paragraph Char,Bullets Char,List Paragraph Char Char Char Char,List Paragraph2 Char,List Paragraph 1 Char,Akapit z listą BS Char"/>
    <w:basedOn w:val="DefaultParagraphFont"/>
    <w:link w:val="ListParagraph"/>
    <w:uiPriority w:val="34"/>
    <w:rsid w:val="00D038A0"/>
  </w:style>
  <w:style w:type="character" w:customStyle="1" w:styleId="apple-converted-space">
    <w:name w:val="apple-converted-space"/>
    <w:basedOn w:val="DefaultParagraphFont"/>
    <w:rsid w:val="002279ED"/>
  </w:style>
  <w:style w:type="character" w:styleId="Strong">
    <w:name w:val="Strong"/>
    <w:basedOn w:val="DefaultParagraphFont"/>
    <w:uiPriority w:val="22"/>
    <w:qFormat/>
    <w:rsid w:val="002279ED"/>
    <w:rPr>
      <w:b/>
      <w:bCs/>
    </w:rPr>
  </w:style>
  <w:style w:type="character" w:customStyle="1" w:styleId="NoSpacingChar">
    <w:name w:val="No Spacing Char"/>
    <w:basedOn w:val="DefaultParagraphFont"/>
    <w:link w:val="NoSpacing"/>
    <w:uiPriority w:val="1"/>
    <w:rsid w:val="0071695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545C3"/>
    <w:rPr>
      <w:rFonts w:ascii="Arial" w:eastAsiaTheme="minorEastAsia" w:hAnsi="Arial" w:cs="Helvetica"/>
      <w:b/>
      <w:bCs/>
      <w:lang w:val="en-US" w:eastAsia="ja-JP"/>
    </w:rPr>
  </w:style>
  <w:style w:type="character" w:customStyle="1" w:styleId="CommentSubjectChar">
    <w:name w:val="Comment Subject Char"/>
    <w:basedOn w:val="CommentTextChar"/>
    <w:link w:val="CommentSubject"/>
    <w:uiPriority w:val="99"/>
    <w:semiHidden/>
    <w:rsid w:val="009545C3"/>
    <w:rPr>
      <w:rFonts w:ascii="Times New Roman" w:eastAsia="Times New Roman" w:hAnsi="Times New Roman" w:cs="Times New Roman"/>
      <w:b/>
      <w:bCs/>
      <w:sz w:val="20"/>
      <w:szCs w:val="20"/>
      <w:lang w:val="en-GB" w:eastAsia="en-US"/>
    </w:rPr>
  </w:style>
  <w:style w:type="paragraph" w:styleId="BodyText0">
    <w:name w:val="Body Text"/>
    <w:basedOn w:val="Normal"/>
    <w:link w:val="BodyTextChar"/>
    <w:rsid w:val="009545C3"/>
    <w:pPr>
      <w:suppressAutoHyphens/>
      <w:jc w:val="both"/>
    </w:pPr>
    <w:rPr>
      <w:rFonts w:eastAsia="Times New Roman" w:cs="Times New Roman"/>
      <w:i/>
      <w:szCs w:val="20"/>
      <w:lang w:val="en-GB" w:eastAsia="ar-SA"/>
    </w:rPr>
  </w:style>
  <w:style w:type="character" w:customStyle="1" w:styleId="BodyTextChar">
    <w:name w:val="Body Text Char"/>
    <w:basedOn w:val="DefaultParagraphFont"/>
    <w:link w:val="BodyText0"/>
    <w:rsid w:val="009545C3"/>
    <w:rPr>
      <w:rFonts w:eastAsia="Times New Roman" w:cs="Times New Roman"/>
      <w:i/>
      <w:szCs w:val="20"/>
      <w:lang w:val="en-GB" w:eastAsia="ar-SA"/>
    </w:rPr>
  </w:style>
  <w:style w:type="paragraph" w:customStyle="1" w:styleId="mechtex">
    <w:name w:val="mechtex"/>
    <w:basedOn w:val="Normal"/>
    <w:link w:val="mechtexChar"/>
    <w:rsid w:val="009545C3"/>
    <w:pPr>
      <w:jc w:val="center"/>
    </w:pPr>
    <w:rPr>
      <w:rFonts w:ascii="Arial Armenian" w:eastAsia="Times New Roman" w:hAnsi="Arial Armenian" w:cs="Times New Roman"/>
      <w:szCs w:val="20"/>
      <w:lang w:eastAsia="ru-RU"/>
    </w:rPr>
  </w:style>
  <w:style w:type="character" w:customStyle="1" w:styleId="mechtexChar">
    <w:name w:val="mechtex Char"/>
    <w:link w:val="mechtex"/>
    <w:rsid w:val="009545C3"/>
    <w:rPr>
      <w:rFonts w:ascii="Arial Armenian" w:eastAsia="Times New Roman" w:hAnsi="Arial Armenian" w:cs="Times New Roman"/>
      <w:szCs w:val="20"/>
      <w:lang w:eastAsia="ru-RU"/>
    </w:rPr>
  </w:style>
  <w:style w:type="paragraph" w:customStyle="1" w:styleId="Topic1">
    <w:name w:val="Topic_1"/>
    <w:basedOn w:val="ListParagraph"/>
    <w:qFormat/>
    <w:rsid w:val="00466D0E"/>
    <w:pPr>
      <w:numPr>
        <w:numId w:val="4"/>
      </w:numPr>
      <w:jc w:val="center"/>
    </w:pPr>
    <w:rPr>
      <w:rFonts w:cs="Arial"/>
      <w:b/>
      <w:sz w:val="24"/>
    </w:rPr>
  </w:style>
  <w:style w:type="paragraph" w:customStyle="1" w:styleId="Topic2">
    <w:name w:val="Topic_2"/>
    <w:basedOn w:val="Topic1"/>
    <w:qFormat/>
    <w:rsid w:val="00466D0E"/>
    <w:pPr>
      <w:numPr>
        <w:numId w:val="8"/>
      </w:numPr>
      <w:ind w:left="0" w:firstLine="0"/>
      <w:jc w:val="left"/>
    </w:pPr>
    <w:rPr>
      <w:sz w:val="22"/>
    </w:rPr>
  </w:style>
  <w:style w:type="paragraph" w:customStyle="1" w:styleId="Topic3">
    <w:name w:val="Topic_3"/>
    <w:basedOn w:val="Normal"/>
    <w:qFormat/>
    <w:rsid w:val="00466D0E"/>
    <w:rPr>
      <w:rFonts w:cs="Arial"/>
      <w:b/>
      <w:color w:val="000000" w:themeColor="text1"/>
    </w:rPr>
  </w:style>
  <w:style w:type="paragraph" w:customStyle="1" w:styleId="Appendix">
    <w:name w:val="Appendix"/>
    <w:basedOn w:val="Normal"/>
    <w:qFormat/>
    <w:rsid w:val="007A5BBD"/>
    <w:pPr>
      <w:jc w:val="center"/>
    </w:pPr>
    <w:rPr>
      <w:rFonts w:cs="Arial"/>
      <w:sz w:val="24"/>
      <w:u w:val="single"/>
    </w:rPr>
  </w:style>
  <w:style w:type="character" w:customStyle="1" w:styleId="Heading2Char">
    <w:name w:val="Heading 2 Char"/>
    <w:basedOn w:val="DefaultParagraphFont"/>
    <w:link w:val="Heading2"/>
    <w:uiPriority w:val="9"/>
    <w:semiHidden/>
    <w:rsid w:val="004D3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394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D3946"/>
    <w:pPr>
      <w:spacing w:after="100"/>
      <w:ind w:left="220"/>
    </w:pPr>
  </w:style>
  <w:style w:type="paragraph" w:styleId="TOC3">
    <w:name w:val="toc 3"/>
    <w:basedOn w:val="Normal"/>
    <w:next w:val="Normal"/>
    <w:autoRedefine/>
    <w:uiPriority w:val="39"/>
    <w:unhideWhenUsed/>
    <w:rsid w:val="004D3946"/>
    <w:pPr>
      <w:spacing w:after="100"/>
      <w:ind w:left="440"/>
    </w:pPr>
  </w:style>
  <w:style w:type="paragraph" w:styleId="TableofFigures">
    <w:name w:val="table of figures"/>
    <w:basedOn w:val="Normal"/>
    <w:next w:val="Normal"/>
    <w:uiPriority w:val="99"/>
    <w:unhideWhenUsed/>
    <w:rsid w:val="0042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143">
      <w:bodyDiv w:val="1"/>
      <w:marLeft w:val="0"/>
      <w:marRight w:val="0"/>
      <w:marTop w:val="0"/>
      <w:marBottom w:val="0"/>
      <w:divBdr>
        <w:top w:val="none" w:sz="0" w:space="0" w:color="auto"/>
        <w:left w:val="none" w:sz="0" w:space="0" w:color="auto"/>
        <w:bottom w:val="none" w:sz="0" w:space="0" w:color="auto"/>
        <w:right w:val="none" w:sz="0" w:space="0" w:color="auto"/>
      </w:divBdr>
    </w:div>
    <w:div w:id="76295416">
      <w:bodyDiv w:val="1"/>
      <w:marLeft w:val="0"/>
      <w:marRight w:val="0"/>
      <w:marTop w:val="0"/>
      <w:marBottom w:val="0"/>
      <w:divBdr>
        <w:top w:val="none" w:sz="0" w:space="0" w:color="auto"/>
        <w:left w:val="none" w:sz="0" w:space="0" w:color="auto"/>
        <w:bottom w:val="none" w:sz="0" w:space="0" w:color="auto"/>
        <w:right w:val="none" w:sz="0" w:space="0" w:color="auto"/>
      </w:divBdr>
    </w:div>
    <w:div w:id="137496675">
      <w:bodyDiv w:val="1"/>
      <w:marLeft w:val="0"/>
      <w:marRight w:val="0"/>
      <w:marTop w:val="0"/>
      <w:marBottom w:val="0"/>
      <w:divBdr>
        <w:top w:val="none" w:sz="0" w:space="0" w:color="auto"/>
        <w:left w:val="none" w:sz="0" w:space="0" w:color="auto"/>
        <w:bottom w:val="none" w:sz="0" w:space="0" w:color="auto"/>
        <w:right w:val="none" w:sz="0" w:space="0" w:color="auto"/>
      </w:divBdr>
    </w:div>
    <w:div w:id="170725759">
      <w:bodyDiv w:val="1"/>
      <w:marLeft w:val="0"/>
      <w:marRight w:val="0"/>
      <w:marTop w:val="0"/>
      <w:marBottom w:val="0"/>
      <w:divBdr>
        <w:top w:val="none" w:sz="0" w:space="0" w:color="auto"/>
        <w:left w:val="none" w:sz="0" w:space="0" w:color="auto"/>
        <w:bottom w:val="none" w:sz="0" w:space="0" w:color="auto"/>
        <w:right w:val="none" w:sz="0" w:space="0" w:color="auto"/>
      </w:divBdr>
      <w:divsChild>
        <w:div w:id="842013758">
          <w:marLeft w:val="0"/>
          <w:marRight w:val="0"/>
          <w:marTop w:val="0"/>
          <w:marBottom w:val="0"/>
          <w:divBdr>
            <w:top w:val="none" w:sz="0" w:space="0" w:color="auto"/>
            <w:left w:val="none" w:sz="0" w:space="0" w:color="auto"/>
            <w:bottom w:val="none" w:sz="0" w:space="0" w:color="auto"/>
            <w:right w:val="none" w:sz="0" w:space="0" w:color="auto"/>
          </w:divBdr>
          <w:divsChild>
            <w:div w:id="297033185">
              <w:marLeft w:val="0"/>
              <w:marRight w:val="0"/>
              <w:marTop w:val="0"/>
              <w:marBottom w:val="0"/>
              <w:divBdr>
                <w:top w:val="none" w:sz="0" w:space="0" w:color="auto"/>
                <w:left w:val="none" w:sz="0" w:space="0" w:color="auto"/>
                <w:bottom w:val="none" w:sz="0" w:space="0" w:color="auto"/>
                <w:right w:val="none" w:sz="0" w:space="0" w:color="auto"/>
              </w:divBdr>
              <w:divsChild>
                <w:div w:id="483662587">
                  <w:marLeft w:val="0"/>
                  <w:marRight w:val="0"/>
                  <w:marTop w:val="0"/>
                  <w:marBottom w:val="0"/>
                  <w:divBdr>
                    <w:top w:val="none" w:sz="0" w:space="0" w:color="auto"/>
                    <w:left w:val="none" w:sz="0" w:space="0" w:color="auto"/>
                    <w:bottom w:val="none" w:sz="0" w:space="0" w:color="auto"/>
                    <w:right w:val="none" w:sz="0" w:space="0" w:color="auto"/>
                  </w:divBdr>
                  <w:divsChild>
                    <w:div w:id="3339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223">
      <w:bodyDiv w:val="1"/>
      <w:marLeft w:val="0"/>
      <w:marRight w:val="0"/>
      <w:marTop w:val="0"/>
      <w:marBottom w:val="0"/>
      <w:divBdr>
        <w:top w:val="none" w:sz="0" w:space="0" w:color="auto"/>
        <w:left w:val="none" w:sz="0" w:space="0" w:color="auto"/>
        <w:bottom w:val="none" w:sz="0" w:space="0" w:color="auto"/>
        <w:right w:val="none" w:sz="0" w:space="0" w:color="auto"/>
      </w:divBdr>
    </w:div>
    <w:div w:id="202711292">
      <w:bodyDiv w:val="1"/>
      <w:marLeft w:val="0"/>
      <w:marRight w:val="0"/>
      <w:marTop w:val="0"/>
      <w:marBottom w:val="0"/>
      <w:divBdr>
        <w:top w:val="none" w:sz="0" w:space="0" w:color="auto"/>
        <w:left w:val="none" w:sz="0" w:space="0" w:color="auto"/>
        <w:bottom w:val="none" w:sz="0" w:space="0" w:color="auto"/>
        <w:right w:val="none" w:sz="0" w:space="0" w:color="auto"/>
      </w:divBdr>
    </w:div>
    <w:div w:id="210272127">
      <w:bodyDiv w:val="1"/>
      <w:marLeft w:val="0"/>
      <w:marRight w:val="0"/>
      <w:marTop w:val="0"/>
      <w:marBottom w:val="0"/>
      <w:divBdr>
        <w:top w:val="none" w:sz="0" w:space="0" w:color="auto"/>
        <w:left w:val="none" w:sz="0" w:space="0" w:color="auto"/>
        <w:bottom w:val="none" w:sz="0" w:space="0" w:color="auto"/>
        <w:right w:val="none" w:sz="0" w:space="0" w:color="auto"/>
      </w:divBdr>
    </w:div>
    <w:div w:id="237400494">
      <w:bodyDiv w:val="1"/>
      <w:marLeft w:val="0"/>
      <w:marRight w:val="0"/>
      <w:marTop w:val="0"/>
      <w:marBottom w:val="0"/>
      <w:divBdr>
        <w:top w:val="none" w:sz="0" w:space="0" w:color="auto"/>
        <w:left w:val="none" w:sz="0" w:space="0" w:color="auto"/>
        <w:bottom w:val="none" w:sz="0" w:space="0" w:color="auto"/>
        <w:right w:val="none" w:sz="0" w:space="0" w:color="auto"/>
      </w:divBdr>
    </w:div>
    <w:div w:id="270629669">
      <w:bodyDiv w:val="1"/>
      <w:marLeft w:val="0"/>
      <w:marRight w:val="0"/>
      <w:marTop w:val="0"/>
      <w:marBottom w:val="0"/>
      <w:divBdr>
        <w:top w:val="none" w:sz="0" w:space="0" w:color="auto"/>
        <w:left w:val="none" w:sz="0" w:space="0" w:color="auto"/>
        <w:bottom w:val="none" w:sz="0" w:space="0" w:color="auto"/>
        <w:right w:val="none" w:sz="0" w:space="0" w:color="auto"/>
      </w:divBdr>
    </w:div>
    <w:div w:id="273437795">
      <w:bodyDiv w:val="1"/>
      <w:marLeft w:val="0"/>
      <w:marRight w:val="0"/>
      <w:marTop w:val="0"/>
      <w:marBottom w:val="0"/>
      <w:divBdr>
        <w:top w:val="none" w:sz="0" w:space="0" w:color="auto"/>
        <w:left w:val="none" w:sz="0" w:space="0" w:color="auto"/>
        <w:bottom w:val="none" w:sz="0" w:space="0" w:color="auto"/>
        <w:right w:val="none" w:sz="0" w:space="0" w:color="auto"/>
      </w:divBdr>
    </w:div>
    <w:div w:id="343829629">
      <w:bodyDiv w:val="1"/>
      <w:marLeft w:val="0"/>
      <w:marRight w:val="0"/>
      <w:marTop w:val="0"/>
      <w:marBottom w:val="0"/>
      <w:divBdr>
        <w:top w:val="none" w:sz="0" w:space="0" w:color="auto"/>
        <w:left w:val="none" w:sz="0" w:space="0" w:color="auto"/>
        <w:bottom w:val="none" w:sz="0" w:space="0" w:color="auto"/>
        <w:right w:val="none" w:sz="0" w:space="0" w:color="auto"/>
      </w:divBdr>
    </w:div>
    <w:div w:id="351692993">
      <w:bodyDiv w:val="1"/>
      <w:marLeft w:val="0"/>
      <w:marRight w:val="0"/>
      <w:marTop w:val="0"/>
      <w:marBottom w:val="0"/>
      <w:divBdr>
        <w:top w:val="none" w:sz="0" w:space="0" w:color="auto"/>
        <w:left w:val="none" w:sz="0" w:space="0" w:color="auto"/>
        <w:bottom w:val="none" w:sz="0" w:space="0" w:color="auto"/>
        <w:right w:val="none" w:sz="0" w:space="0" w:color="auto"/>
      </w:divBdr>
    </w:div>
    <w:div w:id="356807686">
      <w:bodyDiv w:val="1"/>
      <w:marLeft w:val="0"/>
      <w:marRight w:val="0"/>
      <w:marTop w:val="0"/>
      <w:marBottom w:val="0"/>
      <w:divBdr>
        <w:top w:val="none" w:sz="0" w:space="0" w:color="auto"/>
        <w:left w:val="none" w:sz="0" w:space="0" w:color="auto"/>
        <w:bottom w:val="none" w:sz="0" w:space="0" w:color="auto"/>
        <w:right w:val="none" w:sz="0" w:space="0" w:color="auto"/>
      </w:divBdr>
    </w:div>
    <w:div w:id="406726937">
      <w:bodyDiv w:val="1"/>
      <w:marLeft w:val="0"/>
      <w:marRight w:val="0"/>
      <w:marTop w:val="0"/>
      <w:marBottom w:val="0"/>
      <w:divBdr>
        <w:top w:val="none" w:sz="0" w:space="0" w:color="auto"/>
        <w:left w:val="none" w:sz="0" w:space="0" w:color="auto"/>
        <w:bottom w:val="none" w:sz="0" w:space="0" w:color="auto"/>
        <w:right w:val="none" w:sz="0" w:space="0" w:color="auto"/>
      </w:divBdr>
    </w:div>
    <w:div w:id="770780182">
      <w:bodyDiv w:val="1"/>
      <w:marLeft w:val="0"/>
      <w:marRight w:val="0"/>
      <w:marTop w:val="0"/>
      <w:marBottom w:val="0"/>
      <w:divBdr>
        <w:top w:val="none" w:sz="0" w:space="0" w:color="auto"/>
        <w:left w:val="none" w:sz="0" w:space="0" w:color="auto"/>
        <w:bottom w:val="none" w:sz="0" w:space="0" w:color="auto"/>
        <w:right w:val="none" w:sz="0" w:space="0" w:color="auto"/>
      </w:divBdr>
    </w:div>
    <w:div w:id="887573245">
      <w:bodyDiv w:val="1"/>
      <w:marLeft w:val="0"/>
      <w:marRight w:val="0"/>
      <w:marTop w:val="0"/>
      <w:marBottom w:val="0"/>
      <w:divBdr>
        <w:top w:val="none" w:sz="0" w:space="0" w:color="auto"/>
        <w:left w:val="none" w:sz="0" w:space="0" w:color="auto"/>
        <w:bottom w:val="none" w:sz="0" w:space="0" w:color="auto"/>
        <w:right w:val="none" w:sz="0" w:space="0" w:color="auto"/>
      </w:divBdr>
    </w:div>
    <w:div w:id="960107520">
      <w:bodyDiv w:val="1"/>
      <w:marLeft w:val="0"/>
      <w:marRight w:val="0"/>
      <w:marTop w:val="0"/>
      <w:marBottom w:val="0"/>
      <w:divBdr>
        <w:top w:val="none" w:sz="0" w:space="0" w:color="auto"/>
        <w:left w:val="none" w:sz="0" w:space="0" w:color="auto"/>
        <w:bottom w:val="none" w:sz="0" w:space="0" w:color="auto"/>
        <w:right w:val="none" w:sz="0" w:space="0" w:color="auto"/>
      </w:divBdr>
    </w:div>
    <w:div w:id="977997291">
      <w:bodyDiv w:val="1"/>
      <w:marLeft w:val="0"/>
      <w:marRight w:val="0"/>
      <w:marTop w:val="0"/>
      <w:marBottom w:val="0"/>
      <w:divBdr>
        <w:top w:val="none" w:sz="0" w:space="0" w:color="auto"/>
        <w:left w:val="none" w:sz="0" w:space="0" w:color="auto"/>
        <w:bottom w:val="none" w:sz="0" w:space="0" w:color="auto"/>
        <w:right w:val="none" w:sz="0" w:space="0" w:color="auto"/>
      </w:divBdr>
    </w:div>
    <w:div w:id="993874281">
      <w:bodyDiv w:val="1"/>
      <w:marLeft w:val="0"/>
      <w:marRight w:val="0"/>
      <w:marTop w:val="0"/>
      <w:marBottom w:val="0"/>
      <w:divBdr>
        <w:top w:val="none" w:sz="0" w:space="0" w:color="auto"/>
        <w:left w:val="none" w:sz="0" w:space="0" w:color="auto"/>
        <w:bottom w:val="none" w:sz="0" w:space="0" w:color="auto"/>
        <w:right w:val="none" w:sz="0" w:space="0" w:color="auto"/>
      </w:divBdr>
      <w:divsChild>
        <w:div w:id="951088834">
          <w:marLeft w:val="547"/>
          <w:marRight w:val="0"/>
          <w:marTop w:val="86"/>
          <w:marBottom w:val="0"/>
          <w:divBdr>
            <w:top w:val="none" w:sz="0" w:space="0" w:color="auto"/>
            <w:left w:val="none" w:sz="0" w:space="0" w:color="auto"/>
            <w:bottom w:val="none" w:sz="0" w:space="0" w:color="auto"/>
            <w:right w:val="none" w:sz="0" w:space="0" w:color="auto"/>
          </w:divBdr>
        </w:div>
        <w:div w:id="1236210794">
          <w:marLeft w:val="547"/>
          <w:marRight w:val="0"/>
          <w:marTop w:val="86"/>
          <w:marBottom w:val="0"/>
          <w:divBdr>
            <w:top w:val="none" w:sz="0" w:space="0" w:color="auto"/>
            <w:left w:val="none" w:sz="0" w:space="0" w:color="auto"/>
            <w:bottom w:val="none" w:sz="0" w:space="0" w:color="auto"/>
            <w:right w:val="none" w:sz="0" w:space="0" w:color="auto"/>
          </w:divBdr>
        </w:div>
      </w:divsChild>
    </w:div>
    <w:div w:id="1060981681">
      <w:bodyDiv w:val="1"/>
      <w:marLeft w:val="0"/>
      <w:marRight w:val="0"/>
      <w:marTop w:val="0"/>
      <w:marBottom w:val="0"/>
      <w:divBdr>
        <w:top w:val="none" w:sz="0" w:space="0" w:color="auto"/>
        <w:left w:val="none" w:sz="0" w:space="0" w:color="auto"/>
        <w:bottom w:val="none" w:sz="0" w:space="0" w:color="auto"/>
        <w:right w:val="none" w:sz="0" w:space="0" w:color="auto"/>
      </w:divBdr>
    </w:div>
    <w:div w:id="1075971763">
      <w:bodyDiv w:val="1"/>
      <w:marLeft w:val="0"/>
      <w:marRight w:val="0"/>
      <w:marTop w:val="0"/>
      <w:marBottom w:val="0"/>
      <w:divBdr>
        <w:top w:val="none" w:sz="0" w:space="0" w:color="auto"/>
        <w:left w:val="none" w:sz="0" w:space="0" w:color="auto"/>
        <w:bottom w:val="none" w:sz="0" w:space="0" w:color="auto"/>
        <w:right w:val="none" w:sz="0" w:space="0" w:color="auto"/>
      </w:divBdr>
    </w:div>
    <w:div w:id="1101561013">
      <w:bodyDiv w:val="1"/>
      <w:marLeft w:val="0"/>
      <w:marRight w:val="0"/>
      <w:marTop w:val="0"/>
      <w:marBottom w:val="0"/>
      <w:divBdr>
        <w:top w:val="none" w:sz="0" w:space="0" w:color="auto"/>
        <w:left w:val="none" w:sz="0" w:space="0" w:color="auto"/>
        <w:bottom w:val="none" w:sz="0" w:space="0" w:color="auto"/>
        <w:right w:val="none" w:sz="0" w:space="0" w:color="auto"/>
      </w:divBdr>
    </w:div>
    <w:div w:id="1152407629">
      <w:bodyDiv w:val="1"/>
      <w:marLeft w:val="0"/>
      <w:marRight w:val="0"/>
      <w:marTop w:val="0"/>
      <w:marBottom w:val="0"/>
      <w:divBdr>
        <w:top w:val="none" w:sz="0" w:space="0" w:color="auto"/>
        <w:left w:val="none" w:sz="0" w:space="0" w:color="auto"/>
        <w:bottom w:val="none" w:sz="0" w:space="0" w:color="auto"/>
        <w:right w:val="none" w:sz="0" w:space="0" w:color="auto"/>
      </w:divBdr>
    </w:div>
    <w:div w:id="1153254538">
      <w:bodyDiv w:val="1"/>
      <w:marLeft w:val="0"/>
      <w:marRight w:val="0"/>
      <w:marTop w:val="0"/>
      <w:marBottom w:val="0"/>
      <w:divBdr>
        <w:top w:val="none" w:sz="0" w:space="0" w:color="auto"/>
        <w:left w:val="none" w:sz="0" w:space="0" w:color="auto"/>
        <w:bottom w:val="none" w:sz="0" w:space="0" w:color="auto"/>
        <w:right w:val="none" w:sz="0" w:space="0" w:color="auto"/>
      </w:divBdr>
    </w:div>
    <w:div w:id="1236092152">
      <w:bodyDiv w:val="1"/>
      <w:marLeft w:val="0"/>
      <w:marRight w:val="0"/>
      <w:marTop w:val="0"/>
      <w:marBottom w:val="0"/>
      <w:divBdr>
        <w:top w:val="none" w:sz="0" w:space="0" w:color="auto"/>
        <w:left w:val="none" w:sz="0" w:space="0" w:color="auto"/>
        <w:bottom w:val="none" w:sz="0" w:space="0" w:color="auto"/>
        <w:right w:val="none" w:sz="0" w:space="0" w:color="auto"/>
      </w:divBdr>
    </w:div>
    <w:div w:id="1238130153">
      <w:bodyDiv w:val="1"/>
      <w:marLeft w:val="0"/>
      <w:marRight w:val="0"/>
      <w:marTop w:val="0"/>
      <w:marBottom w:val="0"/>
      <w:divBdr>
        <w:top w:val="none" w:sz="0" w:space="0" w:color="auto"/>
        <w:left w:val="none" w:sz="0" w:space="0" w:color="auto"/>
        <w:bottom w:val="none" w:sz="0" w:space="0" w:color="auto"/>
        <w:right w:val="none" w:sz="0" w:space="0" w:color="auto"/>
      </w:divBdr>
    </w:div>
    <w:div w:id="1257399681">
      <w:bodyDiv w:val="1"/>
      <w:marLeft w:val="0"/>
      <w:marRight w:val="0"/>
      <w:marTop w:val="0"/>
      <w:marBottom w:val="0"/>
      <w:divBdr>
        <w:top w:val="none" w:sz="0" w:space="0" w:color="auto"/>
        <w:left w:val="none" w:sz="0" w:space="0" w:color="auto"/>
        <w:bottom w:val="none" w:sz="0" w:space="0" w:color="auto"/>
        <w:right w:val="none" w:sz="0" w:space="0" w:color="auto"/>
      </w:divBdr>
    </w:div>
    <w:div w:id="1298026974">
      <w:bodyDiv w:val="1"/>
      <w:marLeft w:val="0"/>
      <w:marRight w:val="0"/>
      <w:marTop w:val="0"/>
      <w:marBottom w:val="0"/>
      <w:divBdr>
        <w:top w:val="none" w:sz="0" w:space="0" w:color="auto"/>
        <w:left w:val="none" w:sz="0" w:space="0" w:color="auto"/>
        <w:bottom w:val="none" w:sz="0" w:space="0" w:color="auto"/>
        <w:right w:val="none" w:sz="0" w:space="0" w:color="auto"/>
      </w:divBdr>
    </w:div>
    <w:div w:id="1312489668">
      <w:bodyDiv w:val="1"/>
      <w:marLeft w:val="0"/>
      <w:marRight w:val="0"/>
      <w:marTop w:val="0"/>
      <w:marBottom w:val="0"/>
      <w:divBdr>
        <w:top w:val="none" w:sz="0" w:space="0" w:color="auto"/>
        <w:left w:val="none" w:sz="0" w:space="0" w:color="auto"/>
        <w:bottom w:val="none" w:sz="0" w:space="0" w:color="auto"/>
        <w:right w:val="none" w:sz="0" w:space="0" w:color="auto"/>
      </w:divBdr>
    </w:div>
    <w:div w:id="1324973578">
      <w:bodyDiv w:val="1"/>
      <w:marLeft w:val="0"/>
      <w:marRight w:val="0"/>
      <w:marTop w:val="0"/>
      <w:marBottom w:val="0"/>
      <w:divBdr>
        <w:top w:val="none" w:sz="0" w:space="0" w:color="auto"/>
        <w:left w:val="none" w:sz="0" w:space="0" w:color="auto"/>
        <w:bottom w:val="none" w:sz="0" w:space="0" w:color="auto"/>
        <w:right w:val="none" w:sz="0" w:space="0" w:color="auto"/>
      </w:divBdr>
    </w:div>
    <w:div w:id="1325668792">
      <w:bodyDiv w:val="1"/>
      <w:marLeft w:val="0"/>
      <w:marRight w:val="0"/>
      <w:marTop w:val="0"/>
      <w:marBottom w:val="0"/>
      <w:divBdr>
        <w:top w:val="none" w:sz="0" w:space="0" w:color="auto"/>
        <w:left w:val="none" w:sz="0" w:space="0" w:color="auto"/>
        <w:bottom w:val="none" w:sz="0" w:space="0" w:color="auto"/>
        <w:right w:val="none" w:sz="0" w:space="0" w:color="auto"/>
      </w:divBdr>
    </w:div>
    <w:div w:id="1335647853">
      <w:bodyDiv w:val="1"/>
      <w:marLeft w:val="0"/>
      <w:marRight w:val="0"/>
      <w:marTop w:val="0"/>
      <w:marBottom w:val="0"/>
      <w:divBdr>
        <w:top w:val="none" w:sz="0" w:space="0" w:color="auto"/>
        <w:left w:val="none" w:sz="0" w:space="0" w:color="auto"/>
        <w:bottom w:val="none" w:sz="0" w:space="0" w:color="auto"/>
        <w:right w:val="none" w:sz="0" w:space="0" w:color="auto"/>
      </w:divBdr>
    </w:div>
    <w:div w:id="1385909093">
      <w:bodyDiv w:val="1"/>
      <w:marLeft w:val="0"/>
      <w:marRight w:val="0"/>
      <w:marTop w:val="0"/>
      <w:marBottom w:val="0"/>
      <w:divBdr>
        <w:top w:val="none" w:sz="0" w:space="0" w:color="auto"/>
        <w:left w:val="none" w:sz="0" w:space="0" w:color="auto"/>
        <w:bottom w:val="none" w:sz="0" w:space="0" w:color="auto"/>
        <w:right w:val="none" w:sz="0" w:space="0" w:color="auto"/>
      </w:divBdr>
    </w:div>
    <w:div w:id="1406880772">
      <w:bodyDiv w:val="1"/>
      <w:marLeft w:val="0"/>
      <w:marRight w:val="0"/>
      <w:marTop w:val="0"/>
      <w:marBottom w:val="0"/>
      <w:divBdr>
        <w:top w:val="none" w:sz="0" w:space="0" w:color="auto"/>
        <w:left w:val="none" w:sz="0" w:space="0" w:color="auto"/>
        <w:bottom w:val="none" w:sz="0" w:space="0" w:color="auto"/>
        <w:right w:val="none" w:sz="0" w:space="0" w:color="auto"/>
      </w:divBdr>
    </w:div>
    <w:div w:id="1566332285">
      <w:bodyDiv w:val="1"/>
      <w:marLeft w:val="0"/>
      <w:marRight w:val="0"/>
      <w:marTop w:val="0"/>
      <w:marBottom w:val="0"/>
      <w:divBdr>
        <w:top w:val="none" w:sz="0" w:space="0" w:color="auto"/>
        <w:left w:val="none" w:sz="0" w:space="0" w:color="auto"/>
        <w:bottom w:val="none" w:sz="0" w:space="0" w:color="auto"/>
        <w:right w:val="none" w:sz="0" w:space="0" w:color="auto"/>
      </w:divBdr>
    </w:div>
    <w:div w:id="1594783851">
      <w:bodyDiv w:val="1"/>
      <w:marLeft w:val="0"/>
      <w:marRight w:val="0"/>
      <w:marTop w:val="0"/>
      <w:marBottom w:val="0"/>
      <w:divBdr>
        <w:top w:val="none" w:sz="0" w:space="0" w:color="auto"/>
        <w:left w:val="none" w:sz="0" w:space="0" w:color="auto"/>
        <w:bottom w:val="none" w:sz="0" w:space="0" w:color="auto"/>
        <w:right w:val="none" w:sz="0" w:space="0" w:color="auto"/>
      </w:divBdr>
    </w:div>
    <w:div w:id="1714888678">
      <w:bodyDiv w:val="1"/>
      <w:marLeft w:val="0"/>
      <w:marRight w:val="0"/>
      <w:marTop w:val="0"/>
      <w:marBottom w:val="0"/>
      <w:divBdr>
        <w:top w:val="none" w:sz="0" w:space="0" w:color="auto"/>
        <w:left w:val="none" w:sz="0" w:space="0" w:color="auto"/>
        <w:bottom w:val="none" w:sz="0" w:space="0" w:color="auto"/>
        <w:right w:val="none" w:sz="0" w:space="0" w:color="auto"/>
      </w:divBdr>
    </w:div>
    <w:div w:id="1796941693">
      <w:bodyDiv w:val="1"/>
      <w:marLeft w:val="0"/>
      <w:marRight w:val="0"/>
      <w:marTop w:val="0"/>
      <w:marBottom w:val="0"/>
      <w:divBdr>
        <w:top w:val="none" w:sz="0" w:space="0" w:color="auto"/>
        <w:left w:val="none" w:sz="0" w:space="0" w:color="auto"/>
        <w:bottom w:val="none" w:sz="0" w:space="0" w:color="auto"/>
        <w:right w:val="none" w:sz="0" w:space="0" w:color="auto"/>
      </w:divBdr>
    </w:div>
    <w:div w:id="1849909849">
      <w:bodyDiv w:val="1"/>
      <w:marLeft w:val="0"/>
      <w:marRight w:val="0"/>
      <w:marTop w:val="0"/>
      <w:marBottom w:val="0"/>
      <w:divBdr>
        <w:top w:val="none" w:sz="0" w:space="0" w:color="auto"/>
        <w:left w:val="none" w:sz="0" w:space="0" w:color="auto"/>
        <w:bottom w:val="none" w:sz="0" w:space="0" w:color="auto"/>
        <w:right w:val="none" w:sz="0" w:space="0" w:color="auto"/>
      </w:divBdr>
    </w:div>
    <w:div w:id="1892224769">
      <w:bodyDiv w:val="1"/>
      <w:marLeft w:val="0"/>
      <w:marRight w:val="0"/>
      <w:marTop w:val="0"/>
      <w:marBottom w:val="0"/>
      <w:divBdr>
        <w:top w:val="none" w:sz="0" w:space="0" w:color="auto"/>
        <w:left w:val="none" w:sz="0" w:space="0" w:color="auto"/>
        <w:bottom w:val="none" w:sz="0" w:space="0" w:color="auto"/>
        <w:right w:val="none" w:sz="0" w:space="0" w:color="auto"/>
      </w:divBdr>
    </w:div>
    <w:div w:id="1900090726">
      <w:bodyDiv w:val="1"/>
      <w:marLeft w:val="0"/>
      <w:marRight w:val="0"/>
      <w:marTop w:val="0"/>
      <w:marBottom w:val="0"/>
      <w:divBdr>
        <w:top w:val="none" w:sz="0" w:space="0" w:color="auto"/>
        <w:left w:val="none" w:sz="0" w:space="0" w:color="auto"/>
        <w:bottom w:val="none" w:sz="0" w:space="0" w:color="auto"/>
        <w:right w:val="none" w:sz="0" w:space="0" w:color="auto"/>
      </w:divBdr>
    </w:div>
    <w:div w:id="2027828477">
      <w:bodyDiv w:val="1"/>
      <w:marLeft w:val="0"/>
      <w:marRight w:val="0"/>
      <w:marTop w:val="0"/>
      <w:marBottom w:val="0"/>
      <w:divBdr>
        <w:top w:val="none" w:sz="0" w:space="0" w:color="auto"/>
        <w:left w:val="none" w:sz="0" w:space="0" w:color="auto"/>
        <w:bottom w:val="none" w:sz="0" w:space="0" w:color="auto"/>
        <w:right w:val="none" w:sz="0" w:space="0" w:color="auto"/>
      </w:divBdr>
    </w:div>
    <w:div w:id="2034456805">
      <w:bodyDiv w:val="1"/>
      <w:marLeft w:val="0"/>
      <w:marRight w:val="0"/>
      <w:marTop w:val="0"/>
      <w:marBottom w:val="0"/>
      <w:divBdr>
        <w:top w:val="none" w:sz="0" w:space="0" w:color="auto"/>
        <w:left w:val="none" w:sz="0" w:space="0" w:color="auto"/>
        <w:bottom w:val="none" w:sz="0" w:space="0" w:color="auto"/>
        <w:right w:val="none" w:sz="0" w:space="0" w:color="auto"/>
      </w:divBdr>
    </w:div>
    <w:div w:id="2055036985">
      <w:bodyDiv w:val="1"/>
      <w:marLeft w:val="0"/>
      <w:marRight w:val="0"/>
      <w:marTop w:val="0"/>
      <w:marBottom w:val="0"/>
      <w:divBdr>
        <w:top w:val="none" w:sz="0" w:space="0" w:color="auto"/>
        <w:left w:val="none" w:sz="0" w:space="0" w:color="auto"/>
        <w:bottom w:val="none" w:sz="0" w:space="0" w:color="auto"/>
        <w:right w:val="none" w:sz="0" w:space="0" w:color="auto"/>
      </w:divBdr>
    </w:div>
    <w:div w:id="211000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5EE26D1EBACC44B95F32A7D2CFD290"/>
        <w:category>
          <w:name w:val="General"/>
          <w:gallery w:val="placeholder"/>
        </w:category>
        <w:types>
          <w:type w:val="bbPlcHdr"/>
        </w:types>
        <w:behaviors>
          <w:behavior w:val="content"/>
        </w:behaviors>
        <w:guid w:val="{07527325-AD7F-794E-AA67-AE39074E2452}"/>
      </w:docPartPr>
      <w:docPartBody>
        <w:p w:rsidR="00B743E4" w:rsidRDefault="00045B5F" w:rsidP="00045B5F">
          <w:pPr>
            <w:pStyle w:val="CD5EE26D1EBACC44B95F32A7D2CFD290"/>
          </w:pPr>
          <w:r>
            <w:t>[Type text]</w:t>
          </w:r>
        </w:p>
      </w:docPartBody>
    </w:docPart>
    <w:docPart>
      <w:docPartPr>
        <w:name w:val="A38F1BD93F30A24B9099E78FBDD6E6E6"/>
        <w:category>
          <w:name w:val="General"/>
          <w:gallery w:val="placeholder"/>
        </w:category>
        <w:types>
          <w:type w:val="bbPlcHdr"/>
        </w:types>
        <w:behaviors>
          <w:behavior w:val="content"/>
        </w:behaviors>
        <w:guid w:val="{987EB92F-B1FD-A445-AD13-03ACBE100CD7}"/>
      </w:docPartPr>
      <w:docPartBody>
        <w:p w:rsidR="00B743E4" w:rsidRDefault="00045B5F" w:rsidP="00045B5F">
          <w:pPr>
            <w:pStyle w:val="A38F1BD93F30A24B9099E78FBDD6E6E6"/>
          </w:pPr>
          <w:r>
            <w:t>[Type text]</w:t>
          </w:r>
        </w:p>
      </w:docPartBody>
    </w:docPart>
    <w:docPart>
      <w:docPartPr>
        <w:name w:val="9ABCFA5F3895C240990767A0E816E62C"/>
        <w:category>
          <w:name w:val="General"/>
          <w:gallery w:val="placeholder"/>
        </w:category>
        <w:types>
          <w:type w:val="bbPlcHdr"/>
        </w:types>
        <w:behaviors>
          <w:behavior w:val="content"/>
        </w:behaviors>
        <w:guid w:val="{9E8B2BFD-D6A7-2443-8167-850215933E9B}"/>
      </w:docPartPr>
      <w:docPartBody>
        <w:p w:rsidR="00B743E4" w:rsidRDefault="00045B5F" w:rsidP="00045B5F">
          <w:pPr>
            <w:pStyle w:val="9ABCFA5F3895C240990767A0E816E6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5F"/>
    <w:rsid w:val="00003D36"/>
    <w:rsid w:val="000316D8"/>
    <w:rsid w:val="00045666"/>
    <w:rsid w:val="00045B5F"/>
    <w:rsid w:val="00045B6B"/>
    <w:rsid w:val="000468DC"/>
    <w:rsid w:val="00071B61"/>
    <w:rsid w:val="00084BF6"/>
    <w:rsid w:val="00085A35"/>
    <w:rsid w:val="000863C1"/>
    <w:rsid w:val="000A1AC1"/>
    <w:rsid w:val="000A475E"/>
    <w:rsid w:val="000B04BF"/>
    <w:rsid w:val="000C0316"/>
    <w:rsid w:val="000C1156"/>
    <w:rsid w:val="000D6E3C"/>
    <w:rsid w:val="000E316B"/>
    <w:rsid w:val="000F3668"/>
    <w:rsid w:val="000F6A63"/>
    <w:rsid w:val="001016F0"/>
    <w:rsid w:val="001047D0"/>
    <w:rsid w:val="00124FBA"/>
    <w:rsid w:val="00164018"/>
    <w:rsid w:val="0017732D"/>
    <w:rsid w:val="0018695F"/>
    <w:rsid w:val="001A7F33"/>
    <w:rsid w:val="001B0E5D"/>
    <w:rsid w:val="001E30F7"/>
    <w:rsid w:val="001E4540"/>
    <w:rsid w:val="00217621"/>
    <w:rsid w:val="00226CA8"/>
    <w:rsid w:val="00237D4E"/>
    <w:rsid w:val="00252848"/>
    <w:rsid w:val="0025688D"/>
    <w:rsid w:val="0025768F"/>
    <w:rsid w:val="002A24FE"/>
    <w:rsid w:val="002A395F"/>
    <w:rsid w:val="002B0A5C"/>
    <w:rsid w:val="002B2EAF"/>
    <w:rsid w:val="002C2F7D"/>
    <w:rsid w:val="002D2EE7"/>
    <w:rsid w:val="002E51B1"/>
    <w:rsid w:val="002F30EB"/>
    <w:rsid w:val="00302F87"/>
    <w:rsid w:val="00303C59"/>
    <w:rsid w:val="00306F08"/>
    <w:rsid w:val="0031053E"/>
    <w:rsid w:val="00310EF5"/>
    <w:rsid w:val="0031589C"/>
    <w:rsid w:val="0031774A"/>
    <w:rsid w:val="00327075"/>
    <w:rsid w:val="00331088"/>
    <w:rsid w:val="00355F61"/>
    <w:rsid w:val="003600AE"/>
    <w:rsid w:val="0036502A"/>
    <w:rsid w:val="003861F7"/>
    <w:rsid w:val="003920FE"/>
    <w:rsid w:val="003D331E"/>
    <w:rsid w:val="003D7D1C"/>
    <w:rsid w:val="003F5C48"/>
    <w:rsid w:val="004016CC"/>
    <w:rsid w:val="00414B02"/>
    <w:rsid w:val="00415DA7"/>
    <w:rsid w:val="00445F04"/>
    <w:rsid w:val="00452368"/>
    <w:rsid w:val="0045730D"/>
    <w:rsid w:val="0046165E"/>
    <w:rsid w:val="00470823"/>
    <w:rsid w:val="00472DFA"/>
    <w:rsid w:val="00473F61"/>
    <w:rsid w:val="00480DDE"/>
    <w:rsid w:val="004869B8"/>
    <w:rsid w:val="00495C42"/>
    <w:rsid w:val="004B5410"/>
    <w:rsid w:val="004C2053"/>
    <w:rsid w:val="004C3857"/>
    <w:rsid w:val="004D020D"/>
    <w:rsid w:val="005044BE"/>
    <w:rsid w:val="005249CF"/>
    <w:rsid w:val="00526D6C"/>
    <w:rsid w:val="0053417B"/>
    <w:rsid w:val="005425E6"/>
    <w:rsid w:val="005442F7"/>
    <w:rsid w:val="005456B0"/>
    <w:rsid w:val="00553A48"/>
    <w:rsid w:val="00553A85"/>
    <w:rsid w:val="00556035"/>
    <w:rsid w:val="00561C2A"/>
    <w:rsid w:val="00564949"/>
    <w:rsid w:val="00592FFA"/>
    <w:rsid w:val="005A000D"/>
    <w:rsid w:val="005B22F8"/>
    <w:rsid w:val="005C1FDC"/>
    <w:rsid w:val="005D1AAE"/>
    <w:rsid w:val="005E165F"/>
    <w:rsid w:val="00606C16"/>
    <w:rsid w:val="00610BE4"/>
    <w:rsid w:val="0061587A"/>
    <w:rsid w:val="00616F56"/>
    <w:rsid w:val="006203FF"/>
    <w:rsid w:val="00624519"/>
    <w:rsid w:val="006304B7"/>
    <w:rsid w:val="0063291E"/>
    <w:rsid w:val="00635428"/>
    <w:rsid w:val="0064298A"/>
    <w:rsid w:val="00646B4F"/>
    <w:rsid w:val="00653D76"/>
    <w:rsid w:val="00662A55"/>
    <w:rsid w:val="006717D4"/>
    <w:rsid w:val="0067188F"/>
    <w:rsid w:val="0068601A"/>
    <w:rsid w:val="006A5656"/>
    <w:rsid w:val="006B44D3"/>
    <w:rsid w:val="006C3B45"/>
    <w:rsid w:val="006C7C3D"/>
    <w:rsid w:val="006E0EF4"/>
    <w:rsid w:val="006E3970"/>
    <w:rsid w:val="00705C80"/>
    <w:rsid w:val="007158EB"/>
    <w:rsid w:val="00735662"/>
    <w:rsid w:val="00737570"/>
    <w:rsid w:val="00745279"/>
    <w:rsid w:val="00747CBC"/>
    <w:rsid w:val="00750C98"/>
    <w:rsid w:val="00763A30"/>
    <w:rsid w:val="00767962"/>
    <w:rsid w:val="00774289"/>
    <w:rsid w:val="00776FD7"/>
    <w:rsid w:val="007977A9"/>
    <w:rsid w:val="007B0B3A"/>
    <w:rsid w:val="007B7ECD"/>
    <w:rsid w:val="007D6EB7"/>
    <w:rsid w:val="00817F04"/>
    <w:rsid w:val="00823449"/>
    <w:rsid w:val="00844D92"/>
    <w:rsid w:val="00847B06"/>
    <w:rsid w:val="00847FE7"/>
    <w:rsid w:val="00856264"/>
    <w:rsid w:val="008819E2"/>
    <w:rsid w:val="00883847"/>
    <w:rsid w:val="00884C78"/>
    <w:rsid w:val="00890D7E"/>
    <w:rsid w:val="008A66C8"/>
    <w:rsid w:val="008A66D5"/>
    <w:rsid w:val="008F58D3"/>
    <w:rsid w:val="009063C7"/>
    <w:rsid w:val="009178EF"/>
    <w:rsid w:val="00921C46"/>
    <w:rsid w:val="00932BDD"/>
    <w:rsid w:val="00937F2D"/>
    <w:rsid w:val="00942F47"/>
    <w:rsid w:val="00946BCD"/>
    <w:rsid w:val="00952827"/>
    <w:rsid w:val="00954F4D"/>
    <w:rsid w:val="00955569"/>
    <w:rsid w:val="00971C74"/>
    <w:rsid w:val="009805C7"/>
    <w:rsid w:val="009B07A2"/>
    <w:rsid w:val="009D1018"/>
    <w:rsid w:val="009D50A7"/>
    <w:rsid w:val="009F0910"/>
    <w:rsid w:val="00A07BDC"/>
    <w:rsid w:val="00A254D8"/>
    <w:rsid w:val="00A323BD"/>
    <w:rsid w:val="00A4254A"/>
    <w:rsid w:val="00A42792"/>
    <w:rsid w:val="00A43301"/>
    <w:rsid w:val="00A46257"/>
    <w:rsid w:val="00A50748"/>
    <w:rsid w:val="00A6603B"/>
    <w:rsid w:val="00A912CA"/>
    <w:rsid w:val="00AA5EDD"/>
    <w:rsid w:val="00AB0342"/>
    <w:rsid w:val="00AC1B72"/>
    <w:rsid w:val="00AC33C7"/>
    <w:rsid w:val="00AD0DD1"/>
    <w:rsid w:val="00AD18C4"/>
    <w:rsid w:val="00AF3FC6"/>
    <w:rsid w:val="00B214B0"/>
    <w:rsid w:val="00B22DD1"/>
    <w:rsid w:val="00B2784F"/>
    <w:rsid w:val="00B72F27"/>
    <w:rsid w:val="00B743E4"/>
    <w:rsid w:val="00BA1101"/>
    <w:rsid w:val="00BB5D77"/>
    <w:rsid w:val="00BC5AB0"/>
    <w:rsid w:val="00BC7801"/>
    <w:rsid w:val="00BC7FDE"/>
    <w:rsid w:val="00C0257B"/>
    <w:rsid w:val="00C13FEA"/>
    <w:rsid w:val="00C148E1"/>
    <w:rsid w:val="00C51697"/>
    <w:rsid w:val="00C617BB"/>
    <w:rsid w:val="00C62FC9"/>
    <w:rsid w:val="00C66B15"/>
    <w:rsid w:val="00C67578"/>
    <w:rsid w:val="00C728D4"/>
    <w:rsid w:val="00C84101"/>
    <w:rsid w:val="00CA2B96"/>
    <w:rsid w:val="00CC2522"/>
    <w:rsid w:val="00CF1C0B"/>
    <w:rsid w:val="00CF5142"/>
    <w:rsid w:val="00D02E03"/>
    <w:rsid w:val="00D0456A"/>
    <w:rsid w:val="00D223C2"/>
    <w:rsid w:val="00D23E1E"/>
    <w:rsid w:val="00D242CF"/>
    <w:rsid w:val="00D26900"/>
    <w:rsid w:val="00D27238"/>
    <w:rsid w:val="00D36093"/>
    <w:rsid w:val="00D47579"/>
    <w:rsid w:val="00D5364D"/>
    <w:rsid w:val="00D67A1A"/>
    <w:rsid w:val="00D73937"/>
    <w:rsid w:val="00D80C01"/>
    <w:rsid w:val="00D9744A"/>
    <w:rsid w:val="00DB20F9"/>
    <w:rsid w:val="00DD3EFF"/>
    <w:rsid w:val="00DE3529"/>
    <w:rsid w:val="00DF014D"/>
    <w:rsid w:val="00DF2424"/>
    <w:rsid w:val="00E058FD"/>
    <w:rsid w:val="00E161D5"/>
    <w:rsid w:val="00E342A4"/>
    <w:rsid w:val="00E4494E"/>
    <w:rsid w:val="00E6006E"/>
    <w:rsid w:val="00EA2F21"/>
    <w:rsid w:val="00EB3882"/>
    <w:rsid w:val="00EB74E0"/>
    <w:rsid w:val="00EC186B"/>
    <w:rsid w:val="00EC30C0"/>
    <w:rsid w:val="00EE5585"/>
    <w:rsid w:val="00EE7D15"/>
    <w:rsid w:val="00EF3528"/>
    <w:rsid w:val="00EF6C45"/>
    <w:rsid w:val="00F0034A"/>
    <w:rsid w:val="00F20A33"/>
    <w:rsid w:val="00F42ECB"/>
    <w:rsid w:val="00F70130"/>
    <w:rsid w:val="00F87623"/>
    <w:rsid w:val="00F95009"/>
    <w:rsid w:val="00FC4A85"/>
    <w:rsid w:val="00FD6D5D"/>
    <w:rsid w:val="00FE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642A76E7B641BAD18DDDE785B6F4">
    <w:name w:val="E498642A76E7B641BAD18DDDE785B6F4"/>
    <w:rsid w:val="00045B5F"/>
  </w:style>
  <w:style w:type="paragraph" w:customStyle="1" w:styleId="35705F0C74DDC747A883E3B0DF5A0B21">
    <w:name w:val="35705F0C74DDC747A883E3B0DF5A0B21"/>
    <w:rsid w:val="00045B5F"/>
  </w:style>
  <w:style w:type="paragraph" w:customStyle="1" w:styleId="2B49F71B23CFF24291B96C8B77B0D893">
    <w:name w:val="2B49F71B23CFF24291B96C8B77B0D893"/>
    <w:rsid w:val="00045B5F"/>
  </w:style>
  <w:style w:type="paragraph" w:customStyle="1" w:styleId="3FFE55568E9CC04A9374756D8AEF234E">
    <w:name w:val="3FFE55568E9CC04A9374756D8AEF234E"/>
    <w:rsid w:val="00045B5F"/>
  </w:style>
  <w:style w:type="paragraph" w:customStyle="1" w:styleId="F89544CA579070428E09A2EBEF022D26">
    <w:name w:val="F89544CA579070428E09A2EBEF022D26"/>
    <w:rsid w:val="00045B5F"/>
  </w:style>
  <w:style w:type="paragraph" w:customStyle="1" w:styleId="FE0CB788C3593347ABAFEA302A4CE71C">
    <w:name w:val="FE0CB788C3593347ABAFEA302A4CE71C"/>
    <w:rsid w:val="00045B5F"/>
  </w:style>
  <w:style w:type="paragraph" w:customStyle="1" w:styleId="CD5EE26D1EBACC44B95F32A7D2CFD290">
    <w:name w:val="CD5EE26D1EBACC44B95F32A7D2CFD290"/>
    <w:rsid w:val="00045B5F"/>
  </w:style>
  <w:style w:type="paragraph" w:customStyle="1" w:styleId="A38F1BD93F30A24B9099E78FBDD6E6E6">
    <w:name w:val="A38F1BD93F30A24B9099E78FBDD6E6E6"/>
    <w:rsid w:val="00045B5F"/>
  </w:style>
  <w:style w:type="paragraph" w:customStyle="1" w:styleId="9ABCFA5F3895C240990767A0E816E62C">
    <w:name w:val="9ABCFA5F3895C240990767A0E816E62C"/>
    <w:rsid w:val="00045B5F"/>
  </w:style>
  <w:style w:type="paragraph" w:customStyle="1" w:styleId="99E507BF57326B4A9E665E140572B63C">
    <w:name w:val="99E507BF57326B4A9E665E140572B63C"/>
    <w:rsid w:val="00045B5F"/>
  </w:style>
  <w:style w:type="paragraph" w:customStyle="1" w:styleId="715730750E398A4996F4F2705E1AC576">
    <w:name w:val="715730750E398A4996F4F2705E1AC576"/>
    <w:rsid w:val="00045B5F"/>
  </w:style>
  <w:style w:type="paragraph" w:customStyle="1" w:styleId="6E2F377E276FE841B18AC352EDAA52C3">
    <w:name w:val="6E2F377E276FE841B18AC352EDAA52C3"/>
    <w:rsid w:val="00045B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642A76E7B641BAD18DDDE785B6F4">
    <w:name w:val="E498642A76E7B641BAD18DDDE785B6F4"/>
    <w:rsid w:val="00045B5F"/>
  </w:style>
  <w:style w:type="paragraph" w:customStyle="1" w:styleId="35705F0C74DDC747A883E3B0DF5A0B21">
    <w:name w:val="35705F0C74DDC747A883E3B0DF5A0B21"/>
    <w:rsid w:val="00045B5F"/>
  </w:style>
  <w:style w:type="paragraph" w:customStyle="1" w:styleId="2B49F71B23CFF24291B96C8B77B0D893">
    <w:name w:val="2B49F71B23CFF24291B96C8B77B0D893"/>
    <w:rsid w:val="00045B5F"/>
  </w:style>
  <w:style w:type="paragraph" w:customStyle="1" w:styleId="3FFE55568E9CC04A9374756D8AEF234E">
    <w:name w:val="3FFE55568E9CC04A9374756D8AEF234E"/>
    <w:rsid w:val="00045B5F"/>
  </w:style>
  <w:style w:type="paragraph" w:customStyle="1" w:styleId="F89544CA579070428E09A2EBEF022D26">
    <w:name w:val="F89544CA579070428E09A2EBEF022D26"/>
    <w:rsid w:val="00045B5F"/>
  </w:style>
  <w:style w:type="paragraph" w:customStyle="1" w:styleId="FE0CB788C3593347ABAFEA302A4CE71C">
    <w:name w:val="FE0CB788C3593347ABAFEA302A4CE71C"/>
    <w:rsid w:val="00045B5F"/>
  </w:style>
  <w:style w:type="paragraph" w:customStyle="1" w:styleId="CD5EE26D1EBACC44B95F32A7D2CFD290">
    <w:name w:val="CD5EE26D1EBACC44B95F32A7D2CFD290"/>
    <w:rsid w:val="00045B5F"/>
  </w:style>
  <w:style w:type="paragraph" w:customStyle="1" w:styleId="A38F1BD93F30A24B9099E78FBDD6E6E6">
    <w:name w:val="A38F1BD93F30A24B9099E78FBDD6E6E6"/>
    <w:rsid w:val="00045B5F"/>
  </w:style>
  <w:style w:type="paragraph" w:customStyle="1" w:styleId="9ABCFA5F3895C240990767A0E816E62C">
    <w:name w:val="9ABCFA5F3895C240990767A0E816E62C"/>
    <w:rsid w:val="00045B5F"/>
  </w:style>
  <w:style w:type="paragraph" w:customStyle="1" w:styleId="99E507BF57326B4A9E665E140572B63C">
    <w:name w:val="99E507BF57326B4A9E665E140572B63C"/>
    <w:rsid w:val="00045B5F"/>
  </w:style>
  <w:style w:type="paragraph" w:customStyle="1" w:styleId="715730750E398A4996F4F2705E1AC576">
    <w:name w:val="715730750E398A4996F4F2705E1AC576"/>
    <w:rsid w:val="00045B5F"/>
  </w:style>
  <w:style w:type="paragraph" w:customStyle="1" w:styleId="6E2F377E276FE841B18AC352EDAA52C3">
    <w:name w:val="6E2F377E276FE841B18AC352EDAA52C3"/>
    <w:rsid w:val="0004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DDD0-E4E5-4253-A902-1104EBBE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 Andreoli Jr.</dc:creator>
  <cp:lastModifiedBy>Artur Hambardzumyan</cp:lastModifiedBy>
  <cp:revision>2</cp:revision>
  <dcterms:created xsi:type="dcterms:W3CDTF">2018-07-10T11:15:00Z</dcterms:created>
  <dcterms:modified xsi:type="dcterms:W3CDTF">2018-07-10T11:15:00Z</dcterms:modified>
</cp:coreProperties>
</file>