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A009B" w14:textId="77777777" w:rsidR="004F1ABD" w:rsidRPr="00BE61D5" w:rsidRDefault="004F1ABD" w:rsidP="00BE61D5">
      <w:pPr>
        <w:jc w:val="center"/>
        <w:rPr>
          <w:b/>
        </w:rPr>
      </w:pPr>
      <w:r w:rsidRPr="00BE61D5">
        <w:rPr>
          <w:b/>
        </w:rPr>
        <w:t>A Review of Evaluation of Primary Dealers in Government Securities</w:t>
      </w:r>
    </w:p>
    <w:p w14:paraId="624638B6" w14:textId="77777777" w:rsidR="004F1ABD" w:rsidRDefault="004F1ABD"/>
    <w:p w14:paraId="3AFA8871" w14:textId="1B9D5715" w:rsidR="001E21D1" w:rsidRPr="001E21D1" w:rsidRDefault="00936037">
      <w:pPr>
        <w:rPr>
          <w:b/>
        </w:rPr>
      </w:pPr>
      <w:r>
        <w:rPr>
          <w:b/>
        </w:rPr>
        <w:t>I</w:t>
      </w:r>
      <w:r>
        <w:rPr>
          <w:b/>
        </w:rPr>
        <w:tab/>
      </w:r>
      <w:r w:rsidR="001E21D1" w:rsidRPr="001E21D1">
        <w:rPr>
          <w:b/>
        </w:rPr>
        <w:t>Introduction</w:t>
      </w:r>
    </w:p>
    <w:p w14:paraId="3851273A" w14:textId="5F9CDFAF" w:rsidR="008968D4" w:rsidRPr="000A685E" w:rsidRDefault="000A685E" w:rsidP="007B7643">
      <w:pPr>
        <w:spacing w:after="0"/>
        <w:ind w:right="4"/>
        <w:jc w:val="both"/>
      </w:pPr>
      <w:r w:rsidRPr="000A685E">
        <w:t>1.1</w:t>
      </w:r>
      <w:r w:rsidRPr="000A685E">
        <w:tab/>
      </w:r>
      <w:r w:rsidR="00B77C57" w:rsidRPr="000A685E">
        <w:t xml:space="preserve">Issuance of government securities and trading activities on them are exclusively routed through a Primary Dealer (PD) system in Armenia. </w:t>
      </w:r>
      <w:r w:rsidR="00BE61D5" w:rsidRPr="000A685E">
        <w:t>Currently, a network of 7 Primary Dealers operate in the government securities market</w:t>
      </w:r>
      <w:r w:rsidR="00B77C57" w:rsidRPr="000A685E">
        <w:t>, which are all commercial banks</w:t>
      </w:r>
      <w:r w:rsidR="00BE61D5" w:rsidRPr="000A685E">
        <w:t>.</w:t>
      </w:r>
      <w:r w:rsidR="008968D4" w:rsidRPr="000A685E">
        <w:t xml:space="preserve"> </w:t>
      </w:r>
    </w:p>
    <w:p w14:paraId="1C5A9D2F" w14:textId="77777777" w:rsidR="008968D4" w:rsidRPr="000A685E" w:rsidRDefault="008968D4" w:rsidP="007B7643">
      <w:pPr>
        <w:spacing w:after="0"/>
        <w:ind w:right="4"/>
        <w:jc w:val="both"/>
      </w:pPr>
    </w:p>
    <w:p w14:paraId="5B4CE7FE" w14:textId="398FE04E" w:rsidR="00BE61D5" w:rsidRPr="000A685E" w:rsidRDefault="000A685E" w:rsidP="007B7643">
      <w:pPr>
        <w:spacing w:after="0"/>
        <w:ind w:right="4"/>
        <w:jc w:val="both"/>
      </w:pPr>
      <w:r w:rsidRPr="000A685E">
        <w:t>1.2</w:t>
      </w:r>
      <w:r w:rsidRPr="000A685E">
        <w:tab/>
      </w:r>
      <w:r w:rsidR="000D34A5" w:rsidRPr="000A685E">
        <w:t>As a PD, it play</w:t>
      </w:r>
      <w:r w:rsidR="00D62B6C" w:rsidRPr="000A685E">
        <w:t>s</w:t>
      </w:r>
      <w:r w:rsidR="000D34A5" w:rsidRPr="000A685E">
        <w:t xml:space="preserve"> the role of a sub-custodian to investors and provide</w:t>
      </w:r>
      <w:r w:rsidR="00E03A71">
        <w:t>s</w:t>
      </w:r>
      <w:r w:rsidR="000D34A5" w:rsidRPr="000A685E">
        <w:t xml:space="preserve"> investment services by </w:t>
      </w:r>
      <w:r w:rsidR="00D62B6C" w:rsidRPr="000A685E">
        <w:t>(i</w:t>
      </w:r>
      <w:r w:rsidR="000D34A5" w:rsidRPr="000A685E">
        <w:t>)</w:t>
      </w:r>
      <w:r w:rsidR="003F6D4B" w:rsidRPr="000A685E">
        <w:t xml:space="preserve"> </w:t>
      </w:r>
      <w:r w:rsidR="000D34A5" w:rsidRPr="000A685E">
        <w:t>receiving and transferring assignments from clients regarding transactions with securities; and</w:t>
      </w:r>
      <w:r w:rsidR="00D62B6C" w:rsidRPr="000A685E">
        <w:t xml:space="preserve"> (ii</w:t>
      </w:r>
      <w:r w:rsidR="000D34A5" w:rsidRPr="000A685E">
        <w:t xml:space="preserve">) make and execute transactions with securities on its behalf and on behalf of the clients. </w:t>
      </w:r>
      <w:r w:rsidR="00D62B6C" w:rsidRPr="000A685E">
        <w:t xml:space="preserve">The primary role of the Primary Dealers is defined in the </w:t>
      </w:r>
      <w:r w:rsidR="001B31BE" w:rsidRPr="00A847A4">
        <w:t>Government Decree on Regulation of Government Securities.</w:t>
      </w:r>
      <w:r w:rsidR="00D62B6C" w:rsidRPr="000A685E">
        <w:t xml:space="preserve"> </w:t>
      </w:r>
    </w:p>
    <w:p w14:paraId="306CE5E6" w14:textId="77777777" w:rsidR="00D62B6C" w:rsidRPr="000A685E" w:rsidRDefault="00D62B6C" w:rsidP="007B7643">
      <w:pPr>
        <w:spacing w:after="0"/>
        <w:ind w:right="4"/>
        <w:jc w:val="both"/>
        <w:rPr>
          <w:rFonts w:eastAsia="Sylfaen" w:cstheme="minorHAnsi"/>
        </w:rPr>
      </w:pPr>
    </w:p>
    <w:p w14:paraId="5CBC6E3D" w14:textId="791A9303" w:rsidR="00B77C57" w:rsidRPr="000A685E" w:rsidRDefault="000A685E" w:rsidP="007B7643">
      <w:pPr>
        <w:spacing w:after="0"/>
        <w:ind w:right="4"/>
        <w:jc w:val="both"/>
        <w:rPr>
          <w:rFonts w:eastAsia="Sylfaen" w:cstheme="minorHAnsi"/>
        </w:rPr>
      </w:pPr>
      <w:r w:rsidRPr="000A685E">
        <w:rPr>
          <w:rFonts w:eastAsia="Sylfaen" w:cstheme="minorHAnsi"/>
        </w:rPr>
        <w:t>1.3</w:t>
      </w:r>
      <w:r w:rsidRPr="000A685E">
        <w:rPr>
          <w:rFonts w:eastAsia="Sylfaen" w:cstheme="minorHAnsi"/>
        </w:rPr>
        <w:tab/>
      </w:r>
      <w:r w:rsidR="00BE61D5" w:rsidRPr="000A685E">
        <w:rPr>
          <w:rFonts w:eastAsia="Sylfaen" w:cstheme="minorHAnsi"/>
        </w:rPr>
        <w:t xml:space="preserve">For performing its role, a PD is required to – (i) </w:t>
      </w:r>
      <w:r w:rsidR="0068375E" w:rsidRPr="000A685E">
        <w:rPr>
          <w:rFonts w:eastAsia="Sylfaen" w:cstheme="minorHAnsi"/>
        </w:rPr>
        <w:t xml:space="preserve">have </w:t>
      </w:r>
      <w:r w:rsidR="00BE61D5" w:rsidRPr="000A685E">
        <w:rPr>
          <w:rFonts w:eastAsia="Sylfaen" w:cstheme="minorHAnsi"/>
        </w:rPr>
        <w:t>a separate unit consisting of</w:t>
      </w:r>
      <w:r w:rsidR="003F6D4B" w:rsidRPr="000A685E">
        <w:rPr>
          <w:rFonts w:eastAsia="Sylfaen" w:cstheme="minorHAnsi"/>
        </w:rPr>
        <w:t xml:space="preserve"> </w:t>
      </w:r>
      <w:r w:rsidR="00BE61D5" w:rsidRPr="000A685E">
        <w:rPr>
          <w:rFonts w:eastAsia="Sylfaen" w:cstheme="minorHAnsi"/>
        </w:rPr>
        <w:t xml:space="preserve">specialists implementing activities in the primary and secondary security markets, with qualified staff; (ii) </w:t>
      </w:r>
      <w:r w:rsidR="0068375E" w:rsidRPr="000A685E">
        <w:rPr>
          <w:rFonts w:eastAsia="Sylfaen" w:cstheme="minorHAnsi"/>
        </w:rPr>
        <w:t xml:space="preserve">have </w:t>
      </w:r>
      <w:r w:rsidR="00BE61D5" w:rsidRPr="000A685E">
        <w:rPr>
          <w:rFonts w:eastAsia="Sylfaen" w:cstheme="minorHAnsi"/>
        </w:rPr>
        <w:t>an internal control unit, which also implements control over the custodian activities</w:t>
      </w:r>
      <w:r w:rsidR="0068375E">
        <w:rPr>
          <w:rFonts w:eastAsia="Sylfaen" w:cstheme="minorHAnsi"/>
        </w:rPr>
        <w:t xml:space="preserve">; </w:t>
      </w:r>
      <w:r w:rsidR="0068375E" w:rsidRPr="000A685E">
        <w:rPr>
          <w:rFonts w:eastAsia="Sylfaen" w:cstheme="minorHAnsi"/>
        </w:rPr>
        <w:t>(i</w:t>
      </w:r>
      <w:r w:rsidR="0068375E">
        <w:rPr>
          <w:rFonts w:eastAsia="Sylfaen" w:cstheme="minorHAnsi"/>
        </w:rPr>
        <w:t>i</w:t>
      </w:r>
      <w:r w:rsidR="0068375E" w:rsidRPr="000A685E">
        <w:rPr>
          <w:rFonts w:eastAsia="Sylfaen" w:cstheme="minorHAnsi"/>
        </w:rPr>
        <w:t>i)</w:t>
      </w:r>
      <w:r w:rsidR="0068375E">
        <w:rPr>
          <w:rFonts w:eastAsia="Sylfaen" w:cstheme="minorHAnsi"/>
        </w:rPr>
        <w:t xml:space="preserve"> act as a subdepositary; and </w:t>
      </w:r>
      <w:r w:rsidR="0068375E" w:rsidRPr="000A685E">
        <w:rPr>
          <w:rFonts w:eastAsia="Sylfaen" w:cstheme="minorHAnsi"/>
        </w:rPr>
        <w:t>(i</w:t>
      </w:r>
      <w:r w:rsidR="0068375E">
        <w:rPr>
          <w:rFonts w:eastAsia="Sylfaen" w:cstheme="minorHAnsi"/>
        </w:rPr>
        <w:t>v</w:t>
      </w:r>
      <w:r w:rsidR="0068375E" w:rsidRPr="000A685E">
        <w:rPr>
          <w:rFonts w:eastAsia="Sylfaen" w:cstheme="minorHAnsi"/>
        </w:rPr>
        <w:t>)</w:t>
      </w:r>
      <w:r w:rsidR="0068375E">
        <w:rPr>
          <w:rFonts w:eastAsia="Sylfaen" w:cstheme="minorHAnsi"/>
        </w:rPr>
        <w:t xml:space="preserve"> </w:t>
      </w:r>
      <w:r w:rsidR="0042515C" w:rsidRPr="0042515C">
        <w:rPr>
          <w:rFonts w:eastAsia="Sylfaen" w:cstheme="minorHAnsi"/>
        </w:rPr>
        <w:t xml:space="preserve">have </w:t>
      </w:r>
      <w:r w:rsidR="0042515C">
        <w:rPr>
          <w:rFonts w:eastAsia="Sylfaen" w:cstheme="minorHAnsi"/>
        </w:rPr>
        <w:t>a</w:t>
      </w:r>
      <w:r w:rsidR="0042515C" w:rsidRPr="0042515C">
        <w:rPr>
          <w:rFonts w:eastAsia="Sylfaen" w:cstheme="minorHAnsi"/>
        </w:rPr>
        <w:t xml:space="preserve"> right to provide services in the securities market in accordance with</w:t>
      </w:r>
      <w:r w:rsidR="0042515C">
        <w:rPr>
          <w:rFonts w:eastAsia="Sylfaen" w:cstheme="minorHAnsi"/>
        </w:rPr>
        <w:t xml:space="preserve"> points</w:t>
      </w:r>
      <w:r w:rsidR="0042515C" w:rsidRPr="0042515C">
        <w:rPr>
          <w:rFonts w:eastAsia="Sylfaen" w:cstheme="minorHAnsi"/>
        </w:rPr>
        <w:t xml:space="preserve"> (1), (2) and (4)</w:t>
      </w:r>
      <w:r w:rsidR="0042515C">
        <w:rPr>
          <w:rFonts w:eastAsia="Sylfaen" w:cstheme="minorHAnsi"/>
        </w:rPr>
        <w:t xml:space="preserve"> of </w:t>
      </w:r>
      <w:r w:rsidR="0042515C" w:rsidRPr="0042515C">
        <w:rPr>
          <w:rFonts w:eastAsia="Sylfaen" w:cstheme="minorHAnsi"/>
        </w:rPr>
        <w:t>Article 25</w:t>
      </w:r>
      <w:r w:rsidR="0042515C">
        <w:rPr>
          <w:rFonts w:eastAsia="Sylfaen" w:cstheme="minorHAnsi"/>
        </w:rPr>
        <w:t>.</w:t>
      </w:r>
      <w:r w:rsidR="0042515C" w:rsidRPr="0042515C">
        <w:rPr>
          <w:rFonts w:eastAsia="Sylfaen" w:cstheme="minorHAnsi"/>
        </w:rPr>
        <w:t>1, and Article 26</w:t>
      </w:r>
      <w:r w:rsidR="0042515C">
        <w:rPr>
          <w:rFonts w:eastAsia="Sylfaen" w:cstheme="minorHAnsi"/>
        </w:rPr>
        <w:t>.</w:t>
      </w:r>
      <w:r w:rsidR="0042515C" w:rsidRPr="0042515C">
        <w:rPr>
          <w:rFonts w:eastAsia="Sylfaen" w:cstheme="minorHAnsi"/>
        </w:rPr>
        <w:t>1 of the RA Law on Securities Market</w:t>
      </w:r>
      <w:r w:rsidR="00BE61D5" w:rsidRPr="000A685E">
        <w:rPr>
          <w:rFonts w:eastAsia="Sylfaen" w:cstheme="minorHAnsi"/>
        </w:rPr>
        <w:t>.</w:t>
      </w:r>
      <w:r w:rsidR="00D62B6C" w:rsidRPr="000A685E">
        <w:rPr>
          <w:rFonts w:eastAsia="Sylfaen" w:cstheme="minorHAnsi"/>
        </w:rPr>
        <w:t xml:space="preserve"> </w:t>
      </w:r>
    </w:p>
    <w:p w14:paraId="43DDF127" w14:textId="0E5FD606" w:rsidR="00B77C57" w:rsidRDefault="00B77C57" w:rsidP="007B7643">
      <w:pPr>
        <w:spacing w:after="0"/>
        <w:ind w:right="4"/>
      </w:pPr>
    </w:p>
    <w:p w14:paraId="0DA26080" w14:textId="46F7981F" w:rsidR="007D1D8B" w:rsidRPr="00455058" w:rsidRDefault="00936037" w:rsidP="007B7643">
      <w:pPr>
        <w:spacing w:after="0"/>
        <w:ind w:right="4"/>
        <w:rPr>
          <w:b/>
        </w:rPr>
      </w:pPr>
      <w:r>
        <w:rPr>
          <w:b/>
        </w:rPr>
        <w:t>II.</w:t>
      </w:r>
      <w:r>
        <w:rPr>
          <w:b/>
        </w:rPr>
        <w:tab/>
      </w:r>
      <w:r w:rsidR="00455058" w:rsidRPr="00455058">
        <w:rPr>
          <w:b/>
        </w:rPr>
        <w:t>Privileges and Obligations of Primary Dealers</w:t>
      </w:r>
    </w:p>
    <w:p w14:paraId="2D16F563" w14:textId="77777777" w:rsidR="00455058" w:rsidRDefault="00455058" w:rsidP="007B7643">
      <w:pPr>
        <w:spacing w:after="0"/>
        <w:ind w:right="4"/>
      </w:pPr>
    </w:p>
    <w:p w14:paraId="34793A96" w14:textId="5131ACD1" w:rsidR="00323B3E" w:rsidRDefault="000A685E" w:rsidP="007B7643">
      <w:pPr>
        <w:spacing w:after="0"/>
        <w:ind w:right="4"/>
        <w:jc w:val="both"/>
      </w:pPr>
      <w:r>
        <w:t>2.1</w:t>
      </w:r>
      <w:r>
        <w:tab/>
      </w:r>
      <w:r w:rsidR="00323B3E">
        <w:t xml:space="preserve">The framework of exclusive access to the primary market </w:t>
      </w:r>
      <w:r>
        <w:t xml:space="preserve">through closed auctions </w:t>
      </w:r>
      <w:r w:rsidR="00323B3E">
        <w:t xml:space="preserve">for PDs inherently provides </w:t>
      </w:r>
      <w:r w:rsidR="000F7BDC">
        <w:t>them</w:t>
      </w:r>
      <w:r w:rsidR="00323B3E">
        <w:t xml:space="preserve"> with </w:t>
      </w:r>
      <w:r w:rsidR="000F7BDC">
        <w:t xml:space="preserve">captive </w:t>
      </w:r>
      <w:r w:rsidR="00323B3E">
        <w:t>fees from their onward sale to final investors (clients) in addition to a spread derived between the selling price in the secondary market and the allocation price in the primary market. An</w:t>
      </w:r>
      <w:r w:rsidR="000F7BDC">
        <w:t xml:space="preserve">other </w:t>
      </w:r>
      <w:r w:rsidR="00323B3E">
        <w:t xml:space="preserve">element of privileges provided to the PDs under the current framework is additional allocation of government securities in the primary market equivalent to </w:t>
      </w:r>
      <w:r w:rsidR="001B31BE">
        <w:t xml:space="preserve">20 </w:t>
      </w:r>
      <w:r w:rsidR="00323B3E">
        <w:t>percent of the</w:t>
      </w:r>
      <w:r w:rsidR="000F7BDC">
        <w:t>ir</w:t>
      </w:r>
      <w:r w:rsidR="00323B3E">
        <w:t xml:space="preserve"> successful allocation in the auction</w:t>
      </w:r>
      <w:r w:rsidR="000F7BDC">
        <w:t xml:space="preserve"> at the weighted average auction price. A final source of income for the PDs is the fees charged for secondary market transactions with its clients.</w:t>
      </w:r>
      <w:r w:rsidR="00323B3E">
        <w:t xml:space="preserve"> </w:t>
      </w:r>
    </w:p>
    <w:p w14:paraId="29C96908" w14:textId="77777777" w:rsidR="00323B3E" w:rsidRDefault="00323B3E" w:rsidP="007B7643">
      <w:pPr>
        <w:spacing w:after="0"/>
        <w:ind w:right="4"/>
      </w:pPr>
      <w:r>
        <w:t xml:space="preserve">  </w:t>
      </w:r>
    </w:p>
    <w:p w14:paraId="2ECF17E5" w14:textId="4BC3C26D" w:rsidR="008968D4" w:rsidRDefault="000A685E" w:rsidP="007B7643">
      <w:pPr>
        <w:spacing w:after="0"/>
        <w:ind w:right="4"/>
        <w:jc w:val="both"/>
      </w:pPr>
      <w:r>
        <w:t>2.2</w:t>
      </w:r>
      <w:r>
        <w:tab/>
      </w:r>
      <w:r w:rsidR="008968D4">
        <w:t>As a reciprocation for providing exclusive access to the PDs in the primary and secondary m</w:t>
      </w:r>
      <w:r w:rsidR="007B7643">
        <w:t>arket for government securities</w:t>
      </w:r>
      <w:r w:rsidR="008968D4">
        <w:t xml:space="preserve"> they are obligated to provide a two-way quote on government securities on a daily basis through the </w:t>
      </w:r>
      <w:r>
        <w:t xml:space="preserve">electronic </w:t>
      </w:r>
      <w:r w:rsidR="008968D4">
        <w:t>dealing system of NASDAQ OMX.</w:t>
      </w:r>
    </w:p>
    <w:p w14:paraId="59D48AAD" w14:textId="77777777" w:rsidR="008968D4" w:rsidRDefault="008968D4" w:rsidP="007B7643">
      <w:pPr>
        <w:spacing w:after="0"/>
        <w:ind w:right="4"/>
        <w:rPr>
          <w:b/>
        </w:rPr>
      </w:pPr>
    </w:p>
    <w:p w14:paraId="49D8EA8F" w14:textId="017ED80A" w:rsidR="001E21D1" w:rsidRPr="001E21D1" w:rsidRDefault="00936037" w:rsidP="007B7643">
      <w:pPr>
        <w:spacing w:after="0"/>
        <w:ind w:right="4"/>
        <w:rPr>
          <w:b/>
        </w:rPr>
      </w:pPr>
      <w:r>
        <w:rPr>
          <w:b/>
        </w:rPr>
        <w:t>III.</w:t>
      </w:r>
      <w:r>
        <w:rPr>
          <w:b/>
        </w:rPr>
        <w:tab/>
      </w:r>
      <w:r w:rsidR="001E21D1" w:rsidRPr="001E21D1">
        <w:rPr>
          <w:b/>
        </w:rPr>
        <w:t>Recent Activity of Primary Dealers in the Government Securities Market</w:t>
      </w:r>
    </w:p>
    <w:p w14:paraId="21AB5661" w14:textId="77777777" w:rsidR="001E21D1" w:rsidRDefault="001E21D1" w:rsidP="007B7643">
      <w:pPr>
        <w:spacing w:after="0"/>
        <w:ind w:right="4"/>
      </w:pPr>
    </w:p>
    <w:p w14:paraId="77282682" w14:textId="46F24552" w:rsidR="00EA1B43" w:rsidRDefault="000A685E" w:rsidP="007B7643">
      <w:pPr>
        <w:spacing w:after="0"/>
        <w:ind w:right="4"/>
        <w:jc w:val="both"/>
      </w:pPr>
      <w:r>
        <w:t>3.1</w:t>
      </w:r>
      <w:r>
        <w:tab/>
      </w:r>
      <w:r w:rsidR="001E21D1">
        <w:t xml:space="preserve">Based on the outstanding </w:t>
      </w:r>
      <w:r w:rsidR="003F6D4B">
        <w:t xml:space="preserve">stock </w:t>
      </w:r>
      <w:r w:rsidR="001E21D1">
        <w:t xml:space="preserve">as at the end of </w:t>
      </w:r>
      <w:r w:rsidR="004431DD">
        <w:t>June 2018</w:t>
      </w:r>
      <w:r w:rsidR="001E21D1">
        <w:t xml:space="preserve">, primary dealers currently hold </w:t>
      </w:r>
      <w:r w:rsidR="00EA1B43">
        <w:t>35.0</w:t>
      </w:r>
      <w:r w:rsidR="001E21D1">
        <w:t xml:space="preserve"> percent of the total</w:t>
      </w:r>
      <w:r w:rsidR="003F6D4B">
        <w:t xml:space="preserve"> government securities</w:t>
      </w:r>
      <w:r w:rsidR="00EA1B43">
        <w:t xml:space="preserve"> (Figure 1)</w:t>
      </w:r>
      <w:r w:rsidR="003F6D4B">
        <w:t>.</w:t>
      </w:r>
      <w:r w:rsidR="00EA1B43">
        <w:t xml:space="preserve"> The share of holdings by PDs has declined in recent years. Along with the non-dealer banks, the total share of bank holdings stood at 68.4 percent of total government securities reflecting the dominance of the banking sector in Armenia’s financial system. </w:t>
      </w:r>
    </w:p>
    <w:p w14:paraId="5C510B10" w14:textId="77777777" w:rsidR="007B7643" w:rsidRDefault="007B7643" w:rsidP="001E21D1">
      <w:pPr>
        <w:spacing w:after="0"/>
        <w:ind w:right="632"/>
      </w:pPr>
    </w:p>
    <w:p w14:paraId="2C224373" w14:textId="77777777" w:rsidR="007B7643" w:rsidRDefault="007B7643" w:rsidP="001E21D1">
      <w:pPr>
        <w:spacing w:after="0"/>
        <w:ind w:right="632"/>
      </w:pPr>
    </w:p>
    <w:p w14:paraId="39825610" w14:textId="77777777" w:rsidR="007B7643" w:rsidRDefault="007B7643" w:rsidP="001E21D1">
      <w:pPr>
        <w:spacing w:after="0"/>
        <w:ind w:right="632"/>
      </w:pPr>
    </w:p>
    <w:p w14:paraId="203E2421" w14:textId="77777777" w:rsidR="00E03A71" w:rsidRDefault="00E03A71" w:rsidP="001E21D1">
      <w:pPr>
        <w:spacing w:after="0"/>
        <w:ind w:right="632"/>
      </w:pPr>
    </w:p>
    <w:p w14:paraId="3772455A" w14:textId="1F8DFBF1" w:rsidR="00EA1B43" w:rsidRDefault="00EA1B43" w:rsidP="001E21D1">
      <w:pPr>
        <w:spacing w:after="0"/>
        <w:ind w:right="632"/>
      </w:pPr>
      <w:r>
        <w:lastRenderedPageBreak/>
        <w:t>Figure 1: Share of Holding of Government Securities by Investor Type on 30 June 2018 (percent)</w:t>
      </w:r>
    </w:p>
    <w:p w14:paraId="55246E41" w14:textId="77777777" w:rsidR="00EA1B43" w:rsidRDefault="00EA1B43" w:rsidP="001E21D1">
      <w:pPr>
        <w:spacing w:after="0"/>
        <w:ind w:right="632"/>
      </w:pPr>
    </w:p>
    <w:p w14:paraId="451D8654" w14:textId="39795EE5" w:rsidR="001E21D1" w:rsidRDefault="00EA1B43" w:rsidP="001E21D1">
      <w:pPr>
        <w:spacing w:after="0"/>
        <w:ind w:right="632"/>
      </w:pPr>
      <w:r>
        <w:rPr>
          <w:noProof/>
        </w:rPr>
        <w:drawing>
          <wp:inline distT="0" distB="0" distL="0" distR="0" wp14:anchorId="003A4246" wp14:editId="2E942F7B">
            <wp:extent cx="4572000" cy="2457450"/>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555F3CD-F040-4A1B-BA04-B5875C7682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F6D4B">
        <w:t xml:space="preserve"> </w:t>
      </w:r>
      <w:r w:rsidR="001E21D1">
        <w:t xml:space="preserve"> </w:t>
      </w:r>
    </w:p>
    <w:p w14:paraId="18B71C1C" w14:textId="30F175CE" w:rsidR="001E21D1" w:rsidRDefault="00EA1B43" w:rsidP="001E21D1">
      <w:pPr>
        <w:spacing w:after="0"/>
        <w:ind w:right="632"/>
      </w:pPr>
      <w:r>
        <w:t>Source: Statistical Bulletin, June 2018, PDMD</w:t>
      </w:r>
    </w:p>
    <w:p w14:paraId="4D8A46C6" w14:textId="77777777" w:rsidR="00EA1B43" w:rsidRDefault="00EA1B43" w:rsidP="001E21D1">
      <w:pPr>
        <w:spacing w:after="0"/>
        <w:ind w:right="632"/>
      </w:pPr>
    </w:p>
    <w:p w14:paraId="2876FA50" w14:textId="5BC65AB8" w:rsidR="0044298A" w:rsidRDefault="000A685E" w:rsidP="007B7643">
      <w:pPr>
        <w:spacing w:after="0"/>
        <w:ind w:right="4"/>
        <w:jc w:val="both"/>
        <w:rPr>
          <w:bCs/>
        </w:rPr>
      </w:pPr>
      <w:r>
        <w:t>3.2</w:t>
      </w:r>
      <w:r>
        <w:tab/>
      </w:r>
      <w:r w:rsidR="00EA1B43">
        <w:t xml:space="preserve">In recent years, PDs have </w:t>
      </w:r>
      <w:r w:rsidR="00C92972">
        <w:t xml:space="preserve">exhibited a growing demand </w:t>
      </w:r>
      <w:r w:rsidR="00D03149">
        <w:t xml:space="preserve">to bid for clients </w:t>
      </w:r>
      <w:r w:rsidR="00756545">
        <w:t xml:space="preserve">as part of intermediation role to place securities to final investors. Allocation of securities for “investment account” increased from 5.5 percent </w:t>
      </w:r>
      <w:r w:rsidR="004F1259">
        <w:t xml:space="preserve">of their total allocation </w:t>
      </w:r>
      <w:r w:rsidR="00756545">
        <w:t xml:space="preserve">in 2013 to </w:t>
      </w:r>
      <w:r w:rsidR="008504B7">
        <w:t>29.5 percent in 2016 before receding to 15.9 percent in the first four months of 2017 (Figure 2).</w:t>
      </w:r>
      <w:r w:rsidR="004F1259">
        <w:t xml:space="preserve"> This suggests that although declining, more than 70 percent of their demand for bids by the PDs is driven by their own investment needs.</w:t>
      </w:r>
      <w:r w:rsidR="0044298A">
        <w:t xml:space="preserve"> This can be acting as an impediment in the role of </w:t>
      </w:r>
      <w:r w:rsidR="0044298A" w:rsidRPr="0044298A">
        <w:rPr>
          <w:bCs/>
        </w:rPr>
        <w:t xml:space="preserve">PDs </w:t>
      </w:r>
      <w:r w:rsidR="0044298A">
        <w:rPr>
          <w:bCs/>
        </w:rPr>
        <w:t xml:space="preserve">to </w:t>
      </w:r>
      <w:r w:rsidR="0044298A" w:rsidRPr="0044298A">
        <w:rPr>
          <w:bCs/>
        </w:rPr>
        <w:t>be an efficient securities distribution mechanism to their customer base.</w:t>
      </w:r>
    </w:p>
    <w:p w14:paraId="63931CBC" w14:textId="77777777" w:rsidR="0044298A" w:rsidRPr="0044298A" w:rsidRDefault="0044298A" w:rsidP="0044298A">
      <w:pPr>
        <w:spacing w:after="0"/>
        <w:ind w:right="632"/>
        <w:jc w:val="both"/>
      </w:pPr>
    </w:p>
    <w:p w14:paraId="35231620" w14:textId="25939611" w:rsidR="008504B7" w:rsidRDefault="008504B7" w:rsidP="008504B7">
      <w:pPr>
        <w:spacing w:after="0"/>
        <w:ind w:right="632"/>
      </w:pPr>
      <w:r>
        <w:t xml:space="preserve">Figure </w:t>
      </w:r>
      <w:r w:rsidR="000B261E">
        <w:t>2</w:t>
      </w:r>
      <w:r>
        <w:t>: Allocation of Government Securities in Primary Auction by Purpose (percent)</w:t>
      </w:r>
    </w:p>
    <w:p w14:paraId="45464DCA" w14:textId="77777777" w:rsidR="008504B7" w:rsidRDefault="008504B7" w:rsidP="001E21D1">
      <w:pPr>
        <w:spacing w:after="0"/>
        <w:ind w:right="632"/>
      </w:pPr>
    </w:p>
    <w:p w14:paraId="6C6467A0" w14:textId="24722052" w:rsidR="00756545" w:rsidRDefault="00756545" w:rsidP="001E21D1">
      <w:pPr>
        <w:spacing w:after="0"/>
        <w:ind w:right="632"/>
      </w:pPr>
      <w:r>
        <w:rPr>
          <w:noProof/>
        </w:rPr>
        <w:drawing>
          <wp:inline distT="0" distB="0" distL="0" distR="0" wp14:anchorId="494EA342" wp14:editId="68DA0107">
            <wp:extent cx="4572000" cy="274320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2DCFE8C-E2B7-40B2-8002-25B2132027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2CAF38" w14:textId="77777777" w:rsidR="008504B7" w:rsidRDefault="008504B7" w:rsidP="000A685E">
      <w:pPr>
        <w:spacing w:after="0"/>
        <w:ind w:right="632"/>
        <w:jc w:val="both"/>
      </w:pPr>
    </w:p>
    <w:p w14:paraId="651D4538" w14:textId="7E788B2A" w:rsidR="008504B7" w:rsidRDefault="000A685E" w:rsidP="007B7643">
      <w:pPr>
        <w:spacing w:after="0"/>
        <w:ind w:right="4"/>
        <w:jc w:val="both"/>
      </w:pPr>
      <w:r>
        <w:lastRenderedPageBreak/>
        <w:t>3.3</w:t>
      </w:r>
      <w:r>
        <w:tab/>
      </w:r>
      <w:r w:rsidR="004F1259">
        <w:t xml:space="preserve">Reflecting the dominance of securities purchase for own investment need, the share of “held-to-maturity” </w:t>
      </w:r>
      <w:r w:rsidR="000B261E">
        <w:t xml:space="preserve">(HTM) </w:t>
      </w:r>
      <w:r w:rsidR="004F1259">
        <w:t>classification of holdings by PD banks</w:t>
      </w:r>
      <w:r w:rsidR="000B261E">
        <w:t xml:space="preserve"> stood at 37.4 percent during the first five months of 2018, increasing steadily from 15.5 percent in 2016 (Figure 3). While the share of “held-for-trading” (HFT) holdings remained insignificant at less than 2 percent, the share of “available-for-sale” </w:t>
      </w:r>
      <w:r w:rsidR="00E94448">
        <w:t xml:space="preserve">(AFS) </w:t>
      </w:r>
      <w:r w:rsidR="000B261E">
        <w:t xml:space="preserve">declined from 83.2 percent to 60.9 percent during the same period. </w:t>
      </w:r>
      <w:r w:rsidR="00E94448">
        <w:t xml:space="preserve">The increasing trend of HTM holdings of PDs (or the declining share of AFS holdings) could be a cause of concern for the </w:t>
      </w:r>
      <w:r w:rsidR="007B7643">
        <w:t>fulfillment</w:t>
      </w:r>
      <w:r w:rsidR="00E94448">
        <w:t xml:space="preserve"> of the main role of PDs to place securities to final investors. </w:t>
      </w:r>
      <w:r w:rsidR="004F1259">
        <w:t xml:space="preserve"> </w:t>
      </w:r>
    </w:p>
    <w:p w14:paraId="485EA807" w14:textId="77777777" w:rsidR="000B261E" w:rsidRDefault="000B261E" w:rsidP="000B261E">
      <w:pPr>
        <w:spacing w:after="0"/>
        <w:ind w:right="632"/>
      </w:pPr>
    </w:p>
    <w:p w14:paraId="5D3655FF" w14:textId="66A72F02" w:rsidR="000B261E" w:rsidRDefault="000B261E" w:rsidP="000B261E">
      <w:pPr>
        <w:spacing w:after="0"/>
        <w:ind w:right="632"/>
      </w:pPr>
      <w:r>
        <w:t>Figure 3: Share of Holdings by Accounting Classification for PD Banks (percent)</w:t>
      </w:r>
    </w:p>
    <w:p w14:paraId="3D384E9D" w14:textId="15CD9437" w:rsidR="004F1259" w:rsidRDefault="004F1259" w:rsidP="001E21D1">
      <w:pPr>
        <w:spacing w:after="0"/>
        <w:ind w:right="632"/>
      </w:pPr>
      <w:r>
        <w:rPr>
          <w:noProof/>
        </w:rPr>
        <w:drawing>
          <wp:inline distT="0" distB="0" distL="0" distR="0" wp14:anchorId="0ABBBAB4" wp14:editId="5BE3A4CA">
            <wp:extent cx="4572000" cy="274320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DDCFEF-F27E-4283-81C4-D2DFD1678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2DC3C7" w14:textId="23CE73DA" w:rsidR="008504B7" w:rsidRDefault="008504B7" w:rsidP="001E21D1">
      <w:pPr>
        <w:spacing w:after="0"/>
        <w:ind w:right="632"/>
      </w:pPr>
    </w:p>
    <w:p w14:paraId="423F2CF0" w14:textId="7D73E80F" w:rsidR="00E94448" w:rsidRDefault="000A685E" w:rsidP="007B7643">
      <w:pPr>
        <w:spacing w:after="0"/>
        <w:ind w:right="4"/>
        <w:jc w:val="both"/>
      </w:pPr>
      <w:r>
        <w:t>3.4</w:t>
      </w:r>
      <w:r>
        <w:tab/>
      </w:r>
      <w:r w:rsidR="00E94448">
        <w:t>Another contrasting feature is that the share of HTM holdings of non-PD banks is less than PD banks while the share of its AFS and HFT holdings are greater than PD banks (Figure</w:t>
      </w:r>
      <w:r w:rsidR="00EB1A97">
        <w:t xml:space="preserve"> </w:t>
      </w:r>
      <w:r w:rsidR="00E94448">
        <w:t>4).</w:t>
      </w:r>
      <w:r w:rsidR="00EB1A97">
        <w:t xml:space="preserve"> This raises issues about the effectiveness of PDs in its primary duties vis-à-vis the non-PD banks.</w:t>
      </w:r>
      <w:r w:rsidR="00E94448">
        <w:t xml:space="preserve">  </w:t>
      </w:r>
    </w:p>
    <w:p w14:paraId="01CC0404" w14:textId="235F422B" w:rsidR="00EB1A97" w:rsidRDefault="00EB1A97" w:rsidP="001E21D1">
      <w:pPr>
        <w:spacing w:after="0"/>
        <w:ind w:right="632"/>
      </w:pPr>
    </w:p>
    <w:p w14:paraId="22AE353C" w14:textId="64CAE789" w:rsidR="00EB1A97" w:rsidRDefault="00EB1A97" w:rsidP="00EB1A97">
      <w:pPr>
        <w:spacing w:after="0"/>
        <w:ind w:right="632"/>
      </w:pPr>
      <w:r>
        <w:t>Figure 4: Share of Holdings by Accounting Classification for non-PD Banks (percent)</w:t>
      </w:r>
    </w:p>
    <w:p w14:paraId="6A3CD57B" w14:textId="1246780B" w:rsidR="00EB1A97" w:rsidRDefault="00EB1A97" w:rsidP="001E21D1">
      <w:pPr>
        <w:spacing w:after="0"/>
        <w:ind w:right="632"/>
      </w:pPr>
      <w:r>
        <w:rPr>
          <w:noProof/>
        </w:rPr>
        <w:drawing>
          <wp:inline distT="0" distB="0" distL="0" distR="0" wp14:anchorId="3477ED94" wp14:editId="5E893BCE">
            <wp:extent cx="4572000" cy="2495550"/>
            <wp:effectExtent l="0" t="0" r="0"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A50545C-A53B-4492-8FC2-6DAB02AB7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F045F8" w14:textId="77777777" w:rsidR="00EB1A97" w:rsidRDefault="00EB1A97" w:rsidP="001E21D1">
      <w:pPr>
        <w:spacing w:after="0"/>
        <w:ind w:right="632"/>
      </w:pPr>
    </w:p>
    <w:p w14:paraId="5B6EB35A" w14:textId="0F6A0ACE" w:rsidR="008A140D" w:rsidRPr="008A140D" w:rsidRDefault="002F32F3" w:rsidP="00D62B6C">
      <w:pPr>
        <w:spacing w:after="0"/>
        <w:ind w:right="632"/>
        <w:rPr>
          <w:rFonts w:eastAsia="Sylfaen" w:cstheme="minorHAnsi"/>
          <w:b/>
          <w:sz w:val="24"/>
          <w:szCs w:val="24"/>
        </w:rPr>
      </w:pPr>
      <w:r>
        <w:rPr>
          <w:rFonts w:eastAsia="Sylfaen" w:cstheme="minorHAnsi"/>
          <w:b/>
          <w:sz w:val="24"/>
          <w:szCs w:val="24"/>
        </w:rPr>
        <w:lastRenderedPageBreak/>
        <w:t>I</w:t>
      </w:r>
      <w:r w:rsidR="00936037">
        <w:rPr>
          <w:rFonts w:eastAsia="Sylfaen" w:cstheme="minorHAnsi"/>
          <w:b/>
          <w:sz w:val="24"/>
          <w:szCs w:val="24"/>
        </w:rPr>
        <w:t>V.</w:t>
      </w:r>
      <w:r w:rsidR="00936037">
        <w:rPr>
          <w:rFonts w:eastAsia="Sylfaen" w:cstheme="minorHAnsi"/>
          <w:b/>
          <w:sz w:val="24"/>
          <w:szCs w:val="24"/>
        </w:rPr>
        <w:tab/>
      </w:r>
      <w:r w:rsidR="008A140D" w:rsidRPr="008A140D">
        <w:rPr>
          <w:rFonts w:eastAsia="Sylfaen" w:cstheme="minorHAnsi"/>
          <w:b/>
          <w:sz w:val="24"/>
          <w:szCs w:val="24"/>
        </w:rPr>
        <w:t>International Practice for Evaluation of Primary Dealers</w:t>
      </w:r>
      <w:r w:rsidR="00FD21C7">
        <w:rPr>
          <w:rStyle w:val="FootnoteReference"/>
          <w:rFonts w:eastAsia="Sylfaen" w:cstheme="minorHAnsi"/>
          <w:b/>
          <w:sz w:val="24"/>
          <w:szCs w:val="24"/>
        </w:rPr>
        <w:footnoteReference w:id="1"/>
      </w:r>
    </w:p>
    <w:p w14:paraId="3AF2DFA6" w14:textId="534523EC" w:rsidR="008A140D" w:rsidRDefault="008A140D" w:rsidP="00D62B6C">
      <w:pPr>
        <w:spacing w:after="0"/>
        <w:ind w:right="632"/>
        <w:rPr>
          <w:rFonts w:eastAsia="Sylfaen" w:cstheme="minorHAnsi"/>
          <w:sz w:val="24"/>
          <w:szCs w:val="24"/>
        </w:rPr>
      </w:pPr>
    </w:p>
    <w:p w14:paraId="7D7B1F42" w14:textId="77777777" w:rsidR="002F32F3" w:rsidRDefault="002F32F3" w:rsidP="0044298A">
      <w:pPr>
        <w:pStyle w:val="Default"/>
        <w:jc w:val="both"/>
        <w:rPr>
          <w:sz w:val="22"/>
          <w:szCs w:val="22"/>
        </w:rPr>
      </w:pPr>
      <w:r>
        <w:rPr>
          <w:bCs/>
          <w:sz w:val="22"/>
          <w:szCs w:val="22"/>
        </w:rPr>
        <w:t xml:space="preserve">4.1 </w:t>
      </w:r>
      <w:r w:rsidR="0048335A" w:rsidRPr="0048335A">
        <w:rPr>
          <w:bCs/>
          <w:sz w:val="22"/>
          <w:szCs w:val="22"/>
        </w:rPr>
        <w:t>PDs are generally assigned six duties</w:t>
      </w:r>
      <w:r w:rsidR="0048335A" w:rsidRPr="0048335A">
        <w:rPr>
          <w:sz w:val="22"/>
          <w:szCs w:val="22"/>
        </w:rPr>
        <w:t xml:space="preserve">: (i) to bid on the primary market, (ii) to place government securities with final investors, (iii) to enhance the liquidity of the secondary market, (iv) to be the counterpart of the debt management office (DMO) for certain debt management operations, (v) to advise the DMO on its debt management strategy and to develop the debt market, and (vi) to report on their activity in the secondary market. While </w:t>
      </w:r>
      <w:r w:rsidR="0048335A" w:rsidRPr="0048335A">
        <w:rPr>
          <w:bCs/>
          <w:sz w:val="22"/>
          <w:szCs w:val="22"/>
        </w:rPr>
        <w:t>all of these duties are related to the funding of the government</w:t>
      </w:r>
      <w:r w:rsidR="0048335A" w:rsidRPr="0048335A">
        <w:rPr>
          <w:sz w:val="22"/>
          <w:szCs w:val="22"/>
        </w:rPr>
        <w:t xml:space="preserve">, they are connected to its amount, its stability, its cost and its management. </w:t>
      </w:r>
      <w:r w:rsidR="0048335A" w:rsidRPr="0048335A">
        <w:rPr>
          <w:rFonts w:asciiTheme="minorHAnsi" w:hAnsiTheme="minorHAnsi" w:cstheme="minorBidi"/>
          <w:bCs/>
          <w:color w:val="auto"/>
          <w:sz w:val="22"/>
          <w:szCs w:val="22"/>
        </w:rPr>
        <w:t>T</w:t>
      </w:r>
      <w:r w:rsidR="0048335A" w:rsidRPr="0048335A">
        <w:rPr>
          <w:sz w:val="22"/>
          <w:szCs w:val="22"/>
        </w:rPr>
        <w:t>wo duties in particular which are considered to be most important to the DMO include the obligation to bid at auctions and the commitment to quote prices on the secondary market and tend to have some country specific features.</w:t>
      </w:r>
    </w:p>
    <w:p w14:paraId="32EEE78E" w14:textId="776B277A" w:rsidR="00971EB2" w:rsidRPr="002F32F3" w:rsidRDefault="002F32F3" w:rsidP="0044298A">
      <w:pPr>
        <w:pStyle w:val="Default"/>
        <w:jc w:val="both"/>
        <w:rPr>
          <w:sz w:val="22"/>
          <w:szCs w:val="22"/>
        </w:rPr>
      </w:pPr>
      <w:r>
        <w:rPr>
          <w:bCs/>
          <w:sz w:val="22"/>
          <w:szCs w:val="22"/>
        </w:rPr>
        <w:t>4</w:t>
      </w:r>
      <w:r w:rsidR="0044298A">
        <w:rPr>
          <w:bCs/>
          <w:sz w:val="22"/>
          <w:szCs w:val="22"/>
        </w:rPr>
        <w:t>.2</w:t>
      </w:r>
      <w:r w:rsidR="0044298A">
        <w:rPr>
          <w:bCs/>
          <w:sz w:val="22"/>
          <w:szCs w:val="22"/>
        </w:rPr>
        <w:tab/>
      </w:r>
      <w:r w:rsidR="0048335A" w:rsidRPr="0044298A">
        <w:rPr>
          <w:bCs/>
          <w:sz w:val="22"/>
          <w:szCs w:val="22"/>
        </w:rPr>
        <w:t xml:space="preserve">By bidding at the auctions, PDs function as a channel between the DMO and final investors. </w:t>
      </w:r>
      <w:r w:rsidR="0048335A" w:rsidRPr="0044298A">
        <w:rPr>
          <w:sz w:val="22"/>
          <w:szCs w:val="22"/>
        </w:rPr>
        <w:t>They build a portfolio of securities that they will sell in the secondary market. The obligation of PDs to participate in auctions decreases the execution risk of the issuer.</w:t>
      </w:r>
      <w:r w:rsidR="0044298A" w:rsidRPr="0044298A">
        <w:rPr>
          <w:sz w:val="22"/>
          <w:szCs w:val="22"/>
        </w:rPr>
        <w:t xml:space="preserve"> </w:t>
      </w:r>
      <w:r w:rsidR="0048335A" w:rsidRPr="0044298A">
        <w:rPr>
          <w:bCs/>
          <w:sz w:val="22"/>
          <w:szCs w:val="22"/>
        </w:rPr>
        <w:t xml:space="preserve">The obligation to bid at auctions generally includes the obligation for PDs to submit a certain minimum amount of bids and/or successful bids. </w:t>
      </w:r>
      <w:r w:rsidR="0048335A" w:rsidRPr="0044298A">
        <w:rPr>
          <w:sz w:val="22"/>
          <w:szCs w:val="22"/>
        </w:rPr>
        <w:t>In both cases, the minimum amount is generally expressed as a certain percentage of the total amount</w:t>
      </w:r>
      <w:r w:rsidR="0044298A" w:rsidRPr="0044298A">
        <w:rPr>
          <w:sz w:val="22"/>
          <w:szCs w:val="22"/>
        </w:rPr>
        <w:t xml:space="preserve"> </w:t>
      </w:r>
      <w:r w:rsidR="0048335A" w:rsidRPr="0044298A">
        <w:rPr>
          <w:sz w:val="22"/>
          <w:szCs w:val="22"/>
        </w:rPr>
        <w:t>auctioned. In both cases, the minimum bidding commitment can be quantified, either as a percentage discretionarily set by the relevant DMO</w:t>
      </w:r>
      <w:r w:rsidR="0044298A" w:rsidRPr="0044298A">
        <w:rPr>
          <w:sz w:val="22"/>
          <w:szCs w:val="22"/>
        </w:rPr>
        <w:t xml:space="preserve"> </w:t>
      </w:r>
      <w:r w:rsidR="0048335A" w:rsidRPr="0044298A">
        <w:rPr>
          <w:sz w:val="22"/>
          <w:szCs w:val="22"/>
        </w:rPr>
        <w:t>or as a function of a certain reference, such as the number of appointed PDs,</w:t>
      </w:r>
      <w:r w:rsidR="0044298A" w:rsidRPr="0044298A">
        <w:rPr>
          <w:sz w:val="22"/>
          <w:szCs w:val="22"/>
        </w:rPr>
        <w:t xml:space="preserve"> </w:t>
      </w:r>
      <w:r w:rsidR="0048335A" w:rsidRPr="0044298A">
        <w:rPr>
          <w:sz w:val="22"/>
          <w:szCs w:val="22"/>
        </w:rPr>
        <w:t>the relative size of the PD’s balance sheet,</w:t>
      </w:r>
      <w:r w:rsidR="0044298A" w:rsidRPr="0044298A">
        <w:rPr>
          <w:sz w:val="22"/>
          <w:szCs w:val="22"/>
        </w:rPr>
        <w:t xml:space="preserve"> </w:t>
      </w:r>
      <w:r w:rsidR="0048335A" w:rsidRPr="0044298A">
        <w:rPr>
          <w:sz w:val="22"/>
          <w:szCs w:val="22"/>
        </w:rPr>
        <w:t>or the amount of the PD’s trading activity in the secondary market.</w:t>
      </w:r>
    </w:p>
    <w:p w14:paraId="4D375C8D" w14:textId="06A71574" w:rsidR="00BD0D71" w:rsidRDefault="00BD0D71" w:rsidP="00D62B6C">
      <w:pPr>
        <w:spacing w:after="0"/>
        <w:ind w:right="632"/>
        <w:rPr>
          <w:rFonts w:eastAsia="Sylfaen" w:cstheme="minorHAnsi"/>
          <w:sz w:val="24"/>
          <w:szCs w:val="24"/>
        </w:rPr>
      </w:pPr>
    </w:p>
    <w:p w14:paraId="77453205" w14:textId="709D6803" w:rsidR="00983EF5" w:rsidRPr="005302D3" w:rsidRDefault="002F32F3" w:rsidP="005302D3">
      <w:pPr>
        <w:pStyle w:val="Default"/>
        <w:jc w:val="both"/>
        <w:rPr>
          <w:sz w:val="22"/>
          <w:szCs w:val="22"/>
        </w:rPr>
      </w:pPr>
      <w:r>
        <w:rPr>
          <w:bCs/>
          <w:sz w:val="22"/>
          <w:szCs w:val="22"/>
        </w:rPr>
        <w:t>4</w:t>
      </w:r>
      <w:r w:rsidR="005302D3">
        <w:rPr>
          <w:bCs/>
          <w:sz w:val="22"/>
          <w:szCs w:val="22"/>
        </w:rPr>
        <w:t>.3</w:t>
      </w:r>
      <w:r w:rsidR="005302D3">
        <w:rPr>
          <w:bCs/>
          <w:sz w:val="22"/>
          <w:szCs w:val="22"/>
        </w:rPr>
        <w:tab/>
      </w:r>
      <w:r w:rsidR="0044298A" w:rsidRPr="005302D3">
        <w:rPr>
          <w:bCs/>
          <w:sz w:val="22"/>
          <w:szCs w:val="22"/>
        </w:rPr>
        <w:t xml:space="preserve">To enhance liquidity in the secondary market, </w:t>
      </w:r>
      <w:r w:rsidR="00983EF5" w:rsidRPr="005302D3">
        <w:rPr>
          <w:bCs/>
          <w:sz w:val="22"/>
          <w:szCs w:val="22"/>
        </w:rPr>
        <w:t xml:space="preserve">PDs in most advanced and some emerging </w:t>
      </w:r>
      <w:r w:rsidR="0044298A" w:rsidRPr="005302D3">
        <w:rPr>
          <w:bCs/>
          <w:sz w:val="22"/>
          <w:szCs w:val="22"/>
        </w:rPr>
        <w:t xml:space="preserve">markets are committed to provide firm two-way quotes continuously. </w:t>
      </w:r>
      <w:r w:rsidR="0044298A" w:rsidRPr="005302D3">
        <w:rPr>
          <w:sz w:val="22"/>
          <w:szCs w:val="22"/>
        </w:rPr>
        <w:t xml:space="preserve">In many emerging markets, PDs are committed to quote indicative prices only. </w:t>
      </w:r>
      <w:r w:rsidR="0044298A" w:rsidRPr="005302D3">
        <w:rPr>
          <w:bCs/>
          <w:sz w:val="22"/>
          <w:szCs w:val="22"/>
        </w:rPr>
        <w:t>Prices must usually be quoted for some minimum amounts, with some maximum spreads and for a certain minimum number of hours</w:t>
      </w:r>
      <w:r w:rsidR="0044298A" w:rsidRPr="005302D3">
        <w:rPr>
          <w:sz w:val="22"/>
          <w:szCs w:val="22"/>
        </w:rPr>
        <w:t xml:space="preserve">. </w:t>
      </w:r>
      <w:r w:rsidR="00983EF5" w:rsidRPr="005302D3">
        <w:rPr>
          <w:sz w:val="22"/>
          <w:szCs w:val="22"/>
        </w:rPr>
        <w:t>The ability to offer firm quotes depend on the characteristic of the bonds: benchmark and “on-the-run” bonds and access to hedging instruments by PDs.</w:t>
      </w:r>
    </w:p>
    <w:p w14:paraId="0157C453" w14:textId="77777777" w:rsidR="00983EF5" w:rsidRPr="005302D3" w:rsidRDefault="00983EF5" w:rsidP="005302D3">
      <w:pPr>
        <w:pStyle w:val="Default"/>
        <w:jc w:val="both"/>
        <w:rPr>
          <w:sz w:val="22"/>
          <w:szCs w:val="22"/>
        </w:rPr>
      </w:pPr>
    </w:p>
    <w:p w14:paraId="3C9E2AE8" w14:textId="22E2323E" w:rsidR="0044298A" w:rsidRPr="005302D3" w:rsidRDefault="002F32F3" w:rsidP="005302D3">
      <w:pPr>
        <w:pStyle w:val="Default"/>
        <w:jc w:val="both"/>
        <w:rPr>
          <w:sz w:val="22"/>
          <w:szCs w:val="22"/>
        </w:rPr>
      </w:pPr>
      <w:r>
        <w:rPr>
          <w:sz w:val="22"/>
          <w:szCs w:val="22"/>
        </w:rPr>
        <w:t>4</w:t>
      </w:r>
      <w:r w:rsidR="005302D3">
        <w:rPr>
          <w:sz w:val="22"/>
          <w:szCs w:val="22"/>
        </w:rPr>
        <w:t>.4</w:t>
      </w:r>
      <w:r w:rsidR="005302D3">
        <w:rPr>
          <w:sz w:val="22"/>
          <w:szCs w:val="22"/>
        </w:rPr>
        <w:tab/>
      </w:r>
      <w:r w:rsidR="0044298A" w:rsidRPr="005302D3">
        <w:rPr>
          <w:sz w:val="22"/>
          <w:szCs w:val="22"/>
        </w:rPr>
        <w:t xml:space="preserve">The size of the maximum spread can be expressed either as a number or as an order of magnitude. </w:t>
      </w:r>
    </w:p>
    <w:p w14:paraId="3FEBD7F8" w14:textId="1B5F59DD" w:rsidR="0044298A" w:rsidRPr="005302D3" w:rsidRDefault="0044298A" w:rsidP="005302D3">
      <w:pPr>
        <w:pStyle w:val="Default"/>
        <w:jc w:val="both"/>
        <w:rPr>
          <w:sz w:val="22"/>
          <w:szCs w:val="22"/>
        </w:rPr>
      </w:pPr>
      <w:r w:rsidRPr="005302D3">
        <w:rPr>
          <w:bCs/>
          <w:sz w:val="22"/>
          <w:szCs w:val="22"/>
        </w:rPr>
        <w:t>This price quoting obligation generally applies both to prices quoted to customers and to prices quoted to other dealers</w:t>
      </w:r>
      <w:r w:rsidRPr="005302D3">
        <w:rPr>
          <w:sz w:val="22"/>
          <w:szCs w:val="22"/>
        </w:rPr>
        <w:t xml:space="preserve">. The objective of obliging dealers to quote to other dealers is to enhance price transparency by ensuring that the market is well arbitraged. </w:t>
      </w:r>
      <w:r w:rsidRPr="005302D3">
        <w:rPr>
          <w:bCs/>
          <w:sz w:val="22"/>
          <w:szCs w:val="22"/>
        </w:rPr>
        <w:t>Generally, the market making program covers all maturities issued</w:t>
      </w:r>
      <w:r w:rsidRPr="005302D3">
        <w:rPr>
          <w:sz w:val="22"/>
          <w:szCs w:val="22"/>
        </w:rPr>
        <w:t xml:space="preserve">. However, securities are allocated amongst PDs so that every dealer is committed to quote only a certain number of maturities and every security is quoted by at least a certain number of market makers. </w:t>
      </w:r>
    </w:p>
    <w:p w14:paraId="3407227E" w14:textId="77777777" w:rsidR="00983EF5" w:rsidRPr="005302D3" w:rsidRDefault="00983EF5" w:rsidP="005302D3">
      <w:pPr>
        <w:pStyle w:val="Default"/>
        <w:jc w:val="both"/>
        <w:rPr>
          <w:sz w:val="22"/>
          <w:szCs w:val="22"/>
        </w:rPr>
      </w:pPr>
    </w:p>
    <w:p w14:paraId="55C91916" w14:textId="6985D409" w:rsidR="0044298A" w:rsidRDefault="002F32F3" w:rsidP="005302D3">
      <w:pPr>
        <w:pStyle w:val="Default"/>
        <w:jc w:val="both"/>
        <w:rPr>
          <w:sz w:val="22"/>
          <w:szCs w:val="22"/>
        </w:rPr>
      </w:pPr>
      <w:r>
        <w:rPr>
          <w:bCs/>
          <w:sz w:val="22"/>
          <w:szCs w:val="22"/>
        </w:rPr>
        <w:t>4</w:t>
      </w:r>
      <w:r w:rsidR="005302D3">
        <w:rPr>
          <w:bCs/>
          <w:sz w:val="22"/>
          <w:szCs w:val="22"/>
        </w:rPr>
        <w:t>.5</w:t>
      </w:r>
      <w:r w:rsidR="005302D3">
        <w:rPr>
          <w:bCs/>
          <w:sz w:val="22"/>
          <w:szCs w:val="22"/>
        </w:rPr>
        <w:tab/>
      </w:r>
      <w:r w:rsidR="0044298A" w:rsidRPr="005302D3">
        <w:rPr>
          <w:bCs/>
          <w:sz w:val="22"/>
          <w:szCs w:val="22"/>
        </w:rPr>
        <w:t xml:space="preserve">PDs that are committed to quote firm prices are often also obliged to make a certain minimum turnover in the secondary market. </w:t>
      </w:r>
      <w:r w:rsidR="0044298A" w:rsidRPr="005302D3">
        <w:rPr>
          <w:sz w:val="22"/>
          <w:szCs w:val="22"/>
        </w:rPr>
        <w:t>The latter obligation tends to be adapted as the market develops. The minimum amount is expressed first as a percentage of the total turnover in the market,</w:t>
      </w:r>
      <w:r w:rsidR="005302D3" w:rsidRPr="005302D3">
        <w:rPr>
          <w:sz w:val="22"/>
          <w:szCs w:val="22"/>
        </w:rPr>
        <w:t xml:space="preserve"> </w:t>
      </w:r>
      <w:r w:rsidR="0044298A" w:rsidRPr="005302D3">
        <w:rPr>
          <w:sz w:val="22"/>
          <w:szCs w:val="22"/>
        </w:rPr>
        <w:t>then as a percentage of the aggregate turnover done by all PDs, and finally, the minimum amount requirement tends to disappear</w:t>
      </w:r>
      <w:r w:rsidR="005302D3" w:rsidRPr="005302D3">
        <w:rPr>
          <w:sz w:val="22"/>
          <w:szCs w:val="22"/>
        </w:rPr>
        <w:t xml:space="preserve"> as trading is well established and when the </w:t>
      </w:r>
      <w:r w:rsidR="0044298A" w:rsidRPr="005302D3">
        <w:rPr>
          <w:sz w:val="22"/>
          <w:szCs w:val="22"/>
        </w:rPr>
        <w:t xml:space="preserve">main benefit of a market making commitment </w:t>
      </w:r>
      <w:r w:rsidR="005302D3" w:rsidRPr="005302D3">
        <w:rPr>
          <w:sz w:val="22"/>
          <w:szCs w:val="22"/>
        </w:rPr>
        <w:t xml:space="preserve">transforms from </w:t>
      </w:r>
      <w:r w:rsidR="0044298A" w:rsidRPr="005302D3">
        <w:rPr>
          <w:sz w:val="22"/>
          <w:szCs w:val="22"/>
        </w:rPr>
        <w:t xml:space="preserve">liquidity </w:t>
      </w:r>
      <w:r w:rsidR="005302D3" w:rsidRPr="005302D3">
        <w:rPr>
          <w:sz w:val="22"/>
          <w:szCs w:val="22"/>
        </w:rPr>
        <w:t xml:space="preserve">to </w:t>
      </w:r>
      <w:r w:rsidR="0044298A" w:rsidRPr="005302D3">
        <w:rPr>
          <w:sz w:val="22"/>
          <w:szCs w:val="22"/>
        </w:rPr>
        <w:t>price transparency. Thus the quality of the prices quoted matters more than the volume done</w:t>
      </w:r>
      <w:r w:rsidR="005302D3" w:rsidRPr="005302D3">
        <w:rPr>
          <w:sz w:val="22"/>
          <w:szCs w:val="22"/>
        </w:rPr>
        <w:t xml:space="preserve">. </w:t>
      </w:r>
    </w:p>
    <w:p w14:paraId="5CD87371" w14:textId="77777777" w:rsidR="005302D3" w:rsidRPr="0044298A" w:rsidRDefault="005302D3" w:rsidP="0044298A">
      <w:pPr>
        <w:pStyle w:val="Default"/>
        <w:rPr>
          <w:sz w:val="22"/>
          <w:szCs w:val="22"/>
        </w:rPr>
      </w:pPr>
    </w:p>
    <w:p w14:paraId="170F02B9" w14:textId="62932E9A" w:rsidR="007D2708" w:rsidRDefault="002F32F3" w:rsidP="007D2708">
      <w:pPr>
        <w:pStyle w:val="Default"/>
        <w:jc w:val="both"/>
        <w:rPr>
          <w:sz w:val="22"/>
          <w:szCs w:val="22"/>
        </w:rPr>
      </w:pPr>
      <w:r>
        <w:rPr>
          <w:bCs/>
          <w:sz w:val="22"/>
          <w:szCs w:val="22"/>
        </w:rPr>
        <w:lastRenderedPageBreak/>
        <w:t>4</w:t>
      </w:r>
      <w:r w:rsidR="007D2708">
        <w:rPr>
          <w:bCs/>
          <w:sz w:val="22"/>
          <w:szCs w:val="22"/>
        </w:rPr>
        <w:t>.6</w:t>
      </w:r>
      <w:r w:rsidR="007D2708">
        <w:rPr>
          <w:bCs/>
          <w:sz w:val="22"/>
          <w:szCs w:val="22"/>
        </w:rPr>
        <w:tab/>
      </w:r>
      <w:r w:rsidR="005302D3" w:rsidRPr="007D2708">
        <w:rPr>
          <w:bCs/>
          <w:sz w:val="22"/>
          <w:szCs w:val="22"/>
        </w:rPr>
        <w:t xml:space="preserve">As a reciprocation to the duties of PDs envisaged, DMOs provide PDs with certain privileges. Such privileges are extended especially </w:t>
      </w:r>
      <w:r w:rsidR="005302D3" w:rsidRPr="007D2708">
        <w:rPr>
          <w:sz w:val="22"/>
          <w:szCs w:val="22"/>
        </w:rPr>
        <w:t>to help PDs perform in the absence of efficient supporting market structures and to motivate them to perform in the most effective manner possible by rewarding good performance. The mix of privileges and supporting arrangements depends on the overall market architecture.</w:t>
      </w:r>
      <w:r w:rsidR="007D2708">
        <w:rPr>
          <w:sz w:val="22"/>
          <w:szCs w:val="22"/>
        </w:rPr>
        <w:t xml:space="preserve"> Such privileges could be of a general nature, or apply specifically to the primary or secondary markets.</w:t>
      </w:r>
      <w:r w:rsidR="0085588B">
        <w:rPr>
          <w:sz w:val="22"/>
          <w:szCs w:val="22"/>
        </w:rPr>
        <w:t xml:space="preserve"> </w:t>
      </w:r>
    </w:p>
    <w:p w14:paraId="37A651F3" w14:textId="58AC005D" w:rsidR="005302D3" w:rsidRDefault="005302D3" w:rsidP="007D2708">
      <w:pPr>
        <w:pStyle w:val="Default"/>
        <w:jc w:val="both"/>
        <w:rPr>
          <w:sz w:val="22"/>
          <w:szCs w:val="22"/>
        </w:rPr>
      </w:pPr>
      <w:r w:rsidRPr="007D2708">
        <w:rPr>
          <w:sz w:val="22"/>
          <w:szCs w:val="22"/>
        </w:rPr>
        <w:t xml:space="preserve"> </w:t>
      </w:r>
    </w:p>
    <w:p w14:paraId="536F8F43" w14:textId="32350AC8" w:rsidR="007D2708" w:rsidRPr="007D2708" w:rsidRDefault="002F32F3" w:rsidP="007D2708">
      <w:pPr>
        <w:pStyle w:val="Default"/>
        <w:jc w:val="both"/>
      </w:pPr>
      <w:r>
        <w:rPr>
          <w:bCs/>
          <w:sz w:val="22"/>
          <w:szCs w:val="22"/>
        </w:rPr>
        <w:t>4</w:t>
      </w:r>
      <w:r w:rsidR="007D2708">
        <w:rPr>
          <w:bCs/>
          <w:sz w:val="22"/>
          <w:szCs w:val="22"/>
        </w:rPr>
        <w:t>.</w:t>
      </w:r>
      <w:r w:rsidR="0085588B">
        <w:rPr>
          <w:bCs/>
          <w:sz w:val="22"/>
          <w:szCs w:val="22"/>
        </w:rPr>
        <w:t>7</w:t>
      </w:r>
      <w:r w:rsidR="007D2708">
        <w:rPr>
          <w:bCs/>
          <w:sz w:val="22"/>
          <w:szCs w:val="22"/>
        </w:rPr>
        <w:tab/>
      </w:r>
      <w:r w:rsidR="005302D3" w:rsidRPr="007D2708">
        <w:rPr>
          <w:bCs/>
          <w:sz w:val="22"/>
          <w:szCs w:val="22"/>
        </w:rPr>
        <w:t xml:space="preserve">Some </w:t>
      </w:r>
      <w:r w:rsidR="007D2708" w:rsidRPr="007D2708">
        <w:rPr>
          <w:bCs/>
          <w:sz w:val="22"/>
          <w:szCs w:val="22"/>
        </w:rPr>
        <w:t xml:space="preserve">of the </w:t>
      </w:r>
      <w:r w:rsidR="005302D3" w:rsidRPr="007D2708">
        <w:rPr>
          <w:bCs/>
          <w:sz w:val="22"/>
          <w:szCs w:val="22"/>
        </w:rPr>
        <w:t xml:space="preserve">PDs’ privileges </w:t>
      </w:r>
      <w:r w:rsidR="007D2708" w:rsidRPr="007D2708">
        <w:rPr>
          <w:bCs/>
          <w:sz w:val="22"/>
          <w:szCs w:val="22"/>
        </w:rPr>
        <w:t xml:space="preserve">which are of a general nature and </w:t>
      </w:r>
      <w:r w:rsidR="005302D3" w:rsidRPr="007D2708">
        <w:rPr>
          <w:bCs/>
          <w:sz w:val="22"/>
          <w:szCs w:val="22"/>
        </w:rPr>
        <w:t xml:space="preserve">uniformly apply </w:t>
      </w:r>
      <w:r w:rsidR="005302D3" w:rsidRPr="007D2708">
        <w:rPr>
          <w:sz w:val="22"/>
          <w:szCs w:val="22"/>
        </w:rPr>
        <w:t xml:space="preserve">is the exclusive right to carry the title of PD and privileged treatment in getting information from, and in consulting with, the relevant DMO. </w:t>
      </w:r>
      <w:r w:rsidR="007D2708" w:rsidRPr="007D2708">
        <w:rPr>
          <w:sz w:val="22"/>
          <w:szCs w:val="22"/>
        </w:rPr>
        <w:t xml:space="preserve">Another privilege </w:t>
      </w:r>
      <w:r w:rsidR="007D2708" w:rsidRPr="007D2708">
        <w:rPr>
          <w:rFonts w:asciiTheme="minorHAnsi" w:hAnsiTheme="minorHAnsi" w:cstheme="minorBidi"/>
          <w:bCs/>
          <w:color w:val="auto"/>
          <w:sz w:val="22"/>
          <w:szCs w:val="22"/>
        </w:rPr>
        <w:t xml:space="preserve">includes </w:t>
      </w:r>
      <w:r w:rsidR="005302D3" w:rsidRPr="007D2708">
        <w:rPr>
          <w:sz w:val="22"/>
          <w:szCs w:val="22"/>
        </w:rPr>
        <w:t>granting PDs the status of exclusive or privileged counterpart of the DMO for profitable debt management operations. Typical examples are the award of a mandate of lead manager in a</w:t>
      </w:r>
      <w:r w:rsidR="007D2708" w:rsidRPr="007D2708">
        <w:t xml:space="preserve"> </w:t>
      </w:r>
      <w:r w:rsidR="007D2708" w:rsidRPr="007D2708">
        <w:rPr>
          <w:sz w:val="22"/>
          <w:szCs w:val="22"/>
        </w:rPr>
        <w:t>syndication or the DMO’s decision to deal only with PDs in the derivatives market. Regular publication of league tables listing the PDs (e.g., the first three or the first five PDs) that have been top performers in the primary and in the secondary market, respectively is another emerging privilege being extended to PDs.</w:t>
      </w:r>
    </w:p>
    <w:p w14:paraId="010CF140" w14:textId="77777777" w:rsidR="007D2708" w:rsidRPr="0085588B" w:rsidRDefault="007D2708" w:rsidP="0085588B">
      <w:pPr>
        <w:pStyle w:val="Default"/>
        <w:jc w:val="both"/>
        <w:rPr>
          <w:bCs/>
          <w:sz w:val="22"/>
          <w:szCs w:val="22"/>
        </w:rPr>
      </w:pPr>
    </w:p>
    <w:p w14:paraId="519F9E69" w14:textId="5B630607" w:rsidR="007D2708" w:rsidRPr="0085588B" w:rsidRDefault="002F32F3" w:rsidP="0085588B">
      <w:pPr>
        <w:pStyle w:val="Default"/>
        <w:jc w:val="both"/>
        <w:rPr>
          <w:sz w:val="22"/>
          <w:szCs w:val="22"/>
        </w:rPr>
      </w:pPr>
      <w:r>
        <w:rPr>
          <w:bCs/>
          <w:sz w:val="22"/>
          <w:szCs w:val="22"/>
        </w:rPr>
        <w:t>4</w:t>
      </w:r>
      <w:r w:rsidR="0085588B">
        <w:rPr>
          <w:bCs/>
          <w:sz w:val="22"/>
          <w:szCs w:val="22"/>
        </w:rPr>
        <w:t>.8</w:t>
      </w:r>
      <w:r w:rsidR="0085588B">
        <w:rPr>
          <w:bCs/>
          <w:sz w:val="22"/>
          <w:szCs w:val="22"/>
        </w:rPr>
        <w:tab/>
      </w:r>
      <w:r w:rsidR="007D2708" w:rsidRPr="0085588B">
        <w:rPr>
          <w:bCs/>
          <w:sz w:val="22"/>
          <w:szCs w:val="22"/>
        </w:rPr>
        <w:t xml:space="preserve">Privileges that are provided in the primary market </w:t>
      </w:r>
      <w:r w:rsidR="007D2708" w:rsidRPr="0085588B">
        <w:rPr>
          <w:sz w:val="22"/>
          <w:szCs w:val="22"/>
        </w:rPr>
        <w:t xml:space="preserve">(i.e., principally auctions), constitutes: (i) recognizing the exclusive right of PDs to be direct bidders at auctions, (ii) allowing extra time for PDs to submit bids when other market participants can also be direct bidders at auctions, (iii) paying PDs a commission on successful bids, or (iv) increasingly, granting PDs the right to submit non-competitive subscriptions either at or after the auction. </w:t>
      </w:r>
    </w:p>
    <w:p w14:paraId="27B3158F" w14:textId="77777777" w:rsidR="007D2708" w:rsidRPr="0085588B" w:rsidRDefault="007D2708" w:rsidP="0085588B">
      <w:pPr>
        <w:pStyle w:val="Default"/>
        <w:jc w:val="both"/>
        <w:rPr>
          <w:sz w:val="22"/>
          <w:szCs w:val="22"/>
        </w:rPr>
      </w:pPr>
    </w:p>
    <w:p w14:paraId="5662C3E1" w14:textId="57C14B05" w:rsidR="007D2708" w:rsidRPr="0085588B" w:rsidRDefault="002F32F3" w:rsidP="007B7643">
      <w:pPr>
        <w:spacing w:after="0"/>
        <w:ind w:right="4"/>
        <w:jc w:val="both"/>
      </w:pPr>
      <w:r>
        <w:rPr>
          <w:bCs/>
        </w:rPr>
        <w:t>4</w:t>
      </w:r>
      <w:r w:rsidR="0085588B">
        <w:rPr>
          <w:bCs/>
        </w:rPr>
        <w:t>.9</w:t>
      </w:r>
      <w:r w:rsidR="0085588B">
        <w:rPr>
          <w:bCs/>
        </w:rPr>
        <w:tab/>
      </w:r>
      <w:r w:rsidR="007D2708" w:rsidRPr="0085588B">
        <w:rPr>
          <w:bCs/>
        </w:rPr>
        <w:t xml:space="preserve">The most important privilege provided to PDs in the secondary market </w:t>
      </w:r>
      <w:r w:rsidR="007D2708" w:rsidRPr="0085588B">
        <w:t>is the exclusive access to a securities lending facility. Other privileges can also apply</w:t>
      </w:r>
      <w:r w:rsidR="0085588B" w:rsidRPr="0085588B">
        <w:t xml:space="preserve"> to PDs related to central banks’ operation. This could include </w:t>
      </w:r>
      <w:r w:rsidR="007D2708" w:rsidRPr="0085588B">
        <w:t>special privileges to borrow from the central bank, the exclusive right to be a counterpart of the central bank for its open market operations, or the exclusive right to trade in the call market.</w:t>
      </w:r>
    </w:p>
    <w:p w14:paraId="5CD06679" w14:textId="080F98D2" w:rsidR="007D2708" w:rsidRDefault="007D2708" w:rsidP="007D2708">
      <w:pPr>
        <w:spacing w:after="0"/>
        <w:ind w:right="632"/>
        <w:rPr>
          <w:rFonts w:eastAsia="Sylfaen" w:cstheme="minorHAnsi"/>
          <w:sz w:val="24"/>
          <w:szCs w:val="24"/>
        </w:rPr>
      </w:pPr>
    </w:p>
    <w:p w14:paraId="0650067A" w14:textId="04FAD625" w:rsidR="00AA0231" w:rsidRDefault="002F32F3" w:rsidP="00AA0231">
      <w:pPr>
        <w:pStyle w:val="Default"/>
        <w:jc w:val="both"/>
        <w:rPr>
          <w:sz w:val="22"/>
          <w:szCs w:val="22"/>
        </w:rPr>
      </w:pPr>
      <w:r>
        <w:rPr>
          <w:bCs/>
          <w:sz w:val="22"/>
          <w:szCs w:val="22"/>
        </w:rPr>
        <w:t>4</w:t>
      </w:r>
      <w:r w:rsidR="00AA0231">
        <w:rPr>
          <w:bCs/>
          <w:sz w:val="22"/>
          <w:szCs w:val="22"/>
        </w:rPr>
        <w:t>.10</w:t>
      </w:r>
      <w:r w:rsidR="00AA0231">
        <w:rPr>
          <w:bCs/>
          <w:sz w:val="22"/>
          <w:szCs w:val="22"/>
        </w:rPr>
        <w:tab/>
      </w:r>
      <w:r w:rsidR="0085588B" w:rsidRPr="00E2795C">
        <w:rPr>
          <w:bCs/>
          <w:sz w:val="22"/>
          <w:szCs w:val="22"/>
        </w:rPr>
        <w:t xml:space="preserve">Designing a PD appraisal procedure is a three steps process. The first step is to make an inventory of the various components of the PD’s expected performance </w:t>
      </w:r>
      <w:r w:rsidR="0085588B" w:rsidRPr="00E2795C">
        <w:rPr>
          <w:sz w:val="22"/>
          <w:szCs w:val="22"/>
        </w:rPr>
        <w:t xml:space="preserve">(evaluation criteria). Some components will be quantitative. They can be expressed as a certain amount of currency (e.g., sum of the bids submitted by a PD at an auction). Others will be of a qualitative nature (e.g., quality of the advice provided by a PD to the DMO). </w:t>
      </w:r>
      <w:r w:rsidR="0085588B" w:rsidRPr="00E2795C">
        <w:rPr>
          <w:bCs/>
          <w:sz w:val="22"/>
          <w:szCs w:val="22"/>
        </w:rPr>
        <w:t>The second step is to weigh each activity as a function of its importance to the DMO. The third step is to make three policy decisions</w:t>
      </w:r>
      <w:r w:rsidR="0085588B" w:rsidRPr="00E2795C">
        <w:rPr>
          <w:sz w:val="22"/>
          <w:szCs w:val="22"/>
        </w:rPr>
        <w:t xml:space="preserve">. These refer to the disclosure of the mechanics of the appraisal procedure, the disclosure of the results of the appraisal procedure and the impact of the appraisal result on the allocation of rewards. </w:t>
      </w:r>
    </w:p>
    <w:p w14:paraId="26A23920" w14:textId="2CE0509F" w:rsidR="0085588B" w:rsidRPr="00E2795C" w:rsidRDefault="0085588B" w:rsidP="00E2795C">
      <w:pPr>
        <w:pStyle w:val="Default"/>
        <w:jc w:val="both"/>
        <w:rPr>
          <w:sz w:val="22"/>
          <w:szCs w:val="22"/>
        </w:rPr>
      </w:pPr>
    </w:p>
    <w:p w14:paraId="358AE34D" w14:textId="3E83F9D7" w:rsidR="00AA0231" w:rsidRPr="00AA0231" w:rsidRDefault="002F32F3" w:rsidP="00AA0231">
      <w:pPr>
        <w:pStyle w:val="Default"/>
        <w:jc w:val="both"/>
        <w:rPr>
          <w:sz w:val="22"/>
          <w:szCs w:val="22"/>
        </w:rPr>
      </w:pPr>
      <w:r>
        <w:rPr>
          <w:bCs/>
          <w:sz w:val="22"/>
          <w:szCs w:val="22"/>
        </w:rPr>
        <w:t>4</w:t>
      </w:r>
      <w:r w:rsidR="00AA0231">
        <w:rPr>
          <w:bCs/>
          <w:sz w:val="22"/>
          <w:szCs w:val="22"/>
        </w:rPr>
        <w:t>.11</w:t>
      </w:r>
      <w:r w:rsidR="00AA0231">
        <w:rPr>
          <w:bCs/>
          <w:sz w:val="22"/>
          <w:szCs w:val="22"/>
        </w:rPr>
        <w:tab/>
      </w:r>
      <w:r w:rsidR="0085588B" w:rsidRPr="00AA0231">
        <w:rPr>
          <w:bCs/>
          <w:sz w:val="22"/>
          <w:szCs w:val="22"/>
        </w:rPr>
        <w:t>The quantitative criteria include all the components of the PD’s activity that can be expressed in terms of volumes</w:t>
      </w:r>
      <w:r w:rsidR="00E2795C" w:rsidRPr="00AA0231">
        <w:rPr>
          <w:bCs/>
          <w:sz w:val="22"/>
          <w:szCs w:val="22"/>
        </w:rPr>
        <w:t xml:space="preserve">, </w:t>
      </w:r>
      <w:r w:rsidR="0085588B" w:rsidRPr="00AA0231">
        <w:rPr>
          <w:bCs/>
          <w:sz w:val="22"/>
          <w:szCs w:val="22"/>
        </w:rPr>
        <w:t xml:space="preserve">market share </w:t>
      </w:r>
      <w:r w:rsidR="00E2795C" w:rsidRPr="00AA0231">
        <w:rPr>
          <w:bCs/>
          <w:sz w:val="22"/>
          <w:szCs w:val="22"/>
        </w:rPr>
        <w:t xml:space="preserve">or prices </w:t>
      </w:r>
      <w:r w:rsidR="0085588B" w:rsidRPr="00AA0231">
        <w:rPr>
          <w:sz w:val="22"/>
          <w:szCs w:val="22"/>
        </w:rPr>
        <w:t>(e.g., the amount of successful bids at the auctions</w:t>
      </w:r>
      <w:r w:rsidR="00E2795C" w:rsidRPr="00AA0231">
        <w:rPr>
          <w:sz w:val="22"/>
          <w:szCs w:val="22"/>
        </w:rPr>
        <w:t>, trade turnover or spreads of quotations</w:t>
      </w:r>
      <w:r w:rsidR="0085588B" w:rsidRPr="00AA0231">
        <w:rPr>
          <w:sz w:val="22"/>
          <w:szCs w:val="22"/>
        </w:rPr>
        <w:t>).</w:t>
      </w:r>
      <w:r w:rsidR="00E2795C" w:rsidRPr="00AA0231">
        <w:rPr>
          <w:sz w:val="22"/>
          <w:szCs w:val="22"/>
        </w:rPr>
        <w:t xml:space="preserve"> Business volumes are increasingly duration weighted in order for the appraisal procedure to use comparable figures when calculating aggregates. This is easy to implement in the primary market as the maturities are known to the DMO. On the secondary market, however, a duration weighting is technically possible only if PDs report their transactions by maturity ranges. </w:t>
      </w:r>
      <w:r w:rsidR="00AA0231" w:rsidRPr="00AA0231">
        <w:rPr>
          <w:sz w:val="22"/>
          <w:szCs w:val="22"/>
        </w:rPr>
        <w:t xml:space="preserve">It is technically possible to refine the appraisal of PDs’ </w:t>
      </w:r>
      <w:r w:rsidR="007B7643" w:rsidRPr="00AA0231">
        <w:rPr>
          <w:sz w:val="22"/>
          <w:szCs w:val="22"/>
        </w:rPr>
        <w:t>behavior</w:t>
      </w:r>
      <w:r w:rsidR="00AA0231" w:rsidRPr="00AA0231">
        <w:rPr>
          <w:sz w:val="22"/>
          <w:szCs w:val="22"/>
        </w:rPr>
        <w:t xml:space="preserve"> at auctions by including in the analysis the quality and the stability of their performance and the quality of their price discovery. </w:t>
      </w:r>
    </w:p>
    <w:p w14:paraId="5C6C9E14" w14:textId="2BAC68D4" w:rsidR="00E2795C" w:rsidRDefault="00E2795C" w:rsidP="00E2795C">
      <w:pPr>
        <w:spacing w:after="0"/>
        <w:ind w:right="632"/>
      </w:pPr>
    </w:p>
    <w:p w14:paraId="7EE1ACF8" w14:textId="5711EE4A" w:rsidR="00E2795C" w:rsidRPr="00AA0231" w:rsidRDefault="002F32F3" w:rsidP="007B7643">
      <w:pPr>
        <w:spacing w:after="0"/>
        <w:ind w:right="4"/>
        <w:jc w:val="both"/>
        <w:rPr>
          <w:rFonts w:eastAsia="Sylfaen" w:cstheme="minorHAnsi"/>
          <w:sz w:val="24"/>
          <w:szCs w:val="24"/>
        </w:rPr>
      </w:pPr>
      <w:r>
        <w:rPr>
          <w:bCs/>
        </w:rPr>
        <w:lastRenderedPageBreak/>
        <w:t>4</w:t>
      </w:r>
      <w:r w:rsidR="00AA0231">
        <w:rPr>
          <w:bCs/>
        </w:rPr>
        <w:t>.12</w:t>
      </w:r>
      <w:r w:rsidR="00AA0231">
        <w:rPr>
          <w:bCs/>
        </w:rPr>
        <w:tab/>
      </w:r>
      <w:r w:rsidR="00E2795C" w:rsidRPr="00AA0231">
        <w:rPr>
          <w:bCs/>
        </w:rPr>
        <w:t>A variety of qualitative criteria are used in practice. This includes</w:t>
      </w:r>
      <w:r w:rsidR="00E2795C" w:rsidRPr="00AA0231">
        <w:t xml:space="preserve"> market information, trade execution, advice,</w:t>
      </w:r>
      <w:r w:rsidR="00E2795C" w:rsidRPr="00AA0231">
        <w:rPr>
          <w:sz w:val="14"/>
          <w:szCs w:val="14"/>
        </w:rPr>
        <w:t xml:space="preserve"> </w:t>
      </w:r>
      <w:r w:rsidR="00E2795C" w:rsidRPr="00AA0231">
        <w:t>research, promotion of the issuer, and overall relationship. Some DMOs use customer surveys to gauge investors’ satisfaction,</w:t>
      </w:r>
      <w:r w:rsidR="00E2795C" w:rsidRPr="00AA0231">
        <w:rPr>
          <w:sz w:val="14"/>
          <w:szCs w:val="14"/>
        </w:rPr>
        <w:t xml:space="preserve"> </w:t>
      </w:r>
      <w:r w:rsidR="00E2795C" w:rsidRPr="00AA0231">
        <w:t>etc.</w:t>
      </w:r>
    </w:p>
    <w:p w14:paraId="2F4CCC8E" w14:textId="3F3AE8EE" w:rsidR="00E2795C" w:rsidRDefault="00E2795C" w:rsidP="00D62B6C">
      <w:pPr>
        <w:spacing w:after="0"/>
        <w:ind w:right="632"/>
        <w:rPr>
          <w:rFonts w:eastAsia="Sylfaen" w:cstheme="minorHAnsi"/>
          <w:b/>
          <w:sz w:val="24"/>
          <w:szCs w:val="24"/>
        </w:rPr>
      </w:pPr>
    </w:p>
    <w:p w14:paraId="5206B5E6" w14:textId="7BAD9A83" w:rsidR="00AA0231" w:rsidRPr="007C52F0" w:rsidRDefault="002F32F3" w:rsidP="007C52F0">
      <w:pPr>
        <w:pStyle w:val="Default"/>
        <w:jc w:val="both"/>
        <w:rPr>
          <w:rFonts w:eastAsia="Sylfaen" w:cstheme="minorHAnsi"/>
        </w:rPr>
      </w:pPr>
      <w:r>
        <w:rPr>
          <w:bCs/>
          <w:sz w:val="22"/>
          <w:szCs w:val="22"/>
        </w:rPr>
        <w:t>4</w:t>
      </w:r>
      <w:r w:rsidR="007C52F0">
        <w:rPr>
          <w:bCs/>
          <w:sz w:val="22"/>
          <w:szCs w:val="22"/>
        </w:rPr>
        <w:t>.13</w:t>
      </w:r>
      <w:r w:rsidR="007C52F0">
        <w:rPr>
          <w:bCs/>
          <w:sz w:val="22"/>
          <w:szCs w:val="22"/>
        </w:rPr>
        <w:tab/>
      </w:r>
      <w:r w:rsidR="00AA0231" w:rsidRPr="007C52F0">
        <w:rPr>
          <w:bCs/>
          <w:sz w:val="22"/>
          <w:szCs w:val="22"/>
        </w:rPr>
        <w:t xml:space="preserve">The main issues involved in assigning weights relates to the relative importance between primary and secondary market, type of instruments and between quantitative and qualitative indicators. </w:t>
      </w:r>
      <w:r w:rsidR="00AA0231" w:rsidRPr="007C52F0">
        <w:rPr>
          <w:sz w:val="22"/>
          <w:szCs w:val="22"/>
        </w:rPr>
        <w:t xml:space="preserve">DMOs provide a larger weight to the primary market where the availability of funding (primary market) is ultimately more important than its cost (secondary market). Other DMOs assign either the same or larger weight to the secondary market. In respect of instruments, weights increase when maturities lengthen. Long-term funding is more valuable to the DMO and more risky for the PD to provide than short-term funding. Weights on qualitative assessment are generally restricted to within 20%. </w:t>
      </w:r>
    </w:p>
    <w:p w14:paraId="10687AC0" w14:textId="1596B6F7" w:rsidR="00E2795C" w:rsidRDefault="00E2795C" w:rsidP="00D62B6C">
      <w:pPr>
        <w:spacing w:after="0"/>
        <w:ind w:right="632"/>
        <w:rPr>
          <w:rFonts w:eastAsia="Sylfaen" w:cstheme="minorHAnsi"/>
          <w:b/>
          <w:sz w:val="24"/>
          <w:szCs w:val="24"/>
        </w:rPr>
      </w:pPr>
    </w:p>
    <w:p w14:paraId="5EC1E6C5" w14:textId="76A72A0C" w:rsidR="00AA0231" w:rsidRPr="00E2795C" w:rsidRDefault="002F32F3" w:rsidP="007B7643">
      <w:pPr>
        <w:spacing w:after="0"/>
        <w:ind w:right="4"/>
        <w:jc w:val="both"/>
      </w:pPr>
      <w:r>
        <w:rPr>
          <w:bCs/>
        </w:rPr>
        <w:t>4</w:t>
      </w:r>
      <w:r w:rsidR="00AA0231">
        <w:rPr>
          <w:bCs/>
        </w:rPr>
        <w:t>.1</w:t>
      </w:r>
      <w:r w:rsidR="007C52F0">
        <w:rPr>
          <w:bCs/>
        </w:rPr>
        <w:t>4</w:t>
      </w:r>
      <w:r w:rsidR="00AA0231">
        <w:rPr>
          <w:bCs/>
        </w:rPr>
        <w:tab/>
      </w:r>
      <w:r w:rsidR="00AA0231" w:rsidRPr="00E2795C">
        <w:rPr>
          <w:bCs/>
        </w:rPr>
        <w:t>DMOs are advised not to establish a completely mechanical link between the results of the appraisal procedure and the allocation of rewards. Allocating incentives requires DMOs to exercise judgment. It is counterproductive to reward only the few best performing PDs. While t</w:t>
      </w:r>
      <w:r w:rsidR="00AA0231" w:rsidRPr="00E2795C">
        <w:t>he best performers should be rewarded more than the good performers but the good performers should obtain some reward also. PDs sometimes have different fields of expertise which the debt manager must try to take advantage of in the most efficient way.</w:t>
      </w:r>
    </w:p>
    <w:p w14:paraId="51F5D38F" w14:textId="77777777" w:rsidR="00AA0231" w:rsidRDefault="00AA0231" w:rsidP="00D62B6C">
      <w:pPr>
        <w:spacing w:after="0"/>
        <w:ind w:right="632"/>
        <w:rPr>
          <w:rFonts w:eastAsia="Sylfaen" w:cstheme="minorHAnsi"/>
          <w:b/>
          <w:sz w:val="24"/>
          <w:szCs w:val="24"/>
        </w:rPr>
      </w:pPr>
    </w:p>
    <w:p w14:paraId="4F5C7133" w14:textId="06051815" w:rsidR="00D62B6C" w:rsidRDefault="00936037" w:rsidP="00D62B6C">
      <w:pPr>
        <w:spacing w:after="0"/>
        <w:ind w:right="632"/>
        <w:rPr>
          <w:rFonts w:eastAsia="Sylfaen" w:cstheme="minorHAnsi"/>
          <w:b/>
          <w:sz w:val="24"/>
          <w:szCs w:val="24"/>
        </w:rPr>
      </w:pPr>
      <w:r>
        <w:rPr>
          <w:rFonts w:eastAsia="Sylfaen" w:cstheme="minorHAnsi"/>
          <w:b/>
          <w:sz w:val="24"/>
          <w:szCs w:val="24"/>
        </w:rPr>
        <w:t>V.</w:t>
      </w:r>
      <w:r>
        <w:rPr>
          <w:rFonts w:eastAsia="Sylfaen" w:cstheme="minorHAnsi"/>
          <w:b/>
          <w:sz w:val="24"/>
          <w:szCs w:val="24"/>
        </w:rPr>
        <w:tab/>
      </w:r>
      <w:r w:rsidR="008A140D" w:rsidRPr="00701039">
        <w:rPr>
          <w:rFonts w:eastAsia="Sylfaen" w:cstheme="minorHAnsi"/>
          <w:b/>
          <w:sz w:val="24"/>
          <w:szCs w:val="24"/>
        </w:rPr>
        <w:t xml:space="preserve">Assessment of the Evaluation Framework </w:t>
      </w:r>
    </w:p>
    <w:p w14:paraId="67F40D1A" w14:textId="77777777" w:rsidR="00792DEB" w:rsidRPr="00701039" w:rsidRDefault="00792DEB" w:rsidP="00D62B6C">
      <w:pPr>
        <w:spacing w:after="0"/>
        <w:ind w:right="632"/>
        <w:rPr>
          <w:rFonts w:eastAsia="Sylfaen" w:cstheme="minorHAnsi"/>
          <w:b/>
          <w:sz w:val="24"/>
          <w:szCs w:val="24"/>
        </w:rPr>
      </w:pPr>
    </w:p>
    <w:p w14:paraId="197218E4" w14:textId="70EB7E92" w:rsidR="00792DEB" w:rsidRPr="00096A87" w:rsidRDefault="00792DEB" w:rsidP="00792DEB">
      <w:pPr>
        <w:spacing w:after="0"/>
        <w:ind w:right="4"/>
        <w:jc w:val="both"/>
        <w:rPr>
          <w:rFonts w:eastAsia="Sylfaen" w:cstheme="minorHAnsi"/>
        </w:rPr>
      </w:pPr>
      <w:r>
        <w:t>5.1</w:t>
      </w:r>
      <w:r>
        <w:tab/>
      </w:r>
      <w:r w:rsidRPr="00096A87">
        <w:t xml:space="preserve">The regulatory framework for PDs is indicated in the Ministry of Finance Decree on Primary Dealers which also provides the basis for the evaluation of PD activity. Based on the evaluation framework, the lowest ranked PD is replaced from the highest ranked entity within a potential list of PDs which also includes investment </w:t>
      </w:r>
      <w:r>
        <w:t>companies</w:t>
      </w:r>
      <w:r w:rsidRPr="00096A87">
        <w:t xml:space="preserve">. </w:t>
      </w:r>
      <w:r w:rsidRPr="00096A87">
        <w:rPr>
          <w:rFonts w:eastAsia="Sylfaen" w:cstheme="minorHAnsi"/>
        </w:rPr>
        <w:t>The potential participant willing to become a PD will be required to present to the PDMD its program of activities in bond market for the upcoming two years including its volume and structure of bonds portfolio; and the availability of investors and the policy for involving new investors. The evaluation framework is implemented in a transparent manner by the PDMD.</w:t>
      </w:r>
    </w:p>
    <w:p w14:paraId="49319C5F" w14:textId="77777777" w:rsidR="00792DEB" w:rsidRPr="00096A87" w:rsidRDefault="00792DEB" w:rsidP="00792DEB">
      <w:pPr>
        <w:spacing w:after="0"/>
        <w:ind w:right="4"/>
      </w:pPr>
    </w:p>
    <w:p w14:paraId="0F48D589" w14:textId="28030A81" w:rsidR="00792DEB" w:rsidRPr="00096A87" w:rsidRDefault="00792DEB" w:rsidP="00792DEB">
      <w:pPr>
        <w:spacing w:after="0"/>
        <w:ind w:right="4"/>
        <w:jc w:val="both"/>
        <w:rPr>
          <w:rFonts w:eastAsia="Sylfaen" w:cstheme="minorHAnsi"/>
        </w:rPr>
      </w:pPr>
      <w:r>
        <w:rPr>
          <w:rFonts w:eastAsia="Sylfaen" w:cstheme="minorHAnsi"/>
        </w:rPr>
        <w:t>5.2</w:t>
      </w:r>
      <w:r>
        <w:rPr>
          <w:rFonts w:eastAsia="Sylfaen" w:cstheme="minorHAnsi"/>
        </w:rPr>
        <w:tab/>
      </w:r>
      <w:r w:rsidRPr="00096A87">
        <w:rPr>
          <w:rFonts w:eastAsia="Sylfaen" w:cstheme="minorHAnsi"/>
        </w:rPr>
        <w:t xml:space="preserve">The activities of the PDs are evaluated based on its participation in the primary market, activity in the secondary market and its work with the issuer with a weight of 40 percent, 50 percent and 10 percent respectively. While the first two parameters are quantified based on an objective metrics, the latter parameter is quantified based on </w:t>
      </w:r>
      <w:r>
        <w:rPr>
          <w:rFonts w:eastAsia="Sylfaen" w:cstheme="minorHAnsi"/>
        </w:rPr>
        <w:t xml:space="preserve">a </w:t>
      </w:r>
      <w:r w:rsidRPr="00096A87">
        <w:rPr>
          <w:rFonts w:eastAsia="Sylfaen" w:cstheme="minorHAnsi"/>
        </w:rPr>
        <w:t xml:space="preserve">subjective assessment. The detailed analytical framework of the three indicators </w:t>
      </w:r>
      <w:r>
        <w:rPr>
          <w:rFonts w:eastAsia="Sylfaen" w:cstheme="minorHAnsi"/>
        </w:rPr>
        <w:t>is</w:t>
      </w:r>
      <w:r w:rsidRPr="00096A87">
        <w:rPr>
          <w:rFonts w:eastAsia="Sylfaen" w:cstheme="minorHAnsi"/>
        </w:rPr>
        <w:t xml:space="preserve"> provided in </w:t>
      </w:r>
      <w:r>
        <w:rPr>
          <w:rFonts w:eastAsia="Sylfaen" w:cstheme="minorHAnsi"/>
        </w:rPr>
        <w:t>Appendix 1</w:t>
      </w:r>
      <w:r w:rsidRPr="00096A87">
        <w:rPr>
          <w:rFonts w:eastAsia="Sylfaen" w:cstheme="minorHAnsi"/>
        </w:rPr>
        <w:t>.</w:t>
      </w:r>
    </w:p>
    <w:p w14:paraId="7834A742" w14:textId="77777777" w:rsidR="00792DEB" w:rsidRPr="00096A87" w:rsidRDefault="00792DEB" w:rsidP="00792DEB">
      <w:pPr>
        <w:spacing w:after="0"/>
        <w:ind w:right="4"/>
        <w:rPr>
          <w:rFonts w:eastAsia="Sylfaen" w:cstheme="minorHAnsi"/>
        </w:rPr>
      </w:pPr>
    </w:p>
    <w:p w14:paraId="17017B8D" w14:textId="57806874" w:rsidR="00792DEB" w:rsidRPr="00096A87" w:rsidRDefault="00792DEB" w:rsidP="00792DEB">
      <w:pPr>
        <w:spacing w:after="0"/>
        <w:ind w:right="4"/>
        <w:jc w:val="both"/>
        <w:rPr>
          <w:rFonts w:eastAsia="Sylfaen" w:cstheme="minorHAnsi"/>
        </w:rPr>
      </w:pPr>
      <w:r>
        <w:rPr>
          <w:rFonts w:eastAsia="Sylfaen" w:cstheme="minorHAnsi"/>
        </w:rPr>
        <w:t>5.3</w:t>
      </w:r>
      <w:r>
        <w:rPr>
          <w:rFonts w:eastAsia="Sylfaen" w:cstheme="minorHAnsi"/>
        </w:rPr>
        <w:tab/>
      </w:r>
      <w:r w:rsidRPr="00096A87">
        <w:rPr>
          <w:rFonts w:eastAsia="Sylfaen" w:cstheme="minorHAnsi"/>
        </w:rPr>
        <w:t xml:space="preserve">The index on primary market participation is based on competitive allocations in primary auctions on issuance and buybacks. The index on primary market participation includes two indicators: share of allocation for a PD in the total allocation; and the share of allocation for a PD in the total bid submitted by the PD (inverse of bid-cover ratio for a specific PD). The weights applied are </w:t>
      </w:r>
      <w:r>
        <w:rPr>
          <w:rFonts w:eastAsia="Sylfaen" w:cstheme="minorHAnsi"/>
        </w:rPr>
        <w:t>75</w:t>
      </w:r>
      <w:r w:rsidRPr="00096A87">
        <w:rPr>
          <w:rFonts w:eastAsia="Sylfaen" w:cstheme="minorHAnsi"/>
        </w:rPr>
        <w:t xml:space="preserve"> percent and </w:t>
      </w:r>
      <w:r>
        <w:rPr>
          <w:rFonts w:eastAsia="Sylfaen" w:cstheme="minorHAnsi"/>
        </w:rPr>
        <w:t>25</w:t>
      </w:r>
      <w:r w:rsidRPr="00096A87">
        <w:rPr>
          <w:rFonts w:eastAsia="Sylfaen" w:cstheme="minorHAnsi"/>
        </w:rPr>
        <w:t xml:space="preserve"> percent for the first and second indicators respectively. The evaluation therefore places a significantly greater weight on “</w:t>
      </w:r>
      <w:r>
        <w:rPr>
          <w:rFonts w:eastAsia="Sylfaen" w:cstheme="minorHAnsi"/>
        </w:rPr>
        <w:t>relative</w:t>
      </w:r>
      <w:r w:rsidRPr="00096A87">
        <w:rPr>
          <w:rFonts w:eastAsia="Sylfaen" w:cstheme="minorHAnsi"/>
        </w:rPr>
        <w:t xml:space="preserve">” participation </w:t>
      </w:r>
      <w:r>
        <w:rPr>
          <w:rFonts w:eastAsia="Sylfaen" w:cstheme="minorHAnsi"/>
        </w:rPr>
        <w:t xml:space="preserve">in the global allocation </w:t>
      </w:r>
      <w:r w:rsidRPr="00096A87">
        <w:rPr>
          <w:rFonts w:eastAsia="Sylfaen" w:cstheme="minorHAnsi"/>
        </w:rPr>
        <w:t xml:space="preserve">than </w:t>
      </w:r>
      <w:r>
        <w:rPr>
          <w:rFonts w:eastAsia="Sylfaen" w:cstheme="minorHAnsi"/>
        </w:rPr>
        <w:t xml:space="preserve">the aggressiveness of </w:t>
      </w:r>
      <w:r w:rsidRPr="00096A87">
        <w:rPr>
          <w:rFonts w:eastAsia="Sylfaen" w:cstheme="minorHAnsi"/>
        </w:rPr>
        <w:t xml:space="preserve">“individual” participation. A sub-weight is applied on these two indicators based on the remaining maturity of securities allocated, with short-term, medium-term and long-term securities accorded </w:t>
      </w:r>
      <w:r w:rsidRPr="00096A87">
        <w:rPr>
          <w:rFonts w:eastAsia="Sylfaen" w:cstheme="minorHAnsi"/>
        </w:rPr>
        <w:lastRenderedPageBreak/>
        <w:t xml:space="preserve">weights of 20 percent, 40 percent and 40 percent respectively. </w:t>
      </w:r>
      <w:r>
        <w:rPr>
          <w:rFonts w:eastAsia="Sylfaen" w:cstheme="minorHAnsi"/>
        </w:rPr>
        <w:t>I</w:t>
      </w:r>
      <w:r w:rsidRPr="00096A87">
        <w:rPr>
          <w:rFonts w:eastAsia="Sylfaen" w:cstheme="minorHAnsi"/>
        </w:rPr>
        <w:t>nformation on th</w:t>
      </w:r>
      <w:r>
        <w:rPr>
          <w:rFonts w:eastAsia="Sylfaen" w:cstheme="minorHAnsi"/>
        </w:rPr>
        <w:t>e primary market</w:t>
      </w:r>
      <w:r w:rsidRPr="00096A87">
        <w:rPr>
          <w:rFonts w:eastAsia="Sylfaen" w:cstheme="minorHAnsi"/>
        </w:rPr>
        <w:t xml:space="preserve"> metrics is provided by the </w:t>
      </w:r>
      <w:r>
        <w:rPr>
          <w:rFonts w:eastAsia="Sylfaen" w:cstheme="minorHAnsi"/>
        </w:rPr>
        <w:t xml:space="preserve">NASDQ-OMX </w:t>
      </w:r>
      <w:r w:rsidRPr="00096A87">
        <w:rPr>
          <w:rFonts w:eastAsia="Sylfaen" w:cstheme="minorHAnsi"/>
        </w:rPr>
        <w:t xml:space="preserve">to PDMD on a quarterly basis.  </w:t>
      </w:r>
    </w:p>
    <w:p w14:paraId="2EED8B58" w14:textId="77777777" w:rsidR="00792DEB" w:rsidRPr="00096A87" w:rsidRDefault="00792DEB" w:rsidP="00792DEB">
      <w:pPr>
        <w:spacing w:after="0"/>
        <w:ind w:right="4"/>
        <w:jc w:val="both"/>
        <w:rPr>
          <w:rFonts w:eastAsia="Sylfaen" w:cstheme="minorHAnsi"/>
        </w:rPr>
      </w:pPr>
    </w:p>
    <w:p w14:paraId="6A076E81" w14:textId="0E85F7F3" w:rsidR="00792DEB" w:rsidRPr="00096A87" w:rsidRDefault="00792DEB" w:rsidP="00792DEB">
      <w:pPr>
        <w:spacing w:after="0"/>
        <w:ind w:right="4"/>
        <w:jc w:val="both"/>
        <w:rPr>
          <w:rFonts w:eastAsia="Sylfaen" w:cstheme="minorHAnsi"/>
        </w:rPr>
      </w:pPr>
      <w:r>
        <w:rPr>
          <w:rFonts w:eastAsia="Sylfaen" w:cstheme="minorHAnsi"/>
        </w:rPr>
        <w:t>5.4</w:t>
      </w:r>
      <w:r>
        <w:rPr>
          <w:rFonts w:eastAsia="Sylfaen" w:cstheme="minorHAnsi"/>
        </w:rPr>
        <w:tab/>
      </w:r>
      <w:r w:rsidRPr="00096A87">
        <w:rPr>
          <w:rFonts w:eastAsia="Sylfaen" w:cstheme="minorHAnsi"/>
        </w:rPr>
        <w:t xml:space="preserve">The index on secondary market activity is a weighted average index of the share of the exchange (NASDAQ-OMX) and OTC trading operations of a particular PD in the total daily volume of trading activity. Secondary market activity in the NASDAQ exchange is given 60 percent weight while the OTC market is assigned a weight of 40 percent. The information on this metrics is provided by the Central Bank of Armenia (CBA) to PDMD on a quarterly basis.  </w:t>
      </w:r>
    </w:p>
    <w:p w14:paraId="3A274C44" w14:textId="77777777" w:rsidR="00792DEB" w:rsidRPr="00096A87" w:rsidRDefault="00792DEB" w:rsidP="00792DEB">
      <w:pPr>
        <w:spacing w:after="0"/>
        <w:ind w:right="4"/>
        <w:rPr>
          <w:rFonts w:eastAsia="Sylfaen" w:cstheme="minorHAnsi"/>
        </w:rPr>
      </w:pPr>
    </w:p>
    <w:p w14:paraId="10A59AC8" w14:textId="5D047F5B" w:rsidR="00792DEB" w:rsidRPr="00096A87" w:rsidRDefault="00792DEB" w:rsidP="00792DEB">
      <w:pPr>
        <w:spacing w:after="0"/>
        <w:ind w:right="4"/>
        <w:jc w:val="both"/>
        <w:rPr>
          <w:rFonts w:eastAsia="Sylfaen" w:cstheme="minorHAnsi"/>
        </w:rPr>
      </w:pPr>
      <w:r>
        <w:rPr>
          <w:rFonts w:eastAsia="Sylfaen" w:cstheme="minorHAnsi"/>
        </w:rPr>
        <w:t>5.5</w:t>
      </w:r>
      <w:r>
        <w:rPr>
          <w:rFonts w:eastAsia="Sylfaen" w:cstheme="minorHAnsi"/>
        </w:rPr>
        <w:tab/>
      </w:r>
      <w:r w:rsidRPr="00096A87">
        <w:rPr>
          <w:rFonts w:eastAsia="Sylfaen" w:cstheme="minorHAnsi"/>
        </w:rPr>
        <w:t>The ranking on the value of work with the PDMD on developing the government securities market is assessed by 5 officials within PDMD to ensure that the assessment is based on objective considerations and no personal opinions influence the ranking.</w:t>
      </w:r>
    </w:p>
    <w:p w14:paraId="3C2FA879" w14:textId="77777777" w:rsidR="00792DEB" w:rsidRPr="00096A87" w:rsidRDefault="00792DEB" w:rsidP="00792DEB">
      <w:pPr>
        <w:spacing w:after="0"/>
        <w:ind w:right="4"/>
        <w:jc w:val="both"/>
        <w:rPr>
          <w:rFonts w:eastAsia="Sylfaen" w:cstheme="minorHAnsi"/>
        </w:rPr>
      </w:pPr>
    </w:p>
    <w:p w14:paraId="0B5EFE2E" w14:textId="7D25105D" w:rsidR="00792DEB" w:rsidRDefault="00792DEB" w:rsidP="00792DEB">
      <w:pPr>
        <w:spacing w:after="0"/>
        <w:ind w:right="4"/>
        <w:jc w:val="both"/>
        <w:rPr>
          <w:rFonts w:eastAsia="Sylfaen" w:cstheme="minorHAnsi"/>
        </w:rPr>
      </w:pPr>
      <w:r>
        <w:rPr>
          <w:rFonts w:eastAsia="Sylfaen" w:cstheme="minorHAnsi"/>
        </w:rPr>
        <w:t>5.6</w:t>
      </w:r>
      <w:r>
        <w:rPr>
          <w:rFonts w:eastAsia="Sylfaen" w:cstheme="minorHAnsi"/>
        </w:rPr>
        <w:tab/>
      </w:r>
      <w:r w:rsidRPr="00096A87">
        <w:rPr>
          <w:rFonts w:eastAsia="Sylfaen" w:cstheme="minorHAnsi"/>
        </w:rPr>
        <w:t xml:space="preserve">The final ranking of the PD is determined by deducting a score based on the number of violations of the quotation </w:t>
      </w:r>
      <w:r>
        <w:rPr>
          <w:rFonts w:eastAsia="Sylfaen" w:cstheme="minorHAnsi"/>
        </w:rPr>
        <w:t>obligation</w:t>
      </w:r>
      <w:r w:rsidRPr="00096A87">
        <w:rPr>
          <w:rFonts w:eastAsia="Sylfaen" w:cstheme="minorHAnsi"/>
        </w:rPr>
        <w:t xml:space="preserve"> as required from the PDs.</w:t>
      </w:r>
      <w:r>
        <w:rPr>
          <w:rFonts w:eastAsia="Sylfaen" w:cstheme="minorHAnsi"/>
        </w:rPr>
        <w:t xml:space="preserve"> PDs will be required to provide on a daily basis a continuous two-way quotation of prices for the designated benchmark bonds as indicated by the PDMD. The quotation should be provided within 10 minutes of the opening of the trading session till the closing of the session. In case of matching purchase / sale order, the PD will be required to provide a new two-way quotation within three minutes of the matching order.</w:t>
      </w:r>
    </w:p>
    <w:p w14:paraId="5649E47B" w14:textId="77777777" w:rsidR="00792DEB" w:rsidRDefault="00792DEB" w:rsidP="00792DEB">
      <w:pPr>
        <w:spacing w:after="0"/>
        <w:ind w:right="4"/>
        <w:jc w:val="both"/>
        <w:rPr>
          <w:rFonts w:eastAsia="Sylfaen" w:cstheme="minorHAnsi"/>
        </w:rPr>
      </w:pPr>
    </w:p>
    <w:p w14:paraId="6BCF1E3E" w14:textId="7F1204AD" w:rsidR="00792DEB" w:rsidRPr="00096A87" w:rsidRDefault="00792DEB" w:rsidP="00792DEB">
      <w:pPr>
        <w:spacing w:after="0"/>
        <w:ind w:right="4"/>
        <w:jc w:val="both"/>
        <w:rPr>
          <w:rFonts w:eastAsia="Sylfaen" w:cstheme="minorHAnsi"/>
        </w:rPr>
      </w:pPr>
      <w:r>
        <w:rPr>
          <w:rFonts w:eastAsia="Sylfaen" w:cstheme="minorHAnsi"/>
        </w:rPr>
        <w:t>5.7</w:t>
      </w:r>
      <w:r>
        <w:rPr>
          <w:rFonts w:eastAsia="Sylfaen" w:cstheme="minorHAnsi"/>
        </w:rPr>
        <w:tab/>
        <w:t xml:space="preserve">The two-way quotations will be subject to a price margin (spread) and a minimum volume of quotation. The price should be within a spread of 500 basis points of the maximum sale price and minimum purchase price for a specific bond. The minimum quotation volume should be 0.1 percent of the nominal outstanding bond in circulation. Violation of this obligation will take place for a PD if it is unable to restore the quotation price or volume within three minutes in the trading system. A PD will not be subject to this obligation on a given issue, if on that day it executes a trade of 0.2 percent of the nominal value of the outstanding bond in circulation.      </w:t>
      </w:r>
      <w:r w:rsidRPr="00096A87">
        <w:rPr>
          <w:rFonts w:eastAsia="Sylfaen" w:cstheme="minorHAnsi"/>
        </w:rPr>
        <w:t xml:space="preserve"> </w:t>
      </w:r>
    </w:p>
    <w:p w14:paraId="03C82F62" w14:textId="77777777" w:rsidR="00792DEB" w:rsidRDefault="00792DEB" w:rsidP="00792DEB">
      <w:pPr>
        <w:ind w:right="4"/>
      </w:pPr>
    </w:p>
    <w:p w14:paraId="31CE63A5" w14:textId="1F515EFA" w:rsidR="00792DEB" w:rsidRPr="00792DEB" w:rsidRDefault="00792DEB" w:rsidP="00792DEB">
      <w:pPr>
        <w:spacing w:after="0"/>
        <w:ind w:right="632"/>
        <w:rPr>
          <w:rFonts w:eastAsia="Sylfaen" w:cstheme="minorHAnsi"/>
          <w:b/>
          <w:sz w:val="24"/>
          <w:szCs w:val="24"/>
        </w:rPr>
      </w:pPr>
      <w:r>
        <w:rPr>
          <w:rFonts w:eastAsia="Sylfaen" w:cstheme="minorHAnsi"/>
          <w:b/>
          <w:sz w:val="24"/>
          <w:szCs w:val="24"/>
        </w:rPr>
        <w:t>VI.</w:t>
      </w:r>
      <w:r w:rsidRPr="00792DEB">
        <w:rPr>
          <w:rFonts w:eastAsia="Sylfaen" w:cstheme="minorHAnsi"/>
          <w:b/>
          <w:sz w:val="24"/>
          <w:szCs w:val="24"/>
        </w:rPr>
        <w:tab/>
        <w:t>Implementation of Assessment</w:t>
      </w:r>
    </w:p>
    <w:p w14:paraId="55D18EC0" w14:textId="77777777" w:rsidR="00792DEB" w:rsidRDefault="00792DEB" w:rsidP="00792DEB">
      <w:pPr>
        <w:spacing w:after="0"/>
        <w:ind w:right="4"/>
        <w:jc w:val="both"/>
        <w:rPr>
          <w:rFonts w:eastAsia="Sylfaen" w:cstheme="minorHAnsi"/>
        </w:rPr>
      </w:pPr>
    </w:p>
    <w:p w14:paraId="635E4579" w14:textId="401CA025" w:rsidR="00792DEB" w:rsidRDefault="00792DEB" w:rsidP="00792DEB">
      <w:pPr>
        <w:spacing w:after="0"/>
        <w:ind w:right="4"/>
        <w:jc w:val="both"/>
        <w:rPr>
          <w:rFonts w:eastAsia="Sylfaen" w:cstheme="minorHAnsi"/>
        </w:rPr>
      </w:pPr>
      <w:r>
        <w:rPr>
          <w:rFonts w:eastAsia="Sylfaen" w:cstheme="minorHAnsi"/>
        </w:rPr>
        <w:t>6.1</w:t>
      </w:r>
      <w:r>
        <w:rPr>
          <w:rFonts w:eastAsia="Sylfaen" w:cstheme="minorHAnsi"/>
        </w:rPr>
        <w:tab/>
      </w:r>
      <w:r w:rsidRPr="00096A87">
        <w:rPr>
          <w:rFonts w:eastAsia="Sylfaen" w:cstheme="minorHAnsi"/>
        </w:rPr>
        <w:t>The PDs are individually evaluated on an annual basis for their activities implemented between October 1 of the previous year and October 1 of the current year. A quarterly system of evaluation is undertaken during this period</w:t>
      </w:r>
      <w:r>
        <w:rPr>
          <w:rFonts w:eastAsia="Sylfaen" w:cstheme="minorHAnsi"/>
        </w:rPr>
        <w:t xml:space="preserve"> on a rolling over basis. The publication is in the form of a league table for all the PDs and potential participants. From the quarterly scores, an</w:t>
      </w:r>
      <w:r w:rsidRPr="00096A87">
        <w:rPr>
          <w:rFonts w:eastAsia="Sylfaen" w:cstheme="minorHAnsi"/>
        </w:rPr>
        <w:t xml:space="preserve"> annual score is aggregated across the four quarters</w:t>
      </w:r>
      <w:r>
        <w:rPr>
          <w:rFonts w:eastAsia="Sylfaen" w:cstheme="minorHAnsi"/>
        </w:rPr>
        <w:t xml:space="preserve"> (Table 1)</w:t>
      </w:r>
      <w:r w:rsidRPr="00096A87">
        <w:rPr>
          <w:rFonts w:eastAsia="Sylfaen" w:cstheme="minorHAnsi"/>
        </w:rPr>
        <w:t xml:space="preserve">. </w:t>
      </w:r>
    </w:p>
    <w:p w14:paraId="329C181D" w14:textId="77777777" w:rsidR="00792DEB" w:rsidRDefault="00792DEB" w:rsidP="00792DEB">
      <w:pPr>
        <w:spacing w:after="0"/>
        <w:ind w:right="4"/>
        <w:jc w:val="both"/>
        <w:rPr>
          <w:rFonts w:eastAsia="Sylfaen" w:cstheme="minorHAnsi"/>
        </w:rPr>
      </w:pPr>
    </w:p>
    <w:tbl>
      <w:tblPr>
        <w:tblStyle w:val="TableGrid"/>
        <w:tblW w:w="0" w:type="auto"/>
        <w:tblLook w:val="04A0" w:firstRow="1" w:lastRow="0" w:firstColumn="1" w:lastColumn="0" w:noHBand="0" w:noVBand="1"/>
      </w:tblPr>
      <w:tblGrid>
        <w:gridCol w:w="3765"/>
        <w:gridCol w:w="984"/>
        <w:gridCol w:w="859"/>
        <w:gridCol w:w="984"/>
        <w:gridCol w:w="1109"/>
        <w:gridCol w:w="1649"/>
      </w:tblGrid>
      <w:tr w:rsidR="00792DEB" w:rsidRPr="006F428A" w14:paraId="5B89AA89" w14:textId="77777777" w:rsidTr="00792DEB">
        <w:trPr>
          <w:trHeight w:hRule="exact" w:val="340"/>
        </w:trPr>
        <w:tc>
          <w:tcPr>
            <w:tcW w:w="9350" w:type="dxa"/>
            <w:gridSpan w:val="6"/>
            <w:noWrap/>
            <w:hideMark/>
          </w:tcPr>
          <w:p w14:paraId="2955CC41" w14:textId="77777777" w:rsidR="00792DEB" w:rsidRPr="006F428A" w:rsidRDefault="00792DEB" w:rsidP="00792DEB">
            <w:pPr>
              <w:ind w:right="4"/>
              <w:rPr>
                <w:b/>
                <w:bCs/>
              </w:rPr>
            </w:pPr>
            <w:r>
              <w:rPr>
                <w:b/>
                <w:bCs/>
              </w:rPr>
              <w:t xml:space="preserve">Table 1: </w:t>
            </w:r>
            <w:r w:rsidRPr="006F428A">
              <w:rPr>
                <w:b/>
                <w:bCs/>
              </w:rPr>
              <w:t>Annual Assessment of Agents and Potential Participants Behavior *</w:t>
            </w:r>
            <w:r>
              <w:rPr>
                <w:b/>
                <w:bCs/>
              </w:rPr>
              <w:t xml:space="preserve"> for 2017</w:t>
            </w:r>
          </w:p>
        </w:tc>
      </w:tr>
      <w:tr w:rsidR="00792DEB" w:rsidRPr="006F428A" w14:paraId="44535013" w14:textId="77777777" w:rsidTr="00792DEB">
        <w:trPr>
          <w:trHeight w:hRule="exact" w:val="340"/>
        </w:trPr>
        <w:tc>
          <w:tcPr>
            <w:tcW w:w="3765" w:type="dxa"/>
            <w:hideMark/>
          </w:tcPr>
          <w:p w14:paraId="4B602A34" w14:textId="77777777" w:rsidR="00792DEB" w:rsidRPr="006F428A" w:rsidRDefault="00792DEB" w:rsidP="00792DEB">
            <w:pPr>
              <w:ind w:right="4"/>
            </w:pPr>
            <w:r w:rsidRPr="006F428A">
              <w:t>Agent</w:t>
            </w:r>
          </w:p>
        </w:tc>
        <w:tc>
          <w:tcPr>
            <w:tcW w:w="984" w:type="dxa"/>
            <w:noWrap/>
            <w:hideMark/>
          </w:tcPr>
          <w:p w14:paraId="433FDDF7" w14:textId="77777777" w:rsidR="00792DEB" w:rsidRPr="006F428A" w:rsidRDefault="00792DEB" w:rsidP="00792DEB">
            <w:pPr>
              <w:ind w:right="4"/>
            </w:pPr>
            <w:r w:rsidRPr="006F428A">
              <w:t>2016-IV</w:t>
            </w:r>
          </w:p>
        </w:tc>
        <w:tc>
          <w:tcPr>
            <w:tcW w:w="859" w:type="dxa"/>
            <w:noWrap/>
            <w:hideMark/>
          </w:tcPr>
          <w:p w14:paraId="043314BE" w14:textId="77777777" w:rsidR="00792DEB" w:rsidRPr="006F428A" w:rsidRDefault="00792DEB" w:rsidP="00792DEB">
            <w:pPr>
              <w:ind w:right="4"/>
            </w:pPr>
            <w:r w:rsidRPr="006F428A">
              <w:t>2017-I</w:t>
            </w:r>
          </w:p>
        </w:tc>
        <w:tc>
          <w:tcPr>
            <w:tcW w:w="984" w:type="dxa"/>
            <w:noWrap/>
            <w:hideMark/>
          </w:tcPr>
          <w:p w14:paraId="36AF5F7E" w14:textId="77777777" w:rsidR="00792DEB" w:rsidRPr="006F428A" w:rsidRDefault="00792DEB" w:rsidP="00792DEB">
            <w:pPr>
              <w:ind w:right="4"/>
            </w:pPr>
            <w:r w:rsidRPr="006F428A">
              <w:t>2017-II</w:t>
            </w:r>
          </w:p>
        </w:tc>
        <w:tc>
          <w:tcPr>
            <w:tcW w:w="1109" w:type="dxa"/>
            <w:noWrap/>
            <w:hideMark/>
          </w:tcPr>
          <w:p w14:paraId="00EF2D88" w14:textId="77777777" w:rsidR="00792DEB" w:rsidRPr="006F428A" w:rsidRDefault="00792DEB" w:rsidP="00792DEB">
            <w:pPr>
              <w:ind w:right="4"/>
            </w:pPr>
            <w:r w:rsidRPr="006F428A">
              <w:t>2017-III</w:t>
            </w:r>
          </w:p>
        </w:tc>
        <w:tc>
          <w:tcPr>
            <w:tcW w:w="1649" w:type="dxa"/>
            <w:hideMark/>
          </w:tcPr>
          <w:p w14:paraId="72B27C31" w14:textId="77777777" w:rsidR="00792DEB" w:rsidRPr="006F428A" w:rsidRDefault="00792DEB" w:rsidP="00792DEB">
            <w:pPr>
              <w:ind w:right="4"/>
              <w:rPr>
                <w:b/>
                <w:bCs/>
              </w:rPr>
            </w:pPr>
            <w:r w:rsidRPr="006F428A">
              <w:rPr>
                <w:b/>
                <w:bCs/>
              </w:rPr>
              <w:t>Annual assessment</w:t>
            </w:r>
          </w:p>
        </w:tc>
      </w:tr>
      <w:tr w:rsidR="00792DEB" w:rsidRPr="006F428A" w14:paraId="6B40DA92" w14:textId="77777777" w:rsidTr="00792DEB">
        <w:trPr>
          <w:trHeight w:hRule="exact" w:val="340"/>
        </w:trPr>
        <w:tc>
          <w:tcPr>
            <w:tcW w:w="3765" w:type="dxa"/>
            <w:noWrap/>
            <w:hideMark/>
          </w:tcPr>
          <w:p w14:paraId="4B33B9E6" w14:textId="77777777" w:rsidR="00792DEB" w:rsidRPr="006F428A" w:rsidRDefault="00792DEB" w:rsidP="00792DEB">
            <w:pPr>
              <w:ind w:right="4"/>
            </w:pPr>
            <w:r w:rsidRPr="006F428A">
              <w:t>ARARATBANK OJSC:</w:t>
            </w:r>
          </w:p>
        </w:tc>
        <w:tc>
          <w:tcPr>
            <w:tcW w:w="984" w:type="dxa"/>
            <w:noWrap/>
            <w:hideMark/>
          </w:tcPr>
          <w:p w14:paraId="1A6F93F5" w14:textId="77777777" w:rsidR="00792DEB" w:rsidRPr="006F428A" w:rsidRDefault="00792DEB" w:rsidP="00792DEB">
            <w:pPr>
              <w:ind w:right="4"/>
            </w:pPr>
            <w:r w:rsidRPr="006F428A">
              <w:t>6.2</w:t>
            </w:r>
          </w:p>
        </w:tc>
        <w:tc>
          <w:tcPr>
            <w:tcW w:w="859" w:type="dxa"/>
            <w:noWrap/>
            <w:hideMark/>
          </w:tcPr>
          <w:p w14:paraId="458BEAF5" w14:textId="77777777" w:rsidR="00792DEB" w:rsidRPr="006F428A" w:rsidRDefault="00792DEB" w:rsidP="00792DEB">
            <w:pPr>
              <w:ind w:right="4"/>
            </w:pPr>
            <w:r w:rsidRPr="006F428A">
              <w:t>7.0</w:t>
            </w:r>
          </w:p>
        </w:tc>
        <w:tc>
          <w:tcPr>
            <w:tcW w:w="984" w:type="dxa"/>
            <w:noWrap/>
            <w:hideMark/>
          </w:tcPr>
          <w:p w14:paraId="23C18163" w14:textId="77777777" w:rsidR="00792DEB" w:rsidRPr="006F428A" w:rsidRDefault="00792DEB" w:rsidP="00792DEB">
            <w:pPr>
              <w:ind w:right="4"/>
            </w:pPr>
            <w:r w:rsidRPr="006F428A">
              <w:t>5.8</w:t>
            </w:r>
          </w:p>
        </w:tc>
        <w:tc>
          <w:tcPr>
            <w:tcW w:w="1109" w:type="dxa"/>
            <w:noWrap/>
            <w:hideMark/>
          </w:tcPr>
          <w:p w14:paraId="518D7846" w14:textId="77777777" w:rsidR="00792DEB" w:rsidRPr="006F428A" w:rsidRDefault="00792DEB" w:rsidP="00792DEB">
            <w:pPr>
              <w:ind w:right="4"/>
            </w:pPr>
            <w:r w:rsidRPr="006F428A">
              <w:t>5.0</w:t>
            </w:r>
          </w:p>
        </w:tc>
        <w:tc>
          <w:tcPr>
            <w:tcW w:w="1649" w:type="dxa"/>
            <w:noWrap/>
            <w:hideMark/>
          </w:tcPr>
          <w:p w14:paraId="3B4BEFF2" w14:textId="77777777" w:rsidR="00792DEB" w:rsidRPr="006F428A" w:rsidRDefault="00792DEB" w:rsidP="00792DEB">
            <w:pPr>
              <w:ind w:right="4"/>
              <w:rPr>
                <w:b/>
                <w:bCs/>
              </w:rPr>
            </w:pPr>
            <w:r w:rsidRPr="006F428A">
              <w:rPr>
                <w:b/>
                <w:bCs/>
              </w:rPr>
              <w:t>24.0</w:t>
            </w:r>
          </w:p>
        </w:tc>
      </w:tr>
      <w:tr w:rsidR="00792DEB" w:rsidRPr="006F428A" w14:paraId="2FEF8B00" w14:textId="77777777" w:rsidTr="00792DEB">
        <w:trPr>
          <w:trHeight w:hRule="exact" w:val="340"/>
        </w:trPr>
        <w:tc>
          <w:tcPr>
            <w:tcW w:w="3765" w:type="dxa"/>
            <w:noWrap/>
            <w:hideMark/>
          </w:tcPr>
          <w:p w14:paraId="320E1411" w14:textId="77777777" w:rsidR="00792DEB" w:rsidRPr="006F428A" w:rsidRDefault="00792DEB" w:rsidP="00792DEB">
            <w:pPr>
              <w:ind w:right="4"/>
            </w:pPr>
            <w:r w:rsidRPr="006F428A">
              <w:t>Ardshinbank CJSC:</w:t>
            </w:r>
          </w:p>
        </w:tc>
        <w:tc>
          <w:tcPr>
            <w:tcW w:w="984" w:type="dxa"/>
            <w:noWrap/>
            <w:hideMark/>
          </w:tcPr>
          <w:p w14:paraId="6124A1C5" w14:textId="77777777" w:rsidR="00792DEB" w:rsidRPr="006F428A" w:rsidRDefault="00792DEB" w:rsidP="00792DEB">
            <w:pPr>
              <w:ind w:right="4"/>
            </w:pPr>
            <w:r w:rsidRPr="006F428A">
              <w:t>2.8</w:t>
            </w:r>
          </w:p>
        </w:tc>
        <w:tc>
          <w:tcPr>
            <w:tcW w:w="859" w:type="dxa"/>
            <w:noWrap/>
            <w:hideMark/>
          </w:tcPr>
          <w:p w14:paraId="555EFB5A" w14:textId="77777777" w:rsidR="00792DEB" w:rsidRPr="006F428A" w:rsidRDefault="00792DEB" w:rsidP="00792DEB">
            <w:pPr>
              <w:ind w:right="4"/>
            </w:pPr>
            <w:r w:rsidRPr="006F428A">
              <w:t>6.0</w:t>
            </w:r>
          </w:p>
        </w:tc>
        <w:tc>
          <w:tcPr>
            <w:tcW w:w="984" w:type="dxa"/>
            <w:noWrap/>
            <w:hideMark/>
          </w:tcPr>
          <w:p w14:paraId="37DD7E0B" w14:textId="77777777" w:rsidR="00792DEB" w:rsidRPr="006F428A" w:rsidRDefault="00792DEB" w:rsidP="00792DEB">
            <w:pPr>
              <w:ind w:right="4"/>
            </w:pPr>
            <w:r w:rsidRPr="006F428A">
              <w:t>5.0</w:t>
            </w:r>
          </w:p>
        </w:tc>
        <w:tc>
          <w:tcPr>
            <w:tcW w:w="1109" w:type="dxa"/>
            <w:noWrap/>
            <w:hideMark/>
          </w:tcPr>
          <w:p w14:paraId="47393760" w14:textId="77777777" w:rsidR="00792DEB" w:rsidRPr="006F428A" w:rsidRDefault="00792DEB" w:rsidP="00792DEB">
            <w:pPr>
              <w:ind w:right="4"/>
            </w:pPr>
            <w:r w:rsidRPr="006F428A">
              <w:t>5.0</w:t>
            </w:r>
          </w:p>
        </w:tc>
        <w:tc>
          <w:tcPr>
            <w:tcW w:w="1649" w:type="dxa"/>
            <w:noWrap/>
            <w:hideMark/>
          </w:tcPr>
          <w:p w14:paraId="790E2D5F" w14:textId="77777777" w:rsidR="00792DEB" w:rsidRPr="006F428A" w:rsidRDefault="00792DEB" w:rsidP="00792DEB">
            <w:pPr>
              <w:ind w:right="4"/>
              <w:rPr>
                <w:b/>
                <w:bCs/>
              </w:rPr>
            </w:pPr>
            <w:r w:rsidRPr="006F428A">
              <w:rPr>
                <w:b/>
                <w:bCs/>
              </w:rPr>
              <w:t>18.8</w:t>
            </w:r>
          </w:p>
        </w:tc>
      </w:tr>
      <w:tr w:rsidR="00792DEB" w:rsidRPr="006F428A" w14:paraId="74895669" w14:textId="77777777" w:rsidTr="00792DEB">
        <w:trPr>
          <w:trHeight w:hRule="exact" w:val="340"/>
        </w:trPr>
        <w:tc>
          <w:tcPr>
            <w:tcW w:w="3765" w:type="dxa"/>
            <w:noWrap/>
            <w:hideMark/>
          </w:tcPr>
          <w:p w14:paraId="13B451A6" w14:textId="77777777" w:rsidR="00792DEB" w:rsidRPr="006F428A" w:rsidRDefault="00792DEB" w:rsidP="00792DEB">
            <w:pPr>
              <w:ind w:right="4"/>
            </w:pPr>
            <w:r w:rsidRPr="006F428A">
              <w:t>Armswissbank CJSC:</w:t>
            </w:r>
          </w:p>
        </w:tc>
        <w:tc>
          <w:tcPr>
            <w:tcW w:w="984" w:type="dxa"/>
            <w:noWrap/>
            <w:hideMark/>
          </w:tcPr>
          <w:p w14:paraId="07AD0E32" w14:textId="77777777" w:rsidR="00792DEB" w:rsidRPr="006F428A" w:rsidRDefault="00792DEB" w:rsidP="00792DEB">
            <w:pPr>
              <w:ind w:right="4"/>
            </w:pPr>
            <w:r w:rsidRPr="006F428A">
              <w:t>5.2</w:t>
            </w:r>
          </w:p>
        </w:tc>
        <w:tc>
          <w:tcPr>
            <w:tcW w:w="859" w:type="dxa"/>
            <w:noWrap/>
            <w:hideMark/>
          </w:tcPr>
          <w:p w14:paraId="1506532F" w14:textId="77777777" w:rsidR="00792DEB" w:rsidRPr="006F428A" w:rsidRDefault="00792DEB" w:rsidP="00792DEB">
            <w:pPr>
              <w:ind w:right="4"/>
            </w:pPr>
            <w:r w:rsidRPr="006F428A">
              <w:t>3.6</w:t>
            </w:r>
          </w:p>
        </w:tc>
        <w:tc>
          <w:tcPr>
            <w:tcW w:w="984" w:type="dxa"/>
            <w:noWrap/>
            <w:hideMark/>
          </w:tcPr>
          <w:p w14:paraId="2EB1DC56" w14:textId="77777777" w:rsidR="00792DEB" w:rsidRPr="006F428A" w:rsidRDefault="00792DEB" w:rsidP="00792DEB">
            <w:pPr>
              <w:ind w:right="4"/>
            </w:pPr>
            <w:r w:rsidRPr="006F428A">
              <w:t>6.0</w:t>
            </w:r>
          </w:p>
        </w:tc>
        <w:tc>
          <w:tcPr>
            <w:tcW w:w="1109" w:type="dxa"/>
            <w:noWrap/>
            <w:hideMark/>
          </w:tcPr>
          <w:p w14:paraId="785E93CC" w14:textId="77777777" w:rsidR="00792DEB" w:rsidRPr="006F428A" w:rsidRDefault="00792DEB" w:rsidP="00792DEB">
            <w:pPr>
              <w:ind w:right="4"/>
            </w:pPr>
            <w:r w:rsidRPr="006F428A">
              <w:t>3.6</w:t>
            </w:r>
          </w:p>
        </w:tc>
        <w:tc>
          <w:tcPr>
            <w:tcW w:w="1649" w:type="dxa"/>
            <w:noWrap/>
            <w:hideMark/>
          </w:tcPr>
          <w:p w14:paraId="5F590107" w14:textId="77777777" w:rsidR="00792DEB" w:rsidRPr="006F428A" w:rsidRDefault="00792DEB" w:rsidP="00792DEB">
            <w:pPr>
              <w:ind w:right="4"/>
              <w:rPr>
                <w:b/>
                <w:bCs/>
              </w:rPr>
            </w:pPr>
            <w:r w:rsidRPr="006F428A">
              <w:rPr>
                <w:b/>
                <w:bCs/>
              </w:rPr>
              <w:t>18.4</w:t>
            </w:r>
          </w:p>
        </w:tc>
      </w:tr>
      <w:tr w:rsidR="00792DEB" w:rsidRPr="006F428A" w14:paraId="218B84EA" w14:textId="77777777" w:rsidTr="00792DEB">
        <w:trPr>
          <w:trHeight w:hRule="exact" w:val="340"/>
        </w:trPr>
        <w:tc>
          <w:tcPr>
            <w:tcW w:w="3765" w:type="dxa"/>
            <w:noWrap/>
            <w:hideMark/>
          </w:tcPr>
          <w:p w14:paraId="53C4F76C" w14:textId="77777777" w:rsidR="00792DEB" w:rsidRPr="006F428A" w:rsidRDefault="00792DEB" w:rsidP="00792DEB">
            <w:pPr>
              <w:ind w:right="4"/>
            </w:pPr>
            <w:r w:rsidRPr="006F428A">
              <w:t>VTB-Armenia Bank CJSC:</w:t>
            </w:r>
          </w:p>
        </w:tc>
        <w:tc>
          <w:tcPr>
            <w:tcW w:w="984" w:type="dxa"/>
            <w:noWrap/>
            <w:hideMark/>
          </w:tcPr>
          <w:p w14:paraId="4654DF0C" w14:textId="77777777" w:rsidR="00792DEB" w:rsidRPr="006F428A" w:rsidRDefault="00792DEB" w:rsidP="00792DEB">
            <w:pPr>
              <w:ind w:right="4"/>
            </w:pPr>
            <w:r w:rsidRPr="006F428A">
              <w:t>5.8</w:t>
            </w:r>
          </w:p>
        </w:tc>
        <w:tc>
          <w:tcPr>
            <w:tcW w:w="859" w:type="dxa"/>
            <w:noWrap/>
            <w:hideMark/>
          </w:tcPr>
          <w:p w14:paraId="40FDB004" w14:textId="77777777" w:rsidR="00792DEB" w:rsidRPr="006F428A" w:rsidRDefault="00792DEB" w:rsidP="00792DEB">
            <w:pPr>
              <w:ind w:right="4"/>
            </w:pPr>
            <w:r w:rsidRPr="006F428A">
              <w:t>3.2</w:t>
            </w:r>
          </w:p>
        </w:tc>
        <w:tc>
          <w:tcPr>
            <w:tcW w:w="984" w:type="dxa"/>
            <w:noWrap/>
            <w:hideMark/>
          </w:tcPr>
          <w:p w14:paraId="5F566F6E" w14:textId="77777777" w:rsidR="00792DEB" w:rsidRPr="006F428A" w:rsidRDefault="00792DEB" w:rsidP="00792DEB">
            <w:pPr>
              <w:ind w:right="4"/>
            </w:pPr>
            <w:r w:rsidRPr="006F428A">
              <w:t>5.2</w:t>
            </w:r>
          </w:p>
        </w:tc>
        <w:tc>
          <w:tcPr>
            <w:tcW w:w="1109" w:type="dxa"/>
            <w:noWrap/>
            <w:hideMark/>
          </w:tcPr>
          <w:p w14:paraId="11FDB0F8" w14:textId="77777777" w:rsidR="00792DEB" w:rsidRPr="006F428A" w:rsidRDefault="00792DEB" w:rsidP="00792DEB">
            <w:pPr>
              <w:ind w:right="4"/>
            </w:pPr>
            <w:r w:rsidRPr="006F428A">
              <w:t>3.0</w:t>
            </w:r>
          </w:p>
        </w:tc>
        <w:tc>
          <w:tcPr>
            <w:tcW w:w="1649" w:type="dxa"/>
            <w:noWrap/>
            <w:hideMark/>
          </w:tcPr>
          <w:p w14:paraId="4C7AE40C" w14:textId="77777777" w:rsidR="00792DEB" w:rsidRPr="006F428A" w:rsidRDefault="00792DEB" w:rsidP="00792DEB">
            <w:pPr>
              <w:ind w:right="4"/>
              <w:rPr>
                <w:b/>
                <w:bCs/>
              </w:rPr>
            </w:pPr>
            <w:r w:rsidRPr="006F428A">
              <w:rPr>
                <w:b/>
                <w:bCs/>
              </w:rPr>
              <w:t>17.2</w:t>
            </w:r>
          </w:p>
        </w:tc>
      </w:tr>
      <w:tr w:rsidR="00792DEB" w:rsidRPr="006F428A" w14:paraId="4FF4779E" w14:textId="77777777" w:rsidTr="00792DEB">
        <w:trPr>
          <w:trHeight w:hRule="exact" w:val="340"/>
        </w:trPr>
        <w:tc>
          <w:tcPr>
            <w:tcW w:w="3765" w:type="dxa"/>
            <w:noWrap/>
            <w:hideMark/>
          </w:tcPr>
          <w:p w14:paraId="0076D5B6" w14:textId="77777777" w:rsidR="00792DEB" w:rsidRPr="006F428A" w:rsidRDefault="00792DEB" w:rsidP="00792DEB">
            <w:pPr>
              <w:ind w:right="4"/>
            </w:pPr>
            <w:r w:rsidRPr="006F428A">
              <w:lastRenderedPageBreak/>
              <w:t>Converse Bank CJSC:</w:t>
            </w:r>
          </w:p>
        </w:tc>
        <w:tc>
          <w:tcPr>
            <w:tcW w:w="984" w:type="dxa"/>
            <w:noWrap/>
            <w:hideMark/>
          </w:tcPr>
          <w:p w14:paraId="69F14C48" w14:textId="77777777" w:rsidR="00792DEB" w:rsidRPr="006F428A" w:rsidRDefault="00792DEB" w:rsidP="00792DEB">
            <w:pPr>
              <w:ind w:right="4"/>
            </w:pPr>
            <w:r w:rsidRPr="006F428A">
              <w:t>3.0</w:t>
            </w:r>
          </w:p>
        </w:tc>
        <w:tc>
          <w:tcPr>
            <w:tcW w:w="859" w:type="dxa"/>
            <w:noWrap/>
            <w:hideMark/>
          </w:tcPr>
          <w:p w14:paraId="69084397" w14:textId="77777777" w:rsidR="00792DEB" w:rsidRPr="006F428A" w:rsidRDefault="00792DEB" w:rsidP="00792DEB">
            <w:pPr>
              <w:ind w:right="4"/>
            </w:pPr>
            <w:r w:rsidRPr="006F428A">
              <w:t>2.6</w:t>
            </w:r>
          </w:p>
        </w:tc>
        <w:tc>
          <w:tcPr>
            <w:tcW w:w="984" w:type="dxa"/>
            <w:noWrap/>
            <w:hideMark/>
          </w:tcPr>
          <w:p w14:paraId="7D15F090" w14:textId="77777777" w:rsidR="00792DEB" w:rsidRPr="006F428A" w:rsidRDefault="00792DEB" w:rsidP="00792DEB">
            <w:pPr>
              <w:ind w:right="4"/>
            </w:pPr>
            <w:r w:rsidRPr="006F428A">
              <w:t>2.2</w:t>
            </w:r>
          </w:p>
        </w:tc>
        <w:tc>
          <w:tcPr>
            <w:tcW w:w="1109" w:type="dxa"/>
            <w:noWrap/>
            <w:hideMark/>
          </w:tcPr>
          <w:p w14:paraId="4DBAB60E" w14:textId="77777777" w:rsidR="00792DEB" w:rsidRPr="006F428A" w:rsidRDefault="00792DEB" w:rsidP="00792DEB">
            <w:pPr>
              <w:ind w:right="4"/>
            </w:pPr>
            <w:r w:rsidRPr="006F428A">
              <w:t>5.2</w:t>
            </w:r>
          </w:p>
        </w:tc>
        <w:tc>
          <w:tcPr>
            <w:tcW w:w="1649" w:type="dxa"/>
            <w:noWrap/>
            <w:hideMark/>
          </w:tcPr>
          <w:p w14:paraId="0EE70697" w14:textId="77777777" w:rsidR="00792DEB" w:rsidRPr="006F428A" w:rsidRDefault="00792DEB" w:rsidP="00792DEB">
            <w:pPr>
              <w:ind w:right="4"/>
              <w:rPr>
                <w:b/>
                <w:bCs/>
              </w:rPr>
            </w:pPr>
            <w:r w:rsidRPr="006F428A">
              <w:rPr>
                <w:b/>
                <w:bCs/>
              </w:rPr>
              <w:t>13.0</w:t>
            </w:r>
          </w:p>
        </w:tc>
      </w:tr>
      <w:tr w:rsidR="00792DEB" w:rsidRPr="006F428A" w14:paraId="288846F9" w14:textId="77777777" w:rsidTr="00792DEB">
        <w:trPr>
          <w:trHeight w:hRule="exact" w:val="340"/>
        </w:trPr>
        <w:tc>
          <w:tcPr>
            <w:tcW w:w="3765" w:type="dxa"/>
            <w:noWrap/>
            <w:hideMark/>
          </w:tcPr>
          <w:p w14:paraId="709DBB0B" w14:textId="77777777" w:rsidR="00792DEB" w:rsidRPr="006F428A" w:rsidRDefault="00792DEB" w:rsidP="00792DEB">
            <w:pPr>
              <w:ind w:right="4"/>
            </w:pPr>
            <w:r w:rsidRPr="006F428A">
              <w:t>Ameriabank CJSC:</w:t>
            </w:r>
          </w:p>
        </w:tc>
        <w:tc>
          <w:tcPr>
            <w:tcW w:w="984" w:type="dxa"/>
            <w:noWrap/>
            <w:hideMark/>
          </w:tcPr>
          <w:p w14:paraId="6E1D7C3F" w14:textId="77777777" w:rsidR="00792DEB" w:rsidRPr="006F428A" w:rsidRDefault="00792DEB" w:rsidP="00792DEB">
            <w:pPr>
              <w:ind w:right="4"/>
            </w:pPr>
            <w:r w:rsidRPr="006F428A">
              <w:t>3.6</w:t>
            </w:r>
          </w:p>
        </w:tc>
        <w:tc>
          <w:tcPr>
            <w:tcW w:w="859" w:type="dxa"/>
            <w:noWrap/>
            <w:hideMark/>
          </w:tcPr>
          <w:p w14:paraId="7C346243" w14:textId="77777777" w:rsidR="00792DEB" w:rsidRPr="006F428A" w:rsidRDefault="00792DEB" w:rsidP="00792DEB">
            <w:pPr>
              <w:ind w:right="4"/>
            </w:pPr>
            <w:r w:rsidRPr="006F428A">
              <w:t>3.4</w:t>
            </w:r>
          </w:p>
        </w:tc>
        <w:tc>
          <w:tcPr>
            <w:tcW w:w="984" w:type="dxa"/>
            <w:noWrap/>
            <w:hideMark/>
          </w:tcPr>
          <w:p w14:paraId="00AA9B68" w14:textId="77777777" w:rsidR="00792DEB" w:rsidRPr="006F428A" w:rsidRDefault="00792DEB" w:rsidP="00792DEB">
            <w:pPr>
              <w:ind w:right="4"/>
            </w:pPr>
            <w:r w:rsidRPr="006F428A">
              <w:t>2.4</w:t>
            </w:r>
          </w:p>
        </w:tc>
        <w:tc>
          <w:tcPr>
            <w:tcW w:w="1109" w:type="dxa"/>
            <w:noWrap/>
            <w:hideMark/>
          </w:tcPr>
          <w:p w14:paraId="2C188A06" w14:textId="77777777" w:rsidR="00792DEB" w:rsidRPr="006F428A" w:rsidRDefault="00792DEB" w:rsidP="00792DEB">
            <w:pPr>
              <w:ind w:right="4"/>
            </w:pPr>
            <w:r w:rsidRPr="006F428A">
              <w:t>2.2</w:t>
            </w:r>
          </w:p>
        </w:tc>
        <w:tc>
          <w:tcPr>
            <w:tcW w:w="1649" w:type="dxa"/>
            <w:noWrap/>
            <w:hideMark/>
          </w:tcPr>
          <w:p w14:paraId="4473C639" w14:textId="77777777" w:rsidR="00792DEB" w:rsidRPr="006F428A" w:rsidRDefault="00792DEB" w:rsidP="00792DEB">
            <w:pPr>
              <w:ind w:right="4"/>
              <w:rPr>
                <w:b/>
                <w:bCs/>
              </w:rPr>
            </w:pPr>
            <w:r w:rsidRPr="006F428A">
              <w:rPr>
                <w:b/>
                <w:bCs/>
              </w:rPr>
              <w:t>11.6</w:t>
            </w:r>
          </w:p>
        </w:tc>
      </w:tr>
      <w:tr w:rsidR="00792DEB" w:rsidRPr="006F428A" w14:paraId="212CAA6D" w14:textId="77777777" w:rsidTr="00792DEB">
        <w:trPr>
          <w:trHeight w:hRule="exact" w:val="340"/>
        </w:trPr>
        <w:tc>
          <w:tcPr>
            <w:tcW w:w="3765" w:type="dxa"/>
            <w:noWrap/>
            <w:hideMark/>
          </w:tcPr>
          <w:p w14:paraId="0F177A8E" w14:textId="77777777" w:rsidR="00792DEB" w:rsidRPr="006F428A" w:rsidRDefault="00792DEB" w:rsidP="00792DEB">
            <w:pPr>
              <w:ind w:right="4"/>
            </w:pPr>
            <w:r w:rsidRPr="006F428A">
              <w:t>HSBC Bank Armenia CJSC:</w:t>
            </w:r>
          </w:p>
        </w:tc>
        <w:tc>
          <w:tcPr>
            <w:tcW w:w="984" w:type="dxa"/>
            <w:noWrap/>
            <w:hideMark/>
          </w:tcPr>
          <w:p w14:paraId="12C540A0" w14:textId="77777777" w:rsidR="00792DEB" w:rsidRPr="006F428A" w:rsidRDefault="00792DEB" w:rsidP="00792DEB">
            <w:pPr>
              <w:ind w:right="4"/>
            </w:pPr>
            <w:r w:rsidRPr="006F428A">
              <w:t>1.4</w:t>
            </w:r>
          </w:p>
        </w:tc>
        <w:tc>
          <w:tcPr>
            <w:tcW w:w="859" w:type="dxa"/>
            <w:noWrap/>
            <w:hideMark/>
          </w:tcPr>
          <w:p w14:paraId="344D05F4" w14:textId="77777777" w:rsidR="00792DEB" w:rsidRPr="006F428A" w:rsidRDefault="00792DEB" w:rsidP="00792DEB">
            <w:pPr>
              <w:ind w:right="4"/>
            </w:pPr>
            <w:r w:rsidRPr="006F428A">
              <w:t>2.2</w:t>
            </w:r>
          </w:p>
        </w:tc>
        <w:tc>
          <w:tcPr>
            <w:tcW w:w="984" w:type="dxa"/>
            <w:noWrap/>
            <w:hideMark/>
          </w:tcPr>
          <w:p w14:paraId="09EA3497" w14:textId="77777777" w:rsidR="00792DEB" w:rsidRPr="006F428A" w:rsidRDefault="00792DEB" w:rsidP="00792DEB">
            <w:pPr>
              <w:ind w:right="4"/>
            </w:pPr>
            <w:r w:rsidRPr="006F428A">
              <w:t>1.4</w:t>
            </w:r>
          </w:p>
        </w:tc>
        <w:tc>
          <w:tcPr>
            <w:tcW w:w="1109" w:type="dxa"/>
            <w:noWrap/>
            <w:hideMark/>
          </w:tcPr>
          <w:p w14:paraId="78F03B40" w14:textId="77777777" w:rsidR="00792DEB" w:rsidRPr="006F428A" w:rsidRDefault="00792DEB" w:rsidP="00792DEB">
            <w:pPr>
              <w:ind w:right="4"/>
            </w:pPr>
            <w:r w:rsidRPr="006F428A">
              <w:t>4.0</w:t>
            </w:r>
          </w:p>
        </w:tc>
        <w:tc>
          <w:tcPr>
            <w:tcW w:w="1649" w:type="dxa"/>
            <w:noWrap/>
            <w:hideMark/>
          </w:tcPr>
          <w:p w14:paraId="331E0182" w14:textId="77777777" w:rsidR="00792DEB" w:rsidRPr="006F428A" w:rsidRDefault="00792DEB" w:rsidP="00792DEB">
            <w:pPr>
              <w:ind w:right="4"/>
              <w:rPr>
                <w:b/>
                <w:bCs/>
              </w:rPr>
            </w:pPr>
            <w:r w:rsidRPr="006F428A">
              <w:rPr>
                <w:b/>
                <w:bCs/>
              </w:rPr>
              <w:t>9.0</w:t>
            </w:r>
          </w:p>
        </w:tc>
      </w:tr>
      <w:tr w:rsidR="00792DEB" w:rsidRPr="006F428A" w14:paraId="2103B860" w14:textId="77777777" w:rsidTr="00792DEB">
        <w:trPr>
          <w:trHeight w:hRule="exact" w:val="680"/>
        </w:trPr>
        <w:tc>
          <w:tcPr>
            <w:tcW w:w="9350" w:type="dxa"/>
            <w:gridSpan w:val="6"/>
            <w:hideMark/>
          </w:tcPr>
          <w:p w14:paraId="4992D50A" w14:textId="77777777" w:rsidR="00792DEB" w:rsidRPr="006F428A" w:rsidRDefault="00792DEB" w:rsidP="00792DEB">
            <w:pPr>
              <w:ind w:right="4"/>
              <w:rPr>
                <w:sz w:val="18"/>
                <w:szCs w:val="18"/>
              </w:rPr>
            </w:pPr>
            <w:r w:rsidRPr="006F428A">
              <w:rPr>
                <w:sz w:val="18"/>
                <w:szCs w:val="18"/>
              </w:rPr>
              <w:t>* Assessment of the performance of the agents from October 1, 2016 to October 1, 2017, is made only on the results of the primary market participation and the secondary market performance indicators. Quarterly assessment is calculated by adding 40% of the unit's primary market participation to 60% of the active unit in the secondary market.</w:t>
            </w:r>
          </w:p>
        </w:tc>
      </w:tr>
      <w:tr w:rsidR="00792DEB" w:rsidRPr="006F428A" w14:paraId="1D92E67D" w14:textId="77777777" w:rsidTr="00792DEB">
        <w:trPr>
          <w:trHeight w:hRule="exact" w:val="340"/>
        </w:trPr>
        <w:tc>
          <w:tcPr>
            <w:tcW w:w="3765" w:type="dxa"/>
            <w:noWrap/>
            <w:hideMark/>
          </w:tcPr>
          <w:p w14:paraId="26C50940" w14:textId="77777777" w:rsidR="00792DEB" w:rsidRPr="006F428A" w:rsidRDefault="00792DEB" w:rsidP="00792DEB">
            <w:pPr>
              <w:ind w:right="4"/>
            </w:pPr>
          </w:p>
        </w:tc>
        <w:tc>
          <w:tcPr>
            <w:tcW w:w="984" w:type="dxa"/>
            <w:noWrap/>
            <w:hideMark/>
          </w:tcPr>
          <w:p w14:paraId="7000B5F0" w14:textId="77777777" w:rsidR="00792DEB" w:rsidRPr="006F428A" w:rsidRDefault="00792DEB" w:rsidP="00792DEB">
            <w:pPr>
              <w:ind w:right="4"/>
            </w:pPr>
          </w:p>
        </w:tc>
        <w:tc>
          <w:tcPr>
            <w:tcW w:w="859" w:type="dxa"/>
            <w:noWrap/>
            <w:hideMark/>
          </w:tcPr>
          <w:p w14:paraId="6650A249" w14:textId="77777777" w:rsidR="00792DEB" w:rsidRPr="006F428A" w:rsidRDefault="00792DEB" w:rsidP="00792DEB">
            <w:pPr>
              <w:ind w:right="4"/>
            </w:pPr>
          </w:p>
        </w:tc>
        <w:tc>
          <w:tcPr>
            <w:tcW w:w="984" w:type="dxa"/>
            <w:noWrap/>
            <w:hideMark/>
          </w:tcPr>
          <w:p w14:paraId="3E6EAC27" w14:textId="77777777" w:rsidR="00792DEB" w:rsidRPr="006F428A" w:rsidRDefault="00792DEB" w:rsidP="00792DEB">
            <w:pPr>
              <w:ind w:right="4"/>
            </w:pPr>
          </w:p>
        </w:tc>
        <w:tc>
          <w:tcPr>
            <w:tcW w:w="1109" w:type="dxa"/>
            <w:noWrap/>
            <w:hideMark/>
          </w:tcPr>
          <w:p w14:paraId="36CF21A5" w14:textId="77777777" w:rsidR="00792DEB" w:rsidRPr="006F428A" w:rsidRDefault="00792DEB" w:rsidP="00792DEB">
            <w:pPr>
              <w:ind w:right="4"/>
            </w:pPr>
          </w:p>
        </w:tc>
        <w:tc>
          <w:tcPr>
            <w:tcW w:w="1649" w:type="dxa"/>
            <w:noWrap/>
            <w:hideMark/>
          </w:tcPr>
          <w:p w14:paraId="434A89BD" w14:textId="77777777" w:rsidR="00792DEB" w:rsidRPr="006F428A" w:rsidRDefault="00792DEB" w:rsidP="00792DEB">
            <w:pPr>
              <w:ind w:right="4"/>
            </w:pPr>
          </w:p>
        </w:tc>
      </w:tr>
      <w:tr w:rsidR="00792DEB" w:rsidRPr="006F428A" w14:paraId="45843136" w14:textId="77777777" w:rsidTr="00792DEB">
        <w:trPr>
          <w:trHeight w:hRule="exact" w:val="340"/>
        </w:trPr>
        <w:tc>
          <w:tcPr>
            <w:tcW w:w="3765" w:type="dxa"/>
            <w:hideMark/>
          </w:tcPr>
          <w:p w14:paraId="27A1002F" w14:textId="77777777" w:rsidR="00792DEB" w:rsidRPr="006F428A" w:rsidRDefault="00792DEB" w:rsidP="00792DEB">
            <w:pPr>
              <w:ind w:right="4"/>
            </w:pPr>
            <w:r w:rsidRPr="006F428A">
              <w:t>Potential participant</w:t>
            </w:r>
          </w:p>
        </w:tc>
        <w:tc>
          <w:tcPr>
            <w:tcW w:w="984" w:type="dxa"/>
            <w:noWrap/>
            <w:hideMark/>
          </w:tcPr>
          <w:p w14:paraId="6690DC72" w14:textId="77777777" w:rsidR="00792DEB" w:rsidRPr="006F428A" w:rsidRDefault="00792DEB" w:rsidP="00792DEB">
            <w:pPr>
              <w:ind w:right="4"/>
            </w:pPr>
            <w:r w:rsidRPr="006F428A">
              <w:t>2016-IV</w:t>
            </w:r>
          </w:p>
        </w:tc>
        <w:tc>
          <w:tcPr>
            <w:tcW w:w="859" w:type="dxa"/>
            <w:noWrap/>
            <w:hideMark/>
          </w:tcPr>
          <w:p w14:paraId="5E65E54B" w14:textId="77777777" w:rsidR="00792DEB" w:rsidRPr="006F428A" w:rsidRDefault="00792DEB" w:rsidP="00792DEB">
            <w:pPr>
              <w:ind w:right="4"/>
            </w:pPr>
            <w:r w:rsidRPr="006F428A">
              <w:t>2017-I</w:t>
            </w:r>
          </w:p>
        </w:tc>
        <w:tc>
          <w:tcPr>
            <w:tcW w:w="984" w:type="dxa"/>
            <w:noWrap/>
            <w:hideMark/>
          </w:tcPr>
          <w:p w14:paraId="061A4CF6" w14:textId="77777777" w:rsidR="00792DEB" w:rsidRPr="006F428A" w:rsidRDefault="00792DEB" w:rsidP="00792DEB">
            <w:pPr>
              <w:ind w:right="4"/>
            </w:pPr>
            <w:r w:rsidRPr="006F428A">
              <w:t>2017-II</w:t>
            </w:r>
          </w:p>
        </w:tc>
        <w:tc>
          <w:tcPr>
            <w:tcW w:w="1109" w:type="dxa"/>
            <w:noWrap/>
            <w:hideMark/>
          </w:tcPr>
          <w:p w14:paraId="3A071D42" w14:textId="77777777" w:rsidR="00792DEB" w:rsidRPr="006F428A" w:rsidRDefault="00792DEB" w:rsidP="00792DEB">
            <w:pPr>
              <w:ind w:right="4"/>
            </w:pPr>
            <w:r w:rsidRPr="006F428A">
              <w:t>2017-III</w:t>
            </w:r>
          </w:p>
        </w:tc>
        <w:tc>
          <w:tcPr>
            <w:tcW w:w="1649" w:type="dxa"/>
            <w:hideMark/>
          </w:tcPr>
          <w:p w14:paraId="3DFA470A" w14:textId="77777777" w:rsidR="00792DEB" w:rsidRPr="006F428A" w:rsidRDefault="00792DEB" w:rsidP="00792DEB">
            <w:pPr>
              <w:ind w:right="4"/>
              <w:rPr>
                <w:b/>
                <w:bCs/>
              </w:rPr>
            </w:pPr>
            <w:r w:rsidRPr="006F428A">
              <w:rPr>
                <w:b/>
                <w:bCs/>
              </w:rPr>
              <w:t>Annual assessment</w:t>
            </w:r>
          </w:p>
        </w:tc>
      </w:tr>
      <w:tr w:rsidR="00792DEB" w:rsidRPr="006F428A" w14:paraId="51922EA1" w14:textId="77777777" w:rsidTr="00792DEB">
        <w:trPr>
          <w:trHeight w:hRule="exact" w:val="340"/>
        </w:trPr>
        <w:tc>
          <w:tcPr>
            <w:tcW w:w="3765" w:type="dxa"/>
            <w:hideMark/>
          </w:tcPr>
          <w:p w14:paraId="7B60B1A4" w14:textId="77777777" w:rsidR="00792DEB" w:rsidRPr="006F428A" w:rsidRDefault="00792DEB" w:rsidP="00792DEB">
            <w:pPr>
              <w:ind w:right="4"/>
            </w:pPr>
            <w:r w:rsidRPr="006F428A">
              <w:t>Evocabank" CJSC:</w:t>
            </w:r>
          </w:p>
        </w:tc>
        <w:tc>
          <w:tcPr>
            <w:tcW w:w="984" w:type="dxa"/>
            <w:noWrap/>
            <w:hideMark/>
          </w:tcPr>
          <w:p w14:paraId="478BD64A" w14:textId="77777777" w:rsidR="00792DEB" w:rsidRPr="006F428A" w:rsidRDefault="00792DEB" w:rsidP="00792DEB">
            <w:pPr>
              <w:ind w:right="4"/>
            </w:pPr>
            <w:r w:rsidRPr="006F428A">
              <w:t>7</w:t>
            </w:r>
          </w:p>
        </w:tc>
        <w:tc>
          <w:tcPr>
            <w:tcW w:w="859" w:type="dxa"/>
            <w:noWrap/>
            <w:hideMark/>
          </w:tcPr>
          <w:p w14:paraId="5AA8BC82" w14:textId="77777777" w:rsidR="00792DEB" w:rsidRPr="006F428A" w:rsidRDefault="00792DEB" w:rsidP="00792DEB">
            <w:pPr>
              <w:ind w:right="4"/>
            </w:pPr>
            <w:r w:rsidRPr="006F428A">
              <w:t>7</w:t>
            </w:r>
          </w:p>
        </w:tc>
        <w:tc>
          <w:tcPr>
            <w:tcW w:w="984" w:type="dxa"/>
            <w:noWrap/>
            <w:hideMark/>
          </w:tcPr>
          <w:p w14:paraId="1654A916" w14:textId="77777777" w:rsidR="00792DEB" w:rsidRPr="006F428A" w:rsidRDefault="00792DEB" w:rsidP="00792DEB">
            <w:pPr>
              <w:ind w:right="4"/>
            </w:pPr>
            <w:r w:rsidRPr="006F428A">
              <w:t>6</w:t>
            </w:r>
          </w:p>
        </w:tc>
        <w:tc>
          <w:tcPr>
            <w:tcW w:w="1109" w:type="dxa"/>
            <w:noWrap/>
            <w:hideMark/>
          </w:tcPr>
          <w:p w14:paraId="48E76D02" w14:textId="77777777" w:rsidR="00792DEB" w:rsidRPr="006F428A" w:rsidRDefault="00792DEB" w:rsidP="00792DEB">
            <w:pPr>
              <w:ind w:right="4"/>
            </w:pPr>
            <w:r w:rsidRPr="006F428A">
              <w:t>7</w:t>
            </w:r>
          </w:p>
        </w:tc>
        <w:tc>
          <w:tcPr>
            <w:tcW w:w="1649" w:type="dxa"/>
            <w:noWrap/>
            <w:hideMark/>
          </w:tcPr>
          <w:p w14:paraId="714DD285" w14:textId="77777777" w:rsidR="00792DEB" w:rsidRPr="006F428A" w:rsidRDefault="00792DEB" w:rsidP="00792DEB">
            <w:pPr>
              <w:ind w:right="4"/>
              <w:rPr>
                <w:b/>
                <w:bCs/>
              </w:rPr>
            </w:pPr>
            <w:r w:rsidRPr="006F428A">
              <w:rPr>
                <w:b/>
                <w:bCs/>
              </w:rPr>
              <w:t>27</w:t>
            </w:r>
          </w:p>
        </w:tc>
      </w:tr>
      <w:tr w:rsidR="00792DEB" w:rsidRPr="006F428A" w14:paraId="00E2517F" w14:textId="77777777" w:rsidTr="00792DEB">
        <w:trPr>
          <w:trHeight w:hRule="exact" w:val="340"/>
        </w:trPr>
        <w:tc>
          <w:tcPr>
            <w:tcW w:w="3765" w:type="dxa"/>
            <w:noWrap/>
            <w:hideMark/>
          </w:tcPr>
          <w:p w14:paraId="7013A922" w14:textId="77777777" w:rsidR="00792DEB" w:rsidRPr="006F428A" w:rsidRDefault="00792DEB" w:rsidP="00792DEB">
            <w:pPr>
              <w:ind w:right="4"/>
            </w:pPr>
            <w:r w:rsidRPr="006F428A">
              <w:t>ALPHASECURIT</w:t>
            </w:r>
            <w:r>
              <w:t>IES</w:t>
            </w:r>
            <w:r w:rsidRPr="006F428A">
              <w:t xml:space="preserve"> L</w:t>
            </w:r>
            <w:r>
              <w:t>TD</w:t>
            </w:r>
          </w:p>
        </w:tc>
        <w:tc>
          <w:tcPr>
            <w:tcW w:w="984" w:type="dxa"/>
            <w:noWrap/>
            <w:hideMark/>
          </w:tcPr>
          <w:p w14:paraId="3D4C649A" w14:textId="77777777" w:rsidR="00792DEB" w:rsidRPr="006F428A" w:rsidRDefault="00792DEB" w:rsidP="00792DEB">
            <w:pPr>
              <w:ind w:right="4"/>
            </w:pPr>
            <w:r w:rsidRPr="006F428A">
              <w:t>5</w:t>
            </w:r>
          </w:p>
        </w:tc>
        <w:tc>
          <w:tcPr>
            <w:tcW w:w="859" w:type="dxa"/>
            <w:noWrap/>
            <w:hideMark/>
          </w:tcPr>
          <w:p w14:paraId="36BC4D53" w14:textId="77777777" w:rsidR="00792DEB" w:rsidRPr="006F428A" w:rsidRDefault="00792DEB" w:rsidP="00792DEB">
            <w:pPr>
              <w:ind w:right="4"/>
            </w:pPr>
            <w:r w:rsidRPr="006F428A">
              <w:t>6</w:t>
            </w:r>
          </w:p>
        </w:tc>
        <w:tc>
          <w:tcPr>
            <w:tcW w:w="984" w:type="dxa"/>
            <w:noWrap/>
            <w:hideMark/>
          </w:tcPr>
          <w:p w14:paraId="70EF39C6" w14:textId="77777777" w:rsidR="00792DEB" w:rsidRPr="006F428A" w:rsidRDefault="00792DEB" w:rsidP="00792DEB">
            <w:pPr>
              <w:ind w:right="4"/>
            </w:pPr>
            <w:r w:rsidRPr="006F428A">
              <w:t>0</w:t>
            </w:r>
          </w:p>
        </w:tc>
        <w:tc>
          <w:tcPr>
            <w:tcW w:w="1109" w:type="dxa"/>
            <w:noWrap/>
            <w:hideMark/>
          </w:tcPr>
          <w:p w14:paraId="24884BDB" w14:textId="77777777" w:rsidR="00792DEB" w:rsidRPr="006F428A" w:rsidRDefault="00792DEB" w:rsidP="00792DEB">
            <w:pPr>
              <w:ind w:right="4"/>
            </w:pPr>
            <w:r w:rsidRPr="006F428A">
              <w:t>5</w:t>
            </w:r>
          </w:p>
        </w:tc>
        <w:tc>
          <w:tcPr>
            <w:tcW w:w="1649" w:type="dxa"/>
            <w:noWrap/>
            <w:hideMark/>
          </w:tcPr>
          <w:p w14:paraId="1BD2CBD4" w14:textId="77777777" w:rsidR="00792DEB" w:rsidRPr="006F428A" w:rsidRDefault="00792DEB" w:rsidP="00792DEB">
            <w:pPr>
              <w:ind w:right="4"/>
              <w:rPr>
                <w:b/>
                <w:bCs/>
              </w:rPr>
            </w:pPr>
            <w:r w:rsidRPr="006F428A">
              <w:rPr>
                <w:b/>
                <w:bCs/>
              </w:rPr>
              <w:t>16</w:t>
            </w:r>
          </w:p>
        </w:tc>
      </w:tr>
      <w:tr w:rsidR="00792DEB" w:rsidRPr="006F428A" w14:paraId="21F54C4E" w14:textId="77777777" w:rsidTr="00792DEB">
        <w:trPr>
          <w:trHeight w:hRule="exact" w:val="340"/>
        </w:trPr>
        <w:tc>
          <w:tcPr>
            <w:tcW w:w="3765" w:type="dxa"/>
            <w:noWrap/>
            <w:hideMark/>
          </w:tcPr>
          <w:p w14:paraId="055D2193" w14:textId="77777777" w:rsidR="00792DEB" w:rsidRPr="006F428A" w:rsidRDefault="00792DEB" w:rsidP="00792DEB">
            <w:pPr>
              <w:ind w:right="4"/>
            </w:pPr>
            <w:r w:rsidRPr="006F428A">
              <w:t>Armeconombank OJSC:</w:t>
            </w:r>
          </w:p>
        </w:tc>
        <w:tc>
          <w:tcPr>
            <w:tcW w:w="984" w:type="dxa"/>
            <w:noWrap/>
            <w:hideMark/>
          </w:tcPr>
          <w:p w14:paraId="60DDACDD" w14:textId="77777777" w:rsidR="00792DEB" w:rsidRPr="006F428A" w:rsidRDefault="00792DEB" w:rsidP="00792DEB">
            <w:pPr>
              <w:ind w:right="4"/>
            </w:pPr>
            <w:r w:rsidRPr="006F428A">
              <w:t>1</w:t>
            </w:r>
          </w:p>
        </w:tc>
        <w:tc>
          <w:tcPr>
            <w:tcW w:w="859" w:type="dxa"/>
            <w:noWrap/>
            <w:hideMark/>
          </w:tcPr>
          <w:p w14:paraId="333D82EC" w14:textId="77777777" w:rsidR="00792DEB" w:rsidRPr="006F428A" w:rsidRDefault="00792DEB" w:rsidP="00792DEB">
            <w:pPr>
              <w:ind w:right="4"/>
            </w:pPr>
            <w:r w:rsidRPr="006F428A">
              <w:t>3</w:t>
            </w:r>
          </w:p>
        </w:tc>
        <w:tc>
          <w:tcPr>
            <w:tcW w:w="984" w:type="dxa"/>
            <w:noWrap/>
            <w:hideMark/>
          </w:tcPr>
          <w:p w14:paraId="59D477CB" w14:textId="77777777" w:rsidR="00792DEB" w:rsidRPr="006F428A" w:rsidRDefault="00792DEB" w:rsidP="00792DEB">
            <w:pPr>
              <w:ind w:right="4"/>
            </w:pPr>
            <w:r w:rsidRPr="006F428A">
              <w:t>5</w:t>
            </w:r>
          </w:p>
        </w:tc>
        <w:tc>
          <w:tcPr>
            <w:tcW w:w="1109" w:type="dxa"/>
            <w:noWrap/>
            <w:hideMark/>
          </w:tcPr>
          <w:p w14:paraId="47047B57" w14:textId="77777777" w:rsidR="00792DEB" w:rsidRPr="006F428A" w:rsidRDefault="00792DEB" w:rsidP="00792DEB">
            <w:pPr>
              <w:ind w:right="4"/>
            </w:pPr>
            <w:r w:rsidRPr="006F428A">
              <w:t>6</w:t>
            </w:r>
          </w:p>
        </w:tc>
        <w:tc>
          <w:tcPr>
            <w:tcW w:w="1649" w:type="dxa"/>
            <w:noWrap/>
            <w:hideMark/>
          </w:tcPr>
          <w:p w14:paraId="11FC9538" w14:textId="77777777" w:rsidR="00792DEB" w:rsidRPr="006F428A" w:rsidRDefault="00792DEB" w:rsidP="00792DEB">
            <w:pPr>
              <w:ind w:right="4"/>
              <w:rPr>
                <w:b/>
                <w:bCs/>
              </w:rPr>
            </w:pPr>
            <w:r w:rsidRPr="006F428A">
              <w:rPr>
                <w:b/>
                <w:bCs/>
              </w:rPr>
              <w:t>15</w:t>
            </w:r>
          </w:p>
        </w:tc>
      </w:tr>
      <w:tr w:rsidR="00792DEB" w:rsidRPr="006F428A" w14:paraId="168244A4" w14:textId="77777777" w:rsidTr="00792DEB">
        <w:trPr>
          <w:trHeight w:hRule="exact" w:val="340"/>
        </w:trPr>
        <w:tc>
          <w:tcPr>
            <w:tcW w:w="3765" w:type="dxa"/>
            <w:noWrap/>
            <w:hideMark/>
          </w:tcPr>
          <w:p w14:paraId="5A7D0056" w14:textId="77777777" w:rsidR="00792DEB" w:rsidRPr="006F428A" w:rsidRDefault="00792DEB" w:rsidP="00792DEB">
            <w:pPr>
              <w:ind w:right="4"/>
            </w:pPr>
            <w:r w:rsidRPr="006F428A">
              <w:t>Inecobank CJSC:</w:t>
            </w:r>
          </w:p>
        </w:tc>
        <w:tc>
          <w:tcPr>
            <w:tcW w:w="984" w:type="dxa"/>
            <w:noWrap/>
            <w:hideMark/>
          </w:tcPr>
          <w:p w14:paraId="0882BF55" w14:textId="77777777" w:rsidR="00792DEB" w:rsidRPr="006F428A" w:rsidRDefault="00792DEB" w:rsidP="00792DEB">
            <w:pPr>
              <w:ind w:right="4"/>
            </w:pPr>
            <w:r w:rsidRPr="006F428A">
              <w:t>0</w:t>
            </w:r>
          </w:p>
        </w:tc>
        <w:tc>
          <w:tcPr>
            <w:tcW w:w="859" w:type="dxa"/>
            <w:noWrap/>
            <w:hideMark/>
          </w:tcPr>
          <w:p w14:paraId="1AF2DC6C" w14:textId="77777777" w:rsidR="00792DEB" w:rsidRPr="006F428A" w:rsidRDefault="00792DEB" w:rsidP="00792DEB">
            <w:pPr>
              <w:ind w:right="4"/>
            </w:pPr>
            <w:r w:rsidRPr="006F428A">
              <w:t>4</w:t>
            </w:r>
          </w:p>
        </w:tc>
        <w:tc>
          <w:tcPr>
            <w:tcW w:w="984" w:type="dxa"/>
            <w:noWrap/>
            <w:hideMark/>
          </w:tcPr>
          <w:p w14:paraId="71FEEC14" w14:textId="77777777" w:rsidR="00792DEB" w:rsidRPr="006F428A" w:rsidRDefault="00792DEB" w:rsidP="00792DEB">
            <w:pPr>
              <w:ind w:right="4"/>
            </w:pPr>
            <w:r w:rsidRPr="006F428A">
              <w:t>7</w:t>
            </w:r>
          </w:p>
        </w:tc>
        <w:tc>
          <w:tcPr>
            <w:tcW w:w="1109" w:type="dxa"/>
            <w:noWrap/>
            <w:hideMark/>
          </w:tcPr>
          <w:p w14:paraId="5BB3BB18" w14:textId="77777777" w:rsidR="00792DEB" w:rsidRPr="006F428A" w:rsidRDefault="00792DEB" w:rsidP="00792DEB">
            <w:pPr>
              <w:ind w:right="4"/>
            </w:pPr>
            <w:r w:rsidRPr="006F428A">
              <w:t>0</w:t>
            </w:r>
          </w:p>
        </w:tc>
        <w:tc>
          <w:tcPr>
            <w:tcW w:w="1649" w:type="dxa"/>
            <w:noWrap/>
            <w:hideMark/>
          </w:tcPr>
          <w:p w14:paraId="191D5CEA" w14:textId="77777777" w:rsidR="00792DEB" w:rsidRPr="006F428A" w:rsidRDefault="00792DEB" w:rsidP="00792DEB">
            <w:pPr>
              <w:ind w:right="4"/>
              <w:rPr>
                <w:b/>
                <w:bCs/>
              </w:rPr>
            </w:pPr>
            <w:r w:rsidRPr="006F428A">
              <w:rPr>
                <w:b/>
                <w:bCs/>
              </w:rPr>
              <w:t>11</w:t>
            </w:r>
          </w:p>
        </w:tc>
      </w:tr>
      <w:tr w:rsidR="00792DEB" w:rsidRPr="006F428A" w14:paraId="590D1FE4" w14:textId="77777777" w:rsidTr="00792DEB">
        <w:trPr>
          <w:trHeight w:hRule="exact" w:val="340"/>
        </w:trPr>
        <w:tc>
          <w:tcPr>
            <w:tcW w:w="3765" w:type="dxa"/>
            <w:noWrap/>
            <w:hideMark/>
          </w:tcPr>
          <w:p w14:paraId="1E9013EF" w14:textId="77777777" w:rsidR="00792DEB" w:rsidRPr="006F428A" w:rsidRDefault="00792DEB" w:rsidP="00792DEB">
            <w:pPr>
              <w:ind w:right="4"/>
            </w:pPr>
            <w:r w:rsidRPr="006F428A">
              <w:t>FU</w:t>
            </w:r>
            <w:r>
              <w:t>TURE</w:t>
            </w:r>
            <w:r w:rsidRPr="006F428A">
              <w:t xml:space="preserve"> CAPITAL MARKET LTD</w:t>
            </w:r>
          </w:p>
        </w:tc>
        <w:tc>
          <w:tcPr>
            <w:tcW w:w="984" w:type="dxa"/>
            <w:noWrap/>
            <w:hideMark/>
          </w:tcPr>
          <w:p w14:paraId="18596ED3" w14:textId="77777777" w:rsidR="00792DEB" w:rsidRPr="006F428A" w:rsidRDefault="00792DEB" w:rsidP="00792DEB">
            <w:pPr>
              <w:ind w:right="4"/>
            </w:pPr>
            <w:r w:rsidRPr="006F428A">
              <w:t>0</w:t>
            </w:r>
          </w:p>
        </w:tc>
        <w:tc>
          <w:tcPr>
            <w:tcW w:w="859" w:type="dxa"/>
            <w:noWrap/>
            <w:hideMark/>
          </w:tcPr>
          <w:p w14:paraId="39FD5491" w14:textId="77777777" w:rsidR="00792DEB" w:rsidRPr="006F428A" w:rsidRDefault="00792DEB" w:rsidP="00792DEB">
            <w:pPr>
              <w:ind w:right="4"/>
            </w:pPr>
            <w:r w:rsidRPr="006F428A">
              <w:t>5</w:t>
            </w:r>
          </w:p>
        </w:tc>
        <w:tc>
          <w:tcPr>
            <w:tcW w:w="984" w:type="dxa"/>
            <w:noWrap/>
            <w:hideMark/>
          </w:tcPr>
          <w:p w14:paraId="46A21631" w14:textId="77777777" w:rsidR="00792DEB" w:rsidRPr="006F428A" w:rsidRDefault="00792DEB" w:rsidP="00792DEB">
            <w:pPr>
              <w:ind w:right="4"/>
            </w:pPr>
            <w:r w:rsidRPr="006F428A">
              <w:t>2</w:t>
            </w:r>
          </w:p>
        </w:tc>
        <w:tc>
          <w:tcPr>
            <w:tcW w:w="1109" w:type="dxa"/>
            <w:noWrap/>
            <w:hideMark/>
          </w:tcPr>
          <w:p w14:paraId="533A35A2" w14:textId="77777777" w:rsidR="00792DEB" w:rsidRPr="006F428A" w:rsidRDefault="00792DEB" w:rsidP="00792DEB">
            <w:pPr>
              <w:ind w:right="4"/>
            </w:pPr>
            <w:r w:rsidRPr="006F428A">
              <w:t>3</w:t>
            </w:r>
          </w:p>
        </w:tc>
        <w:tc>
          <w:tcPr>
            <w:tcW w:w="1649" w:type="dxa"/>
            <w:noWrap/>
            <w:hideMark/>
          </w:tcPr>
          <w:p w14:paraId="7B286DE7" w14:textId="77777777" w:rsidR="00792DEB" w:rsidRPr="006F428A" w:rsidRDefault="00792DEB" w:rsidP="00792DEB">
            <w:pPr>
              <w:ind w:right="4"/>
              <w:rPr>
                <w:b/>
                <w:bCs/>
              </w:rPr>
            </w:pPr>
            <w:r w:rsidRPr="006F428A">
              <w:rPr>
                <w:b/>
                <w:bCs/>
              </w:rPr>
              <w:t>10</w:t>
            </w:r>
          </w:p>
        </w:tc>
      </w:tr>
      <w:tr w:rsidR="00792DEB" w:rsidRPr="006F428A" w14:paraId="58A47DD0" w14:textId="77777777" w:rsidTr="00792DEB">
        <w:trPr>
          <w:trHeight w:hRule="exact" w:val="340"/>
        </w:trPr>
        <w:tc>
          <w:tcPr>
            <w:tcW w:w="3765" w:type="dxa"/>
            <w:noWrap/>
            <w:hideMark/>
          </w:tcPr>
          <w:p w14:paraId="678D5A19" w14:textId="77777777" w:rsidR="00792DEB" w:rsidRPr="006F428A" w:rsidRDefault="00792DEB" w:rsidP="00792DEB">
            <w:pPr>
              <w:ind w:right="4"/>
            </w:pPr>
            <w:r w:rsidRPr="006F428A">
              <w:t>Byblos Bank Armenia CJSC:</w:t>
            </w:r>
          </w:p>
        </w:tc>
        <w:tc>
          <w:tcPr>
            <w:tcW w:w="984" w:type="dxa"/>
            <w:noWrap/>
            <w:hideMark/>
          </w:tcPr>
          <w:p w14:paraId="34C65CFB" w14:textId="77777777" w:rsidR="00792DEB" w:rsidRPr="006F428A" w:rsidRDefault="00792DEB" w:rsidP="00792DEB">
            <w:pPr>
              <w:ind w:right="4"/>
            </w:pPr>
            <w:r w:rsidRPr="006F428A">
              <w:t>4</w:t>
            </w:r>
          </w:p>
        </w:tc>
        <w:tc>
          <w:tcPr>
            <w:tcW w:w="859" w:type="dxa"/>
            <w:noWrap/>
            <w:hideMark/>
          </w:tcPr>
          <w:p w14:paraId="38E9D23D" w14:textId="77777777" w:rsidR="00792DEB" w:rsidRPr="006F428A" w:rsidRDefault="00792DEB" w:rsidP="00792DEB">
            <w:pPr>
              <w:ind w:right="4"/>
            </w:pPr>
            <w:r w:rsidRPr="006F428A">
              <w:t>1</w:t>
            </w:r>
          </w:p>
        </w:tc>
        <w:tc>
          <w:tcPr>
            <w:tcW w:w="984" w:type="dxa"/>
            <w:noWrap/>
            <w:hideMark/>
          </w:tcPr>
          <w:p w14:paraId="7D334BD1" w14:textId="77777777" w:rsidR="00792DEB" w:rsidRPr="006F428A" w:rsidRDefault="00792DEB" w:rsidP="00792DEB">
            <w:pPr>
              <w:ind w:right="4"/>
            </w:pPr>
            <w:r w:rsidRPr="006F428A">
              <w:t>4</w:t>
            </w:r>
          </w:p>
        </w:tc>
        <w:tc>
          <w:tcPr>
            <w:tcW w:w="1109" w:type="dxa"/>
            <w:noWrap/>
            <w:hideMark/>
          </w:tcPr>
          <w:p w14:paraId="33F09314" w14:textId="77777777" w:rsidR="00792DEB" w:rsidRPr="006F428A" w:rsidRDefault="00792DEB" w:rsidP="00792DEB">
            <w:pPr>
              <w:ind w:right="4"/>
            </w:pPr>
            <w:r w:rsidRPr="006F428A">
              <w:t>0</w:t>
            </w:r>
          </w:p>
        </w:tc>
        <w:tc>
          <w:tcPr>
            <w:tcW w:w="1649" w:type="dxa"/>
            <w:noWrap/>
            <w:hideMark/>
          </w:tcPr>
          <w:p w14:paraId="2F472D60" w14:textId="77777777" w:rsidR="00792DEB" w:rsidRPr="006F428A" w:rsidRDefault="00792DEB" w:rsidP="00792DEB">
            <w:pPr>
              <w:ind w:right="4"/>
              <w:rPr>
                <w:b/>
                <w:bCs/>
              </w:rPr>
            </w:pPr>
            <w:r w:rsidRPr="006F428A">
              <w:rPr>
                <w:b/>
                <w:bCs/>
              </w:rPr>
              <w:t>9</w:t>
            </w:r>
          </w:p>
        </w:tc>
      </w:tr>
      <w:tr w:rsidR="00792DEB" w:rsidRPr="006F428A" w14:paraId="0B9B73F3" w14:textId="77777777" w:rsidTr="00792DEB">
        <w:trPr>
          <w:trHeight w:hRule="exact" w:val="340"/>
        </w:trPr>
        <w:tc>
          <w:tcPr>
            <w:tcW w:w="3765" w:type="dxa"/>
            <w:noWrap/>
            <w:hideMark/>
          </w:tcPr>
          <w:p w14:paraId="397B6868" w14:textId="77777777" w:rsidR="00792DEB" w:rsidRPr="006F428A" w:rsidRDefault="00792DEB" w:rsidP="00792DEB">
            <w:pPr>
              <w:ind w:right="4"/>
            </w:pPr>
            <w:r w:rsidRPr="006F428A">
              <w:t>Mellat Bank CJSC:</w:t>
            </w:r>
          </w:p>
        </w:tc>
        <w:tc>
          <w:tcPr>
            <w:tcW w:w="984" w:type="dxa"/>
            <w:noWrap/>
            <w:hideMark/>
          </w:tcPr>
          <w:p w14:paraId="4E61416F" w14:textId="77777777" w:rsidR="00792DEB" w:rsidRPr="006F428A" w:rsidRDefault="00792DEB" w:rsidP="00792DEB">
            <w:pPr>
              <w:ind w:right="4"/>
            </w:pPr>
            <w:r w:rsidRPr="006F428A">
              <w:t>2</w:t>
            </w:r>
          </w:p>
        </w:tc>
        <w:tc>
          <w:tcPr>
            <w:tcW w:w="859" w:type="dxa"/>
            <w:noWrap/>
            <w:hideMark/>
          </w:tcPr>
          <w:p w14:paraId="04182F7F" w14:textId="77777777" w:rsidR="00792DEB" w:rsidRPr="006F428A" w:rsidRDefault="00792DEB" w:rsidP="00792DEB">
            <w:pPr>
              <w:ind w:right="4"/>
            </w:pPr>
            <w:r w:rsidRPr="006F428A">
              <w:t>2</w:t>
            </w:r>
          </w:p>
        </w:tc>
        <w:tc>
          <w:tcPr>
            <w:tcW w:w="984" w:type="dxa"/>
            <w:noWrap/>
            <w:hideMark/>
          </w:tcPr>
          <w:p w14:paraId="2EE2CB64" w14:textId="77777777" w:rsidR="00792DEB" w:rsidRPr="006F428A" w:rsidRDefault="00792DEB" w:rsidP="00792DEB">
            <w:pPr>
              <w:ind w:right="4"/>
            </w:pPr>
            <w:r w:rsidRPr="006F428A">
              <w:t>1</w:t>
            </w:r>
          </w:p>
        </w:tc>
        <w:tc>
          <w:tcPr>
            <w:tcW w:w="1109" w:type="dxa"/>
            <w:noWrap/>
            <w:hideMark/>
          </w:tcPr>
          <w:p w14:paraId="4DA19444" w14:textId="77777777" w:rsidR="00792DEB" w:rsidRPr="006F428A" w:rsidRDefault="00792DEB" w:rsidP="00792DEB">
            <w:pPr>
              <w:ind w:right="4"/>
            </w:pPr>
            <w:r w:rsidRPr="006F428A">
              <w:t>2</w:t>
            </w:r>
          </w:p>
        </w:tc>
        <w:tc>
          <w:tcPr>
            <w:tcW w:w="1649" w:type="dxa"/>
            <w:noWrap/>
            <w:hideMark/>
          </w:tcPr>
          <w:p w14:paraId="4AC1E5D8" w14:textId="77777777" w:rsidR="00792DEB" w:rsidRPr="006F428A" w:rsidRDefault="00792DEB" w:rsidP="00792DEB">
            <w:pPr>
              <w:ind w:right="4"/>
              <w:rPr>
                <w:b/>
                <w:bCs/>
              </w:rPr>
            </w:pPr>
            <w:r w:rsidRPr="006F428A">
              <w:rPr>
                <w:b/>
                <w:bCs/>
              </w:rPr>
              <w:t>7</w:t>
            </w:r>
          </w:p>
        </w:tc>
      </w:tr>
    </w:tbl>
    <w:p w14:paraId="65BBFB01" w14:textId="77777777" w:rsidR="00792DEB" w:rsidRDefault="00792DEB" w:rsidP="00792DEB">
      <w:pPr>
        <w:ind w:right="4"/>
      </w:pPr>
    </w:p>
    <w:p w14:paraId="77994B5F" w14:textId="35D1B5BB" w:rsidR="00792DEB" w:rsidRPr="00096A87" w:rsidRDefault="00792DEB" w:rsidP="00792DEB">
      <w:pPr>
        <w:spacing w:after="0"/>
        <w:ind w:right="4"/>
        <w:jc w:val="both"/>
        <w:rPr>
          <w:rFonts w:eastAsia="Sylfaen" w:cstheme="minorHAnsi"/>
        </w:rPr>
      </w:pPr>
      <w:r>
        <w:rPr>
          <w:rFonts w:eastAsia="Sylfaen" w:cstheme="minorHAnsi"/>
        </w:rPr>
        <w:t>6.2</w:t>
      </w:r>
      <w:r>
        <w:rPr>
          <w:rFonts w:eastAsia="Sylfaen" w:cstheme="minorHAnsi"/>
        </w:rPr>
        <w:tab/>
      </w:r>
      <w:r w:rsidRPr="00096A87">
        <w:rPr>
          <w:rFonts w:eastAsia="Sylfaen" w:cstheme="minorHAnsi"/>
        </w:rPr>
        <w:t xml:space="preserve">Based on </w:t>
      </w:r>
      <w:r>
        <w:rPr>
          <w:rFonts w:eastAsia="Sylfaen" w:cstheme="minorHAnsi"/>
        </w:rPr>
        <w:t>the annual assessment</w:t>
      </w:r>
      <w:r w:rsidRPr="00096A87">
        <w:rPr>
          <w:rFonts w:eastAsia="Sylfaen" w:cstheme="minorHAnsi"/>
        </w:rPr>
        <w:t xml:space="preserve">, a new PD is selected from the potential list replacing the lowest ranking PD from the existing list. The quarterly evaluations are published in the website of PDMD within </w:t>
      </w:r>
      <w:r>
        <w:rPr>
          <w:rFonts w:eastAsia="Sylfaen" w:cstheme="minorHAnsi"/>
        </w:rPr>
        <w:t>7 working</w:t>
      </w:r>
      <w:r w:rsidRPr="00096A87">
        <w:rPr>
          <w:rFonts w:eastAsia="Sylfaen" w:cstheme="minorHAnsi"/>
        </w:rPr>
        <w:t xml:space="preserve"> days of the completion of the reporting period. </w:t>
      </w:r>
      <w:r>
        <w:rPr>
          <w:rFonts w:eastAsia="Sylfaen" w:cstheme="minorHAnsi"/>
        </w:rPr>
        <w:t>Scores on primary market participation and secondary market activity for individual PDs along with an aggregate score is provided in the league tables of PD assessment. For potential participants, individual scores are provided only for the secondary market activity.</w:t>
      </w:r>
      <w:r w:rsidRPr="00096A87">
        <w:rPr>
          <w:rFonts w:eastAsia="Sylfaen" w:cstheme="minorHAnsi"/>
        </w:rPr>
        <w:t xml:space="preserve"> </w:t>
      </w:r>
      <w:r>
        <w:rPr>
          <w:rFonts w:eastAsia="Sylfaen" w:cstheme="minorHAnsi"/>
        </w:rPr>
        <w:t>On publication of the annual assessment by the middle of October</w:t>
      </w:r>
      <w:r w:rsidR="008B06A0">
        <w:rPr>
          <w:rFonts w:eastAsia="Sylfaen" w:cstheme="minorHAnsi"/>
        </w:rPr>
        <w:t xml:space="preserve"> </w:t>
      </w:r>
      <w:bookmarkStart w:id="0" w:name="_GoBack"/>
      <w:bookmarkEnd w:id="0"/>
      <w:r>
        <w:rPr>
          <w:rFonts w:eastAsia="Sylfaen" w:cstheme="minorHAnsi"/>
        </w:rPr>
        <w:t>every year, discussions on the replacement of the lowest ranked PD with a new one from the potential participants list effective from January in the following year is undertaken by PDMD thereafter.</w:t>
      </w:r>
    </w:p>
    <w:p w14:paraId="4EED7EEF" w14:textId="77777777" w:rsidR="00792DEB" w:rsidRDefault="00792DEB" w:rsidP="00792DEB">
      <w:pPr>
        <w:ind w:right="4"/>
        <w:jc w:val="both"/>
      </w:pPr>
    </w:p>
    <w:p w14:paraId="082B8798" w14:textId="7958B669" w:rsidR="00792DEB" w:rsidRDefault="00792DEB" w:rsidP="00792DEB">
      <w:pPr>
        <w:ind w:right="4"/>
        <w:jc w:val="both"/>
      </w:pPr>
      <w:r>
        <w:t>6.3</w:t>
      </w:r>
      <w:r>
        <w:tab/>
        <w:t>PDMD has so far implemented a transparent process in the assessment of PD performance which is in accordance with sound international practice. This has been supported by specific reporting provided by NASDAQ-OMX and CBA as required for the defined indicators on primary market participation and secondary market activity respectively. The PDMD has recently decided after consultation with PDs to increase the volume of quotation required on the two-way quotes for secondary market trades.</w:t>
      </w:r>
    </w:p>
    <w:p w14:paraId="48A58586" w14:textId="5552D400" w:rsidR="00792DEB" w:rsidRDefault="00792DEB" w:rsidP="00792DEB">
      <w:pPr>
        <w:ind w:right="4"/>
        <w:jc w:val="both"/>
        <w:rPr>
          <w:rFonts w:eastAsia="Sylfaen" w:cstheme="minorHAnsi"/>
        </w:rPr>
      </w:pPr>
      <w:r>
        <w:rPr>
          <w:rFonts w:eastAsia="Sylfaen" w:cstheme="minorHAnsi"/>
        </w:rPr>
        <w:t>6.4</w:t>
      </w:r>
      <w:r>
        <w:rPr>
          <w:rFonts w:eastAsia="Sylfaen" w:cstheme="minorHAnsi"/>
        </w:rPr>
        <w:tab/>
        <w:t>Under the current framework, the weight provided to the share of successful allocation in the overall bid by the PD is provided a weight of 25 percent. It is considered that there is more room to increase the weight of this indicator to promote more aggressive budding by PDs which would translate into lower funding cost for the government.</w:t>
      </w:r>
    </w:p>
    <w:p w14:paraId="384D69DD" w14:textId="150C5EC8" w:rsidR="00E03A71" w:rsidRDefault="00E03A71" w:rsidP="00792DEB">
      <w:pPr>
        <w:ind w:right="4"/>
        <w:jc w:val="both"/>
      </w:pPr>
      <w:r>
        <w:t>6.5 For the minimum trading volume required, it is proposed that the threshold 0.1 percent of the nominal volume of outstanding bonds in circulation</w:t>
      </w:r>
      <w:r w:rsidR="003B126F">
        <w:t xml:space="preserve"> will be increased</w:t>
      </w:r>
      <w:r>
        <w:t>. Similarly, for providing exemption on such quoting obligation, the threshold 0.2 percent of the nominal volume of outstanding bonds in circulation</w:t>
      </w:r>
      <w:r w:rsidR="003B126F">
        <w:t xml:space="preserve"> will be increased.</w:t>
      </w:r>
    </w:p>
    <w:p w14:paraId="59E509F3" w14:textId="32457604" w:rsidR="009C1B2F" w:rsidRDefault="009C1B2F" w:rsidP="00792DEB">
      <w:pPr>
        <w:ind w:right="4"/>
        <w:jc w:val="both"/>
      </w:pPr>
      <w:r>
        <w:lastRenderedPageBreak/>
        <w:t>6.6 It is proposed that the privileges could be enhanced by considering the top ranked PDs to provide participation as a lead arranger through syndications or through limited role in the issuance of Eurobonds.</w:t>
      </w:r>
    </w:p>
    <w:p w14:paraId="11753229" w14:textId="2F87B2F3" w:rsidR="00792DEB" w:rsidRDefault="00792DEB" w:rsidP="00792DEB">
      <w:pPr>
        <w:ind w:right="4"/>
        <w:jc w:val="both"/>
      </w:pPr>
      <w:r>
        <w:t>6.</w:t>
      </w:r>
      <w:r w:rsidR="009C1B2F">
        <w:t>7</w:t>
      </w:r>
      <w:r>
        <w:tab/>
      </w:r>
      <w:r w:rsidRPr="009C619A">
        <w:t xml:space="preserve">With respect to </w:t>
      </w:r>
      <w:r>
        <w:t xml:space="preserve">the obligation of a </w:t>
      </w:r>
      <w:r w:rsidRPr="009C619A">
        <w:t>PD to provide two-way quotes</w:t>
      </w:r>
      <w:r>
        <w:t xml:space="preserve"> on designated benchmark bonds</w:t>
      </w:r>
      <w:r w:rsidRPr="009C619A">
        <w:t xml:space="preserve">, </w:t>
      </w:r>
      <w:r>
        <w:t>PDMP will</w:t>
      </w:r>
      <w:r w:rsidRPr="00792DEB">
        <w:t xml:space="preserve"> initiate </w:t>
      </w:r>
      <w:r w:rsidR="002270A0">
        <w:t>further reducing of</w:t>
      </w:r>
      <w:r w:rsidRPr="009C619A">
        <w:t xml:space="preserve"> spread</w:t>
      </w:r>
      <w:r>
        <w:t xml:space="preserve"> of 500 basis points</w:t>
      </w:r>
      <w:r w:rsidR="002270A0">
        <w:t xml:space="preserve"> at the </w:t>
      </w:r>
      <w:r w:rsidR="000D2E18">
        <w:t>next</w:t>
      </w:r>
      <w:r w:rsidR="002270A0">
        <w:t xml:space="preserve"> stage of reforms</w:t>
      </w:r>
      <w:r>
        <w:t>.</w:t>
      </w:r>
    </w:p>
    <w:p w14:paraId="2CFB954D" w14:textId="1A93801B" w:rsidR="002270A0" w:rsidRDefault="002270A0" w:rsidP="00792DEB">
      <w:pPr>
        <w:ind w:right="4"/>
        <w:jc w:val="both"/>
      </w:pPr>
      <w:r>
        <w:t>6.</w:t>
      </w:r>
      <w:r w:rsidR="009C1B2F">
        <w:t>8</w:t>
      </w:r>
      <w:r>
        <w:tab/>
        <w:t xml:space="preserve">With respect to selection of a new PD from the potential list of PDs, it is proposed that PDMD initiates a pro-active channel of communication. </w:t>
      </w:r>
      <w:r w:rsidR="007B7643">
        <w:t>PDMP intends</w:t>
      </w:r>
      <w:r>
        <w:t xml:space="preserve"> to organize a meeting with potential participants included in quarterly evaluation list.</w:t>
      </w:r>
    </w:p>
    <w:p w14:paraId="031E16E6" w14:textId="351747D2" w:rsidR="00792DEB" w:rsidRPr="00587CAF" w:rsidRDefault="00792DEB" w:rsidP="00792DEB">
      <w:pPr>
        <w:ind w:right="4"/>
        <w:rPr>
          <w:b/>
        </w:rPr>
      </w:pPr>
      <w:r>
        <w:br w:type="page"/>
      </w:r>
      <w:r w:rsidRPr="00587CAF">
        <w:rPr>
          <w:b/>
        </w:rPr>
        <w:lastRenderedPageBreak/>
        <w:t xml:space="preserve">Appendix </w:t>
      </w:r>
      <w:r>
        <w:rPr>
          <w:b/>
        </w:rPr>
        <w:t>1</w:t>
      </w:r>
      <w:r w:rsidRPr="00587CAF">
        <w:rPr>
          <w:b/>
        </w:rPr>
        <w:t xml:space="preserve">: Analytical Framework for Evaluation </w:t>
      </w:r>
      <w:r>
        <w:rPr>
          <w:b/>
        </w:rPr>
        <w:t>of Primary Dealers</w:t>
      </w:r>
    </w:p>
    <w:p w14:paraId="34611CF8" w14:textId="77777777" w:rsidR="00792DEB" w:rsidRPr="007F5DCE" w:rsidRDefault="00792DEB" w:rsidP="00792DEB">
      <w:pPr>
        <w:spacing w:after="0"/>
        <w:ind w:right="4"/>
        <w:rPr>
          <w:rFonts w:eastAsia="Sylfaen" w:cstheme="minorHAnsi"/>
          <w:sz w:val="24"/>
          <w:szCs w:val="24"/>
        </w:rPr>
      </w:pPr>
      <w:r w:rsidRPr="007F5DCE">
        <w:rPr>
          <w:rFonts w:eastAsia="Sylfaen" w:cstheme="minorHAnsi"/>
          <w:sz w:val="24"/>
          <w:szCs w:val="24"/>
        </w:rPr>
        <w:t>The indicators for evaluating the activities of the dealers are as follows:</w:t>
      </w:r>
    </w:p>
    <w:p w14:paraId="0CA11E68" w14:textId="77777777" w:rsidR="00792DEB" w:rsidRDefault="00792DEB" w:rsidP="00792DEB">
      <w:pPr>
        <w:spacing w:after="0"/>
        <w:ind w:right="4"/>
        <w:rPr>
          <w:rFonts w:eastAsia="Sylfaen" w:cstheme="minorHAnsi"/>
          <w:sz w:val="24"/>
          <w:szCs w:val="24"/>
        </w:rPr>
      </w:pPr>
    </w:p>
    <w:p w14:paraId="1C182AC4" w14:textId="77777777" w:rsidR="00792DEB" w:rsidRPr="007F5DCE" w:rsidRDefault="00792DEB" w:rsidP="00792DEB">
      <w:pPr>
        <w:spacing w:after="0"/>
        <w:ind w:right="4"/>
        <w:rPr>
          <w:rFonts w:eastAsia="Sylfaen" w:cstheme="minorHAnsi"/>
          <w:sz w:val="24"/>
          <w:szCs w:val="24"/>
        </w:rPr>
      </w:pPr>
      <w:r w:rsidRPr="007F5DCE">
        <w:rPr>
          <w:rFonts w:eastAsia="Sylfaen" w:cstheme="minorHAnsi"/>
          <w:sz w:val="24"/>
          <w:szCs w:val="24"/>
        </w:rPr>
        <w:t xml:space="preserve">1) </w:t>
      </w:r>
      <w:r w:rsidRPr="006E0DAA">
        <w:rPr>
          <w:rFonts w:eastAsia="Sylfaen" w:cstheme="minorHAnsi"/>
          <w:b/>
          <w:sz w:val="24"/>
          <w:szCs w:val="24"/>
        </w:rPr>
        <w:t>Participation in the primary market = I</w:t>
      </w:r>
      <w:r w:rsidRPr="006E0DAA">
        <w:rPr>
          <w:rFonts w:eastAsia="Sylfaen" w:cstheme="minorHAnsi"/>
          <w:b/>
          <w:sz w:val="24"/>
          <w:szCs w:val="24"/>
          <w:vertAlign w:val="subscript"/>
        </w:rPr>
        <w:t>1</w:t>
      </w:r>
      <w:r w:rsidRPr="006E0DAA">
        <w:rPr>
          <w:rFonts w:eastAsia="Sylfaen" w:cstheme="minorHAnsi"/>
          <w:b/>
          <w:sz w:val="24"/>
          <w:szCs w:val="24"/>
        </w:rPr>
        <w:t xml:space="preserve"> *0.75 + I2 *0.25</w:t>
      </w:r>
    </w:p>
    <w:p w14:paraId="662D5068" w14:textId="77777777" w:rsidR="00792DEB" w:rsidRDefault="00792DEB" w:rsidP="00792DEB">
      <w:pPr>
        <w:spacing w:after="0"/>
        <w:ind w:right="4"/>
        <w:rPr>
          <w:rFonts w:eastAsia="Sylfaen" w:cstheme="minorHAnsi"/>
          <w:sz w:val="24"/>
          <w:szCs w:val="24"/>
        </w:rPr>
      </w:pPr>
    </w:p>
    <w:p w14:paraId="73729040" w14:textId="77777777" w:rsidR="00792DEB" w:rsidRPr="007F5DCE" w:rsidRDefault="00792DEB" w:rsidP="00792DEB">
      <w:pPr>
        <w:spacing w:after="0"/>
        <w:ind w:right="4"/>
        <w:rPr>
          <w:rFonts w:eastAsia="Sylfaen" w:cstheme="minorHAnsi"/>
          <w:sz w:val="24"/>
          <w:szCs w:val="24"/>
        </w:rPr>
      </w:pPr>
      <w:r w:rsidRPr="007F5DCE">
        <w:rPr>
          <w:rFonts w:eastAsia="Sylfaen" w:cstheme="minorHAnsi"/>
          <w:sz w:val="24"/>
          <w:szCs w:val="24"/>
        </w:rPr>
        <w:t>The indicators characterizing the dealers’ participation in the primary market are as follows:</w:t>
      </w:r>
    </w:p>
    <w:p w14:paraId="0D14EBBA" w14:textId="77777777" w:rsidR="00792DEB" w:rsidRPr="007F5DCE" w:rsidRDefault="00792DEB" w:rsidP="00792DEB">
      <w:pPr>
        <w:spacing w:after="0"/>
        <w:ind w:left="776" w:right="4"/>
        <w:rPr>
          <w:rFonts w:eastAsia="Sylfaen" w:cstheme="minorHAnsi"/>
          <w:sz w:val="24"/>
          <w:szCs w:val="24"/>
        </w:rPr>
      </w:pPr>
      <w:r w:rsidRPr="007F5DCE">
        <w:rPr>
          <w:rFonts w:eastAsia="Sylfaen" w:cstheme="minorHAnsi"/>
          <w:sz w:val="24"/>
          <w:szCs w:val="24"/>
        </w:rPr>
        <w:t>a. Indicator for the share in the allocation and buyback volume:</w:t>
      </w:r>
    </w:p>
    <w:p w14:paraId="76A3F770" w14:textId="77777777" w:rsidR="00792DEB" w:rsidRDefault="00792DEB" w:rsidP="00792DEB">
      <w:pPr>
        <w:spacing w:before="12" w:after="0"/>
        <w:ind w:left="776" w:right="4" w:firstLine="34"/>
        <w:jc w:val="center"/>
        <w:rPr>
          <w:rFonts w:eastAsia="Sylfaen" w:cstheme="minorHAnsi"/>
          <w:sz w:val="24"/>
          <w:szCs w:val="24"/>
        </w:rPr>
      </w:pPr>
      <w:r w:rsidRPr="006E0DAA">
        <w:rPr>
          <w:rFonts w:eastAsia="Sylfaen" w:cstheme="minorHAnsi"/>
          <w:b/>
          <w:sz w:val="24"/>
          <w:szCs w:val="24"/>
        </w:rPr>
        <w:t>I</w:t>
      </w:r>
      <w:r w:rsidRPr="006E0DAA">
        <w:rPr>
          <w:rFonts w:eastAsia="Sylfaen" w:cstheme="minorHAnsi"/>
          <w:b/>
          <w:sz w:val="24"/>
          <w:szCs w:val="24"/>
          <w:vertAlign w:val="subscript"/>
        </w:rPr>
        <w:t>1</w:t>
      </w:r>
      <w:r w:rsidRPr="006E0DAA">
        <w:rPr>
          <w:rFonts w:eastAsia="Sylfaen" w:cstheme="minorHAnsi"/>
          <w:b/>
          <w:sz w:val="24"/>
          <w:szCs w:val="24"/>
        </w:rPr>
        <w:t xml:space="preserve"> = STB*0.2 + MTB*0.4 + LTB *0.4</w:t>
      </w:r>
      <w:r w:rsidRPr="007F5DCE">
        <w:rPr>
          <w:rFonts w:eastAsia="Sylfaen" w:cstheme="minorHAnsi"/>
          <w:sz w:val="24"/>
          <w:szCs w:val="24"/>
        </w:rPr>
        <w:t>,</w:t>
      </w:r>
    </w:p>
    <w:p w14:paraId="0B587EB9" w14:textId="77777777" w:rsidR="00792DEB" w:rsidRPr="007F5DCE" w:rsidRDefault="00792DEB" w:rsidP="00792DEB">
      <w:pPr>
        <w:spacing w:before="12" w:after="0"/>
        <w:ind w:left="776" w:right="4" w:firstLine="34"/>
        <w:rPr>
          <w:rFonts w:eastAsia="Sylfaen" w:cstheme="minorHAnsi"/>
          <w:sz w:val="24"/>
          <w:szCs w:val="24"/>
        </w:rPr>
      </w:pPr>
      <w:r w:rsidRPr="007F5DCE">
        <w:rPr>
          <w:rFonts w:eastAsia="Sylfaen" w:cstheme="minorHAnsi"/>
          <w:sz w:val="24"/>
          <w:szCs w:val="24"/>
        </w:rPr>
        <w:t>where</w:t>
      </w:r>
      <w:r>
        <w:rPr>
          <w:rFonts w:eastAsia="Sylfaen" w:cstheme="minorHAnsi"/>
          <w:sz w:val="24"/>
          <w:szCs w:val="24"/>
        </w:rPr>
        <w:t>:</w:t>
      </w:r>
    </w:p>
    <w:p w14:paraId="5D023C6C" w14:textId="77777777" w:rsidR="00792DEB" w:rsidRDefault="00792DEB" w:rsidP="00792DEB">
      <w:pPr>
        <w:spacing w:after="0"/>
        <w:ind w:left="416" w:right="4" w:firstLine="360"/>
        <w:jc w:val="both"/>
        <w:rPr>
          <w:rFonts w:eastAsia="Sylfaen" w:cstheme="minorHAnsi"/>
          <w:sz w:val="24"/>
          <w:szCs w:val="24"/>
        </w:rPr>
      </w:pPr>
      <w:r w:rsidRPr="007F5DCE">
        <w:rPr>
          <w:rFonts w:eastAsia="Sylfaen" w:cstheme="minorHAnsi"/>
          <w:sz w:val="24"/>
          <w:szCs w:val="24"/>
        </w:rPr>
        <w:t>STB, MTB and LTB are the ratio of the satisfied volumes of the bids of the dealer at each primary allocation and buyback auction in the reporting period and each volume of the short-term, medium-term and long-term bonds allocated and bought back,</w:t>
      </w:r>
    </w:p>
    <w:p w14:paraId="39D4E46F" w14:textId="77777777" w:rsidR="00792DEB" w:rsidRDefault="00792DEB" w:rsidP="00792DEB">
      <w:pPr>
        <w:spacing w:after="0"/>
        <w:ind w:left="416" w:right="4" w:firstLine="360"/>
        <w:rPr>
          <w:rFonts w:eastAsia="Sylfaen" w:cstheme="minorHAnsi"/>
          <w:sz w:val="24"/>
          <w:szCs w:val="24"/>
        </w:rPr>
      </w:pPr>
    </w:p>
    <w:p w14:paraId="374C5110" w14:textId="77777777" w:rsidR="00792DEB" w:rsidRPr="007F5DCE" w:rsidRDefault="00792DEB" w:rsidP="00792DEB">
      <w:pPr>
        <w:spacing w:after="0"/>
        <w:ind w:left="776" w:right="4"/>
        <w:rPr>
          <w:rFonts w:eastAsia="Sylfaen" w:cstheme="minorHAnsi"/>
          <w:sz w:val="24"/>
          <w:szCs w:val="24"/>
        </w:rPr>
      </w:pPr>
      <w:r w:rsidRPr="007F5DCE">
        <w:rPr>
          <w:rFonts w:eastAsia="Sylfaen" w:cstheme="minorHAnsi"/>
          <w:sz w:val="24"/>
          <w:szCs w:val="24"/>
        </w:rPr>
        <w:t>b. Indicator for effective participation:</w:t>
      </w:r>
    </w:p>
    <w:p w14:paraId="05CEAB62" w14:textId="77777777" w:rsidR="00792DEB" w:rsidRDefault="00792DEB" w:rsidP="00792DEB">
      <w:pPr>
        <w:spacing w:before="12" w:after="0"/>
        <w:ind w:left="776" w:right="4" w:firstLine="34"/>
        <w:jc w:val="center"/>
        <w:rPr>
          <w:rFonts w:eastAsia="Sylfaen" w:cstheme="minorHAnsi"/>
          <w:sz w:val="24"/>
          <w:szCs w:val="24"/>
        </w:rPr>
      </w:pPr>
      <w:r w:rsidRPr="006E0DAA">
        <w:rPr>
          <w:rFonts w:eastAsia="Sylfaen" w:cstheme="minorHAnsi"/>
          <w:b/>
          <w:sz w:val="24"/>
          <w:szCs w:val="24"/>
        </w:rPr>
        <w:t>I</w:t>
      </w:r>
      <w:r w:rsidRPr="006E0DAA">
        <w:rPr>
          <w:rFonts w:eastAsia="Sylfaen" w:cstheme="minorHAnsi"/>
          <w:b/>
          <w:sz w:val="24"/>
          <w:szCs w:val="24"/>
          <w:vertAlign w:val="subscript"/>
        </w:rPr>
        <w:t>2</w:t>
      </w:r>
      <w:r w:rsidRPr="006E0DAA">
        <w:rPr>
          <w:rFonts w:eastAsia="Sylfaen" w:cstheme="minorHAnsi"/>
          <w:b/>
          <w:sz w:val="24"/>
          <w:szCs w:val="24"/>
        </w:rPr>
        <w:t xml:space="preserve"> = STB*0.2 + MTB *0.4 + LTB *0.4</w:t>
      </w:r>
      <w:r w:rsidRPr="007F5DCE">
        <w:rPr>
          <w:rFonts w:eastAsia="Sylfaen" w:cstheme="minorHAnsi"/>
          <w:sz w:val="24"/>
          <w:szCs w:val="24"/>
        </w:rPr>
        <w:t>,</w:t>
      </w:r>
    </w:p>
    <w:p w14:paraId="64917689" w14:textId="77777777" w:rsidR="00792DEB" w:rsidRPr="007F5DCE" w:rsidRDefault="00792DEB" w:rsidP="00792DEB">
      <w:pPr>
        <w:spacing w:before="12" w:after="0"/>
        <w:ind w:left="776" w:right="4" w:firstLine="34"/>
        <w:rPr>
          <w:rFonts w:eastAsia="Sylfaen" w:cstheme="minorHAnsi"/>
          <w:sz w:val="24"/>
          <w:szCs w:val="24"/>
        </w:rPr>
      </w:pPr>
      <w:r w:rsidRPr="007F5DCE">
        <w:rPr>
          <w:rFonts w:eastAsia="Sylfaen" w:cstheme="minorHAnsi"/>
          <w:sz w:val="24"/>
          <w:szCs w:val="24"/>
        </w:rPr>
        <w:t>where</w:t>
      </w:r>
      <w:r>
        <w:rPr>
          <w:rFonts w:eastAsia="Sylfaen" w:cstheme="minorHAnsi"/>
          <w:sz w:val="24"/>
          <w:szCs w:val="24"/>
        </w:rPr>
        <w:t>:</w:t>
      </w:r>
    </w:p>
    <w:p w14:paraId="3B7D5EDB" w14:textId="77777777" w:rsidR="00792DEB" w:rsidRPr="007F5DCE" w:rsidRDefault="00792DEB" w:rsidP="00792DEB">
      <w:pPr>
        <w:spacing w:after="0"/>
        <w:ind w:left="416" w:right="4" w:firstLine="360"/>
        <w:jc w:val="both"/>
        <w:rPr>
          <w:rFonts w:eastAsia="Sylfaen" w:cstheme="minorHAnsi"/>
          <w:sz w:val="26"/>
          <w:szCs w:val="26"/>
        </w:rPr>
      </w:pPr>
      <w:r w:rsidRPr="007F5DCE">
        <w:rPr>
          <w:rFonts w:eastAsia="Sylfaen" w:cstheme="minorHAnsi"/>
          <w:sz w:val="24"/>
          <w:szCs w:val="24"/>
        </w:rPr>
        <w:t>STB, MTB and LTB are the ratio of the satisfied volumes of the competitive bids of the dealer at each primary allocation and buyback auction in the reporting period and the volume of the competitive bids submitted by the dealer.</w:t>
      </w:r>
    </w:p>
    <w:p w14:paraId="53ACBF6A" w14:textId="77777777" w:rsidR="00792DEB" w:rsidRDefault="00792DEB" w:rsidP="00792DEB">
      <w:pPr>
        <w:spacing w:after="0"/>
        <w:ind w:left="416" w:right="4" w:firstLine="360"/>
        <w:rPr>
          <w:rFonts w:eastAsia="Sylfaen" w:cstheme="minorHAnsi"/>
          <w:sz w:val="24"/>
          <w:szCs w:val="24"/>
        </w:rPr>
      </w:pPr>
    </w:p>
    <w:p w14:paraId="253826C4" w14:textId="77777777" w:rsidR="00792DEB" w:rsidRPr="007F5DCE" w:rsidRDefault="00792DEB" w:rsidP="00792DEB">
      <w:pPr>
        <w:spacing w:after="0"/>
        <w:ind w:left="416" w:right="4" w:firstLine="360"/>
        <w:jc w:val="both"/>
        <w:rPr>
          <w:rFonts w:eastAsia="Sylfaen" w:cstheme="minorHAnsi"/>
          <w:sz w:val="24"/>
          <w:szCs w:val="24"/>
        </w:rPr>
      </w:pPr>
      <w:r w:rsidRPr="007F5DCE">
        <w:rPr>
          <w:rFonts w:eastAsia="Sylfaen" w:cstheme="minorHAnsi"/>
          <w:sz w:val="24"/>
          <w:szCs w:val="24"/>
        </w:rPr>
        <w:t>For the calculation of indicators I</w:t>
      </w:r>
      <w:r w:rsidRPr="007F5DCE">
        <w:rPr>
          <w:rFonts w:eastAsia="Sylfaen" w:cstheme="minorHAnsi"/>
          <w:sz w:val="24"/>
          <w:szCs w:val="24"/>
          <w:vertAlign w:val="subscript"/>
        </w:rPr>
        <w:t>1</w:t>
      </w:r>
      <w:r w:rsidRPr="007F5DCE">
        <w:rPr>
          <w:rFonts w:eastAsia="Sylfaen" w:cstheme="minorHAnsi"/>
          <w:sz w:val="24"/>
          <w:szCs w:val="24"/>
        </w:rPr>
        <w:t xml:space="preserve"> and I</w:t>
      </w:r>
      <w:r w:rsidRPr="007F5DCE">
        <w:rPr>
          <w:rFonts w:eastAsia="Sylfaen" w:cstheme="minorHAnsi"/>
          <w:sz w:val="24"/>
          <w:szCs w:val="24"/>
          <w:vertAlign w:val="subscript"/>
        </w:rPr>
        <w:t>2</w:t>
      </w:r>
      <w:r w:rsidRPr="007F5DCE">
        <w:rPr>
          <w:rFonts w:eastAsia="Sylfaen" w:cstheme="minorHAnsi"/>
          <w:sz w:val="24"/>
          <w:szCs w:val="24"/>
        </w:rPr>
        <w:t xml:space="preserve"> the allocation and buyback term shall be taken as the maturity term, moreover the bonds with maturity term of up to 365 days inclusive are considered as STB, from 366 to 18</w:t>
      </w:r>
      <w:r>
        <w:rPr>
          <w:rFonts w:eastAsia="Sylfaen" w:cstheme="minorHAnsi"/>
          <w:sz w:val="24"/>
          <w:szCs w:val="24"/>
        </w:rPr>
        <w:t>2</w:t>
      </w:r>
      <w:r w:rsidRPr="007F5DCE">
        <w:rPr>
          <w:rFonts w:eastAsia="Sylfaen" w:cstheme="minorHAnsi"/>
          <w:sz w:val="24"/>
          <w:szCs w:val="24"/>
        </w:rPr>
        <w:t>6 days inclusive – MTB, and more than 1826 days – LTB.</w:t>
      </w:r>
    </w:p>
    <w:p w14:paraId="7633FE33" w14:textId="77777777" w:rsidR="00792DEB" w:rsidRDefault="00792DEB" w:rsidP="00792DEB">
      <w:pPr>
        <w:spacing w:after="0"/>
        <w:ind w:right="4"/>
        <w:rPr>
          <w:rFonts w:eastAsia="Sylfaen" w:cstheme="minorHAnsi"/>
          <w:sz w:val="24"/>
          <w:szCs w:val="24"/>
        </w:rPr>
      </w:pPr>
    </w:p>
    <w:p w14:paraId="43ABD1EE" w14:textId="77777777" w:rsidR="00792DEB" w:rsidRPr="007F5DCE" w:rsidRDefault="00792DEB" w:rsidP="00792DEB">
      <w:pPr>
        <w:spacing w:after="0"/>
        <w:ind w:right="4"/>
        <w:rPr>
          <w:rFonts w:eastAsia="Sylfaen" w:cstheme="minorHAnsi"/>
          <w:sz w:val="24"/>
          <w:szCs w:val="24"/>
        </w:rPr>
      </w:pPr>
      <w:r w:rsidRPr="007F5DCE">
        <w:rPr>
          <w:rFonts w:eastAsia="Sylfaen" w:cstheme="minorHAnsi"/>
          <w:sz w:val="24"/>
          <w:szCs w:val="24"/>
        </w:rPr>
        <w:t xml:space="preserve">2) </w:t>
      </w:r>
      <w:r w:rsidRPr="00FE54DD">
        <w:rPr>
          <w:rFonts w:eastAsia="Sylfaen" w:cstheme="minorHAnsi"/>
          <w:b/>
          <w:sz w:val="24"/>
          <w:szCs w:val="24"/>
        </w:rPr>
        <w:t>Indicator for activity in the secondary market:</w:t>
      </w:r>
    </w:p>
    <w:p w14:paraId="31A1646A" w14:textId="77777777" w:rsidR="00792DEB" w:rsidRPr="007F5DCE" w:rsidRDefault="00792DEB" w:rsidP="00792DEB">
      <w:pPr>
        <w:spacing w:after="0"/>
        <w:ind w:left="776" w:right="4"/>
        <w:rPr>
          <w:rFonts w:eastAsia="Sylfaen" w:cstheme="minorHAnsi"/>
          <w:sz w:val="24"/>
          <w:szCs w:val="24"/>
        </w:rPr>
      </w:pPr>
      <w:r w:rsidRPr="007F5DCE">
        <w:rPr>
          <w:rFonts w:eastAsia="Sylfaen" w:cstheme="minorHAnsi"/>
          <w:sz w:val="24"/>
          <w:szCs w:val="24"/>
        </w:rPr>
        <w:t>Indicator of the share in the volume of operations:</w:t>
      </w:r>
    </w:p>
    <w:p w14:paraId="1795FEE4" w14:textId="77777777" w:rsidR="00792DEB" w:rsidRPr="007F5DCE" w:rsidRDefault="00792DEB" w:rsidP="00792DEB">
      <w:pPr>
        <w:spacing w:before="6" w:after="0" w:line="170" w:lineRule="exact"/>
        <w:ind w:right="4"/>
        <w:rPr>
          <w:rFonts w:cstheme="minorHAnsi"/>
          <w:sz w:val="24"/>
          <w:szCs w:val="24"/>
        </w:rPr>
      </w:pPr>
    </w:p>
    <w:p w14:paraId="70603622" w14:textId="77777777" w:rsidR="00792DEB" w:rsidRPr="00FE54DD" w:rsidRDefault="00792DEB" w:rsidP="00792DEB">
      <w:pPr>
        <w:spacing w:before="12" w:after="0"/>
        <w:ind w:left="776" w:right="4" w:firstLine="34"/>
        <w:jc w:val="center"/>
        <w:rPr>
          <w:rFonts w:eastAsia="Sylfaen" w:cstheme="minorHAnsi"/>
          <w:b/>
          <w:sz w:val="24"/>
          <w:szCs w:val="24"/>
        </w:rPr>
      </w:pPr>
      <w:r w:rsidRPr="00FE54DD">
        <w:rPr>
          <w:rFonts w:eastAsia="Sylfaen" w:cstheme="minorHAnsi"/>
          <w:b/>
          <w:sz w:val="24"/>
          <w:szCs w:val="24"/>
        </w:rPr>
        <w:t>I</w:t>
      </w:r>
      <w:r w:rsidRPr="00FE54DD">
        <w:rPr>
          <w:rFonts w:eastAsia="Sylfaen" w:cstheme="minorHAnsi"/>
          <w:b/>
          <w:position w:val="-4"/>
          <w:sz w:val="24"/>
          <w:szCs w:val="24"/>
          <w:vertAlign w:val="subscript"/>
        </w:rPr>
        <w:t>3</w:t>
      </w:r>
      <w:r w:rsidRPr="00FE54DD">
        <w:rPr>
          <w:rFonts w:eastAsia="Sylfaen" w:cstheme="minorHAnsi"/>
          <w:b/>
          <w:position w:val="-4"/>
          <w:sz w:val="24"/>
          <w:szCs w:val="24"/>
        </w:rPr>
        <w:t xml:space="preserve"> </w:t>
      </w:r>
      <w:r w:rsidRPr="00FE54DD">
        <w:rPr>
          <w:rFonts w:eastAsia="Sylfaen" w:cstheme="minorHAnsi"/>
          <w:b/>
          <w:sz w:val="24"/>
          <w:szCs w:val="24"/>
        </w:rPr>
        <w:t xml:space="preserve">= ∑ </w:t>
      </w:r>
      <w:r w:rsidRPr="00FE54DD">
        <w:rPr>
          <w:rFonts w:eastAsia="Sylfaen" w:cstheme="minorHAnsi"/>
          <w:b/>
          <w:position w:val="7"/>
          <w:sz w:val="24"/>
          <w:szCs w:val="24"/>
          <w:vertAlign w:val="superscript"/>
        </w:rPr>
        <w:t>N</w:t>
      </w:r>
      <w:r w:rsidRPr="00FE54DD">
        <w:rPr>
          <w:rFonts w:eastAsia="Sylfaen" w:cstheme="minorHAnsi"/>
          <w:b/>
          <w:position w:val="7"/>
          <w:sz w:val="24"/>
          <w:szCs w:val="24"/>
        </w:rPr>
        <w:t xml:space="preserve"> </w:t>
      </w:r>
      <w:r w:rsidRPr="00FE54DD">
        <w:rPr>
          <w:rFonts w:eastAsia="Sylfaen" w:cstheme="minorHAnsi"/>
          <w:b/>
          <w:position w:val="-4"/>
          <w:sz w:val="24"/>
          <w:szCs w:val="24"/>
          <w:vertAlign w:val="subscript"/>
        </w:rPr>
        <w:t>i = 1</w:t>
      </w:r>
      <w:r w:rsidRPr="00FE54DD">
        <w:rPr>
          <w:rFonts w:eastAsia="Sylfaen" w:cstheme="minorHAnsi"/>
          <w:b/>
          <w:position w:val="-4"/>
          <w:sz w:val="24"/>
          <w:szCs w:val="24"/>
        </w:rPr>
        <w:t xml:space="preserve"> </w:t>
      </w:r>
      <w:r w:rsidRPr="00FE54DD">
        <w:rPr>
          <w:rFonts w:eastAsia="Sylfaen" w:cstheme="minorHAnsi"/>
          <w:b/>
          <w:sz w:val="24"/>
          <w:szCs w:val="24"/>
        </w:rPr>
        <w:t>(ET * 0.6 + OET * 0.4)</w:t>
      </w:r>
    </w:p>
    <w:p w14:paraId="3609B73B" w14:textId="77777777" w:rsidR="00792DEB" w:rsidRPr="007F5DCE" w:rsidRDefault="00792DEB" w:rsidP="00792DEB">
      <w:pPr>
        <w:spacing w:before="8" w:after="0" w:line="180" w:lineRule="exact"/>
        <w:ind w:right="4"/>
        <w:rPr>
          <w:rFonts w:cstheme="minorHAnsi"/>
          <w:sz w:val="24"/>
          <w:szCs w:val="24"/>
        </w:rPr>
      </w:pPr>
    </w:p>
    <w:p w14:paraId="2DC71618" w14:textId="77777777" w:rsidR="00792DEB" w:rsidRPr="007F5DCE" w:rsidRDefault="00792DEB" w:rsidP="00792DEB">
      <w:pPr>
        <w:spacing w:after="0"/>
        <w:ind w:left="778" w:right="4"/>
        <w:rPr>
          <w:rFonts w:eastAsia="Sylfaen" w:cstheme="minorHAnsi"/>
          <w:sz w:val="24"/>
          <w:szCs w:val="24"/>
        </w:rPr>
      </w:pPr>
      <w:r w:rsidRPr="007F5DCE">
        <w:rPr>
          <w:rFonts w:eastAsia="Sylfaen" w:cstheme="minorHAnsi"/>
          <w:position w:val="1"/>
          <w:sz w:val="24"/>
          <w:szCs w:val="24"/>
        </w:rPr>
        <w:t>where:</w:t>
      </w:r>
    </w:p>
    <w:p w14:paraId="49A77162" w14:textId="77777777" w:rsidR="00792DEB" w:rsidRPr="007F5DCE" w:rsidRDefault="00792DEB" w:rsidP="00792DEB">
      <w:pPr>
        <w:spacing w:after="0"/>
        <w:ind w:left="778" w:right="4"/>
        <w:jc w:val="both"/>
        <w:rPr>
          <w:rFonts w:eastAsia="Sylfaen" w:cstheme="minorHAnsi"/>
          <w:sz w:val="24"/>
          <w:szCs w:val="24"/>
        </w:rPr>
      </w:pPr>
      <w:r w:rsidRPr="007F5DCE">
        <w:rPr>
          <w:rFonts w:eastAsia="Sylfaen" w:cstheme="minorHAnsi"/>
          <w:position w:val="2"/>
          <w:sz w:val="24"/>
          <w:szCs w:val="24"/>
        </w:rPr>
        <w:t>n is the number of working days in the given quarter,</w:t>
      </w:r>
    </w:p>
    <w:p w14:paraId="37B58E33" w14:textId="77777777" w:rsidR="00792DEB" w:rsidRPr="007F5DCE" w:rsidRDefault="00792DEB" w:rsidP="00792DEB">
      <w:pPr>
        <w:spacing w:after="0"/>
        <w:ind w:left="778" w:right="4"/>
        <w:jc w:val="both"/>
        <w:rPr>
          <w:rFonts w:eastAsia="Sylfaen" w:cstheme="minorHAnsi"/>
          <w:sz w:val="24"/>
          <w:szCs w:val="24"/>
        </w:rPr>
      </w:pPr>
      <w:r w:rsidRPr="007F5DCE">
        <w:rPr>
          <w:rFonts w:eastAsia="Sylfaen" w:cstheme="minorHAnsi"/>
          <w:position w:val="3"/>
          <w:sz w:val="24"/>
          <w:szCs w:val="24"/>
        </w:rPr>
        <w:t>ET and OET are the share of the exchange and off-exchange trading operations in the total daily volume of operations.</w:t>
      </w:r>
    </w:p>
    <w:p w14:paraId="4B1D0CF3" w14:textId="77777777" w:rsidR="00792DEB" w:rsidRPr="007F5DCE" w:rsidRDefault="00792DEB" w:rsidP="00792DEB">
      <w:pPr>
        <w:spacing w:after="0"/>
        <w:ind w:left="778" w:right="4"/>
        <w:jc w:val="both"/>
        <w:rPr>
          <w:rFonts w:eastAsia="Sylfaen" w:cstheme="minorHAnsi"/>
          <w:sz w:val="24"/>
          <w:szCs w:val="24"/>
        </w:rPr>
      </w:pPr>
      <w:r w:rsidRPr="007F5DCE">
        <w:rPr>
          <w:rFonts w:eastAsia="Sylfaen" w:cstheme="minorHAnsi"/>
          <w:sz w:val="24"/>
          <w:szCs w:val="24"/>
        </w:rPr>
        <w:t>I</w:t>
      </w:r>
      <w:r w:rsidRPr="007F5DCE">
        <w:rPr>
          <w:rFonts w:eastAsia="Sylfaen" w:cstheme="minorHAnsi"/>
          <w:sz w:val="24"/>
          <w:szCs w:val="24"/>
          <w:vertAlign w:val="subscript"/>
        </w:rPr>
        <w:t>3</w:t>
      </w:r>
      <w:r w:rsidRPr="007F5DCE">
        <w:rPr>
          <w:rFonts w:eastAsia="Sylfaen" w:cstheme="minorHAnsi"/>
          <w:sz w:val="24"/>
          <w:szCs w:val="24"/>
        </w:rPr>
        <w:t xml:space="preserve"> indicator is calculated by the Central Bank of RA and provided to the issuer within five working days upon the end of each quarter.</w:t>
      </w:r>
    </w:p>
    <w:p w14:paraId="348698A0" w14:textId="77777777" w:rsidR="00792DEB" w:rsidRPr="007F5DCE" w:rsidRDefault="00792DEB" w:rsidP="00792DEB">
      <w:pPr>
        <w:spacing w:before="6" w:after="0" w:line="170" w:lineRule="exact"/>
        <w:ind w:right="4"/>
        <w:jc w:val="both"/>
        <w:rPr>
          <w:rFonts w:cstheme="minorHAnsi"/>
          <w:sz w:val="24"/>
          <w:szCs w:val="24"/>
        </w:rPr>
      </w:pPr>
    </w:p>
    <w:p w14:paraId="2A99FD81" w14:textId="77777777" w:rsidR="00792DEB" w:rsidRPr="007F5DCE" w:rsidRDefault="00792DEB" w:rsidP="00792DEB">
      <w:pPr>
        <w:spacing w:after="0" w:line="240" w:lineRule="auto"/>
        <w:ind w:right="4"/>
        <w:rPr>
          <w:rFonts w:eastAsia="Sylfaen" w:cstheme="minorHAnsi"/>
          <w:sz w:val="24"/>
          <w:szCs w:val="24"/>
        </w:rPr>
      </w:pPr>
      <w:r w:rsidRPr="007F5DCE">
        <w:rPr>
          <w:rFonts w:eastAsia="Sylfaen" w:cstheme="minorHAnsi"/>
          <w:sz w:val="24"/>
          <w:szCs w:val="24"/>
        </w:rPr>
        <w:t xml:space="preserve">3) </w:t>
      </w:r>
      <w:r w:rsidRPr="00FE54DD">
        <w:rPr>
          <w:rFonts w:eastAsia="Sylfaen" w:cstheme="minorHAnsi"/>
          <w:b/>
          <w:sz w:val="24"/>
          <w:szCs w:val="24"/>
        </w:rPr>
        <w:t xml:space="preserve">Work with the issuer </w:t>
      </w:r>
      <w:r w:rsidRPr="007F5DCE">
        <w:rPr>
          <w:rFonts w:eastAsia="Sylfaen" w:cstheme="minorHAnsi"/>
          <w:sz w:val="24"/>
          <w:szCs w:val="24"/>
        </w:rPr>
        <w:t>- (I</w:t>
      </w:r>
      <w:r w:rsidRPr="007F5DCE">
        <w:rPr>
          <w:rFonts w:eastAsia="Sylfaen" w:cstheme="minorHAnsi"/>
          <w:sz w:val="24"/>
          <w:szCs w:val="24"/>
          <w:vertAlign w:val="subscript"/>
        </w:rPr>
        <w:t>4</w:t>
      </w:r>
      <w:r w:rsidRPr="007F5DCE">
        <w:rPr>
          <w:rFonts w:eastAsia="Sylfaen" w:cstheme="minorHAnsi"/>
          <w:sz w:val="24"/>
          <w:szCs w:val="24"/>
        </w:rPr>
        <w:t>)</w:t>
      </w:r>
    </w:p>
    <w:p w14:paraId="709F0D5C" w14:textId="77777777" w:rsidR="00792DEB" w:rsidRPr="007F5DCE" w:rsidRDefault="00792DEB" w:rsidP="00792DEB">
      <w:pPr>
        <w:spacing w:after="0"/>
        <w:ind w:left="416" w:right="4" w:firstLine="360"/>
        <w:jc w:val="both"/>
        <w:rPr>
          <w:rFonts w:eastAsia="Sylfaen" w:cstheme="minorHAnsi"/>
          <w:sz w:val="24"/>
          <w:szCs w:val="24"/>
        </w:rPr>
      </w:pPr>
      <w:r w:rsidRPr="007F5DCE">
        <w:rPr>
          <w:rFonts w:eastAsia="Sylfaen" w:cstheme="minorHAnsi"/>
          <w:sz w:val="24"/>
          <w:szCs w:val="24"/>
        </w:rPr>
        <w:t>I</w:t>
      </w:r>
      <w:r w:rsidRPr="007F5DCE">
        <w:rPr>
          <w:rFonts w:eastAsia="Sylfaen" w:cstheme="minorHAnsi"/>
          <w:sz w:val="24"/>
          <w:szCs w:val="24"/>
          <w:vertAlign w:val="subscript"/>
        </w:rPr>
        <w:t>4</w:t>
      </w:r>
      <w:r w:rsidRPr="007F5DCE">
        <w:rPr>
          <w:rFonts w:eastAsia="Sylfaen" w:cstheme="minorHAnsi"/>
          <w:sz w:val="24"/>
          <w:szCs w:val="24"/>
        </w:rPr>
        <w:t xml:space="preserve"> is the indicator for provision ten days before each quarter of reports by the dealer to the issuer through “CBA-Net” network for the upcoming quarter about consulting, analysis, </w:t>
      </w:r>
      <w:r w:rsidRPr="007F5DCE">
        <w:rPr>
          <w:rFonts w:eastAsia="Sylfaen" w:cstheme="minorHAnsi"/>
          <w:sz w:val="24"/>
          <w:szCs w:val="24"/>
        </w:rPr>
        <w:lastRenderedPageBreak/>
        <w:t>forecasts regarding the capital market, and for evaluation of recommendations and comments presented during the meetings with the dealers.</w:t>
      </w:r>
    </w:p>
    <w:p w14:paraId="20D077E9" w14:textId="77777777" w:rsidR="00792DEB" w:rsidRDefault="00792DEB" w:rsidP="00792DEB">
      <w:pPr>
        <w:spacing w:after="0"/>
        <w:ind w:right="4"/>
        <w:rPr>
          <w:rFonts w:eastAsia="Sylfaen" w:cstheme="minorHAnsi"/>
          <w:sz w:val="24"/>
          <w:szCs w:val="24"/>
        </w:rPr>
      </w:pPr>
    </w:p>
    <w:p w14:paraId="7894F84A" w14:textId="77777777" w:rsidR="00792DEB" w:rsidRPr="007F5DCE" w:rsidRDefault="00792DEB" w:rsidP="00792DEB">
      <w:pPr>
        <w:spacing w:after="0"/>
        <w:ind w:right="4"/>
        <w:jc w:val="both"/>
        <w:rPr>
          <w:rFonts w:eastAsia="Sylfaen" w:cstheme="minorHAnsi"/>
          <w:sz w:val="24"/>
          <w:szCs w:val="24"/>
        </w:rPr>
      </w:pPr>
      <w:r w:rsidRPr="007F5DCE">
        <w:rPr>
          <w:rFonts w:eastAsia="Sylfaen" w:cstheme="minorHAnsi"/>
          <w:sz w:val="24"/>
          <w:szCs w:val="24"/>
        </w:rPr>
        <w:t>For the purpose of determining the quarterly score of each dealer, an indicator for the number of violations of the quotation rules of the dealers is applied. For the dealer with the most violations, a point equal to one tenth of the total number of dealers operating as of the last day of the evaluated quarter is deducted from the sum of the weighted points received for each indicator, whereas 0.1 points less is deducted from each subsequent dealer in the violations list. No points are deducted from the dealer, which has no violations.</w:t>
      </w:r>
    </w:p>
    <w:p w14:paraId="06061623" w14:textId="77777777" w:rsidR="00792DEB" w:rsidRDefault="00792DEB" w:rsidP="00792DEB">
      <w:pPr>
        <w:spacing w:after="0"/>
        <w:ind w:right="4"/>
        <w:rPr>
          <w:rFonts w:eastAsia="Sylfaen" w:cstheme="minorHAnsi"/>
          <w:sz w:val="24"/>
          <w:szCs w:val="24"/>
        </w:rPr>
      </w:pPr>
    </w:p>
    <w:p w14:paraId="328BFBBB" w14:textId="77777777" w:rsidR="00792DEB" w:rsidRPr="007F5DCE" w:rsidRDefault="00792DEB" w:rsidP="00792DEB">
      <w:pPr>
        <w:spacing w:after="0"/>
        <w:ind w:right="4"/>
        <w:rPr>
          <w:rFonts w:eastAsia="Sylfaen" w:cstheme="minorHAnsi"/>
          <w:sz w:val="24"/>
          <w:szCs w:val="24"/>
        </w:rPr>
      </w:pPr>
      <w:r w:rsidRPr="007F5DCE">
        <w:rPr>
          <w:rFonts w:eastAsia="Sylfaen" w:cstheme="minorHAnsi"/>
          <w:sz w:val="24"/>
          <w:szCs w:val="24"/>
        </w:rPr>
        <w:t>The evaluation of the quarterly activities of the dealer is done by the following stages:</w:t>
      </w:r>
    </w:p>
    <w:p w14:paraId="3F45058F" w14:textId="77777777" w:rsidR="00792DEB" w:rsidRPr="007F5DCE" w:rsidRDefault="00792DEB" w:rsidP="00792DEB">
      <w:pPr>
        <w:spacing w:after="0"/>
        <w:ind w:left="776" w:right="4"/>
        <w:jc w:val="both"/>
        <w:rPr>
          <w:rFonts w:eastAsia="Sylfaen" w:cstheme="minorHAnsi"/>
          <w:sz w:val="24"/>
          <w:szCs w:val="24"/>
        </w:rPr>
      </w:pPr>
      <w:r w:rsidRPr="007F5DCE">
        <w:rPr>
          <w:rFonts w:eastAsia="Sylfaen" w:cstheme="minorHAnsi"/>
          <w:sz w:val="24"/>
          <w:szCs w:val="24"/>
        </w:rPr>
        <w:t>1) Calculation of the sum of the indicators for the participation in the primary market</w:t>
      </w:r>
    </w:p>
    <w:p w14:paraId="55F30382" w14:textId="77777777" w:rsidR="00792DEB" w:rsidRPr="007F5DCE" w:rsidRDefault="00792DEB" w:rsidP="00792DEB">
      <w:pPr>
        <w:spacing w:after="0"/>
        <w:ind w:left="776" w:right="4"/>
        <w:jc w:val="both"/>
        <w:rPr>
          <w:rFonts w:eastAsia="Sylfaen" w:cstheme="minorHAnsi"/>
          <w:sz w:val="24"/>
          <w:szCs w:val="24"/>
        </w:rPr>
      </w:pPr>
      <w:r w:rsidRPr="007F5DCE">
        <w:rPr>
          <w:rFonts w:eastAsia="Sylfaen" w:cstheme="minorHAnsi"/>
          <w:sz w:val="24"/>
          <w:szCs w:val="24"/>
        </w:rPr>
        <w:t>2) Calculation of the indicator for the activity in the secondary market</w:t>
      </w:r>
    </w:p>
    <w:p w14:paraId="66DA73C8" w14:textId="77777777" w:rsidR="00792DEB" w:rsidRPr="007F5DCE" w:rsidRDefault="00792DEB" w:rsidP="00792DEB">
      <w:pPr>
        <w:spacing w:after="0"/>
        <w:ind w:left="776" w:right="4"/>
        <w:jc w:val="both"/>
        <w:rPr>
          <w:rFonts w:eastAsia="Sylfaen" w:cstheme="minorHAnsi"/>
          <w:sz w:val="24"/>
          <w:szCs w:val="24"/>
        </w:rPr>
      </w:pPr>
      <w:r w:rsidRPr="007F5DCE">
        <w:rPr>
          <w:rFonts w:eastAsia="Sylfaen" w:cstheme="minorHAnsi"/>
          <w:sz w:val="24"/>
          <w:szCs w:val="24"/>
        </w:rPr>
        <w:t>3) Calculation of the indicator for the work with the issuer</w:t>
      </w:r>
    </w:p>
    <w:p w14:paraId="6598AC86" w14:textId="77777777" w:rsidR="00792DEB" w:rsidRDefault="00792DEB" w:rsidP="00792DEB">
      <w:pPr>
        <w:spacing w:after="0"/>
        <w:ind w:left="776" w:right="4"/>
        <w:jc w:val="both"/>
        <w:rPr>
          <w:rFonts w:eastAsia="Sylfaen" w:cstheme="minorHAnsi"/>
          <w:sz w:val="24"/>
          <w:szCs w:val="24"/>
        </w:rPr>
      </w:pPr>
      <w:r w:rsidRPr="007F5DCE">
        <w:rPr>
          <w:rFonts w:eastAsia="Sylfaen" w:cstheme="minorHAnsi"/>
          <w:sz w:val="24"/>
          <w:szCs w:val="24"/>
        </w:rPr>
        <w:t>4) In accordance with the results for each indicator mentioned in sub-points 1, 2 and 3 of this point, the dealers are given corresponding points in descending order, according to the following scale:</w:t>
      </w:r>
    </w:p>
    <w:p w14:paraId="2D1F8DF6" w14:textId="77777777" w:rsidR="00792DEB" w:rsidRDefault="00792DEB" w:rsidP="00792DEB">
      <w:pPr>
        <w:spacing w:after="0"/>
        <w:ind w:left="776" w:right="4"/>
        <w:jc w:val="both"/>
        <w:rPr>
          <w:rFonts w:eastAsia="Sylfaen" w:cstheme="minorHAnsi"/>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701"/>
      </w:tblGrid>
      <w:tr w:rsidR="00792DEB" w:rsidRPr="00A936F8" w14:paraId="62A1681B" w14:textId="77777777" w:rsidTr="00792DEB">
        <w:trPr>
          <w:trHeight w:hRule="exact" w:val="397"/>
        </w:trPr>
        <w:tc>
          <w:tcPr>
            <w:tcW w:w="3118" w:type="dxa"/>
            <w:shd w:val="clear" w:color="auto" w:fill="auto"/>
            <w:vAlign w:val="center"/>
          </w:tcPr>
          <w:p w14:paraId="2E95E4D2" w14:textId="77777777" w:rsidR="00792DEB" w:rsidRPr="00A936F8" w:rsidRDefault="00792DEB" w:rsidP="00792DEB">
            <w:pPr>
              <w:spacing w:after="0" w:line="360" w:lineRule="auto"/>
              <w:rPr>
                <w:rFonts w:ascii="GHEA Grapalat" w:hAnsi="GHEA Grapalat"/>
                <w:sz w:val="24"/>
              </w:rPr>
            </w:pPr>
            <w:r>
              <w:rPr>
                <w:rFonts w:ascii="GHEA Grapalat" w:hAnsi="GHEA Grapalat"/>
                <w:sz w:val="24"/>
              </w:rPr>
              <w:t>Maximum result</w:t>
            </w:r>
          </w:p>
        </w:tc>
        <w:tc>
          <w:tcPr>
            <w:tcW w:w="1701" w:type="dxa"/>
            <w:shd w:val="clear" w:color="auto" w:fill="auto"/>
            <w:vAlign w:val="center"/>
          </w:tcPr>
          <w:p w14:paraId="47780695" w14:textId="77777777" w:rsidR="00792DEB" w:rsidRPr="00A936F8" w:rsidRDefault="00792DEB" w:rsidP="00792DEB">
            <w:pPr>
              <w:spacing w:after="0" w:line="360" w:lineRule="auto"/>
              <w:jc w:val="center"/>
              <w:rPr>
                <w:rFonts w:ascii="GHEA Grapalat" w:hAnsi="GHEA Grapalat"/>
                <w:sz w:val="24"/>
              </w:rPr>
            </w:pPr>
            <w:r w:rsidRPr="00A936F8">
              <w:rPr>
                <w:rFonts w:ascii="GHEA Grapalat" w:hAnsi="GHEA Grapalat"/>
                <w:sz w:val="24"/>
              </w:rPr>
              <w:t xml:space="preserve">7 </w:t>
            </w:r>
            <w:r>
              <w:rPr>
                <w:rFonts w:ascii="GHEA Grapalat" w:hAnsi="GHEA Grapalat"/>
                <w:sz w:val="24"/>
              </w:rPr>
              <w:t>point</w:t>
            </w:r>
          </w:p>
        </w:tc>
      </w:tr>
      <w:tr w:rsidR="00792DEB" w:rsidRPr="00A936F8" w14:paraId="56E0884A" w14:textId="77777777" w:rsidTr="00792DEB">
        <w:trPr>
          <w:trHeight w:hRule="exact" w:val="397"/>
        </w:trPr>
        <w:tc>
          <w:tcPr>
            <w:tcW w:w="3118" w:type="dxa"/>
            <w:shd w:val="clear" w:color="auto" w:fill="auto"/>
            <w:vAlign w:val="center"/>
          </w:tcPr>
          <w:p w14:paraId="6523B5D0" w14:textId="77777777" w:rsidR="00792DEB" w:rsidRPr="00A936F8" w:rsidRDefault="00792DEB" w:rsidP="00792DEB">
            <w:pPr>
              <w:spacing w:after="0" w:line="360" w:lineRule="auto"/>
              <w:rPr>
                <w:rFonts w:ascii="GHEA Grapalat" w:hAnsi="GHEA Grapalat"/>
                <w:sz w:val="24"/>
              </w:rPr>
            </w:pPr>
          </w:p>
        </w:tc>
        <w:tc>
          <w:tcPr>
            <w:tcW w:w="1701" w:type="dxa"/>
            <w:shd w:val="clear" w:color="auto" w:fill="auto"/>
            <w:vAlign w:val="center"/>
          </w:tcPr>
          <w:p w14:paraId="2602DCE2" w14:textId="77777777" w:rsidR="00792DEB" w:rsidRPr="00A936F8" w:rsidRDefault="00792DEB" w:rsidP="00792DEB">
            <w:pPr>
              <w:spacing w:after="0" w:line="360" w:lineRule="auto"/>
              <w:jc w:val="center"/>
              <w:rPr>
                <w:rFonts w:ascii="GHEA Grapalat" w:hAnsi="GHEA Grapalat"/>
                <w:sz w:val="24"/>
              </w:rPr>
            </w:pPr>
            <w:r w:rsidRPr="00A936F8">
              <w:rPr>
                <w:rFonts w:ascii="GHEA Grapalat" w:hAnsi="GHEA Grapalat"/>
                <w:sz w:val="24"/>
              </w:rPr>
              <w:t xml:space="preserve">6 </w:t>
            </w:r>
            <w:r>
              <w:rPr>
                <w:rFonts w:ascii="GHEA Grapalat" w:hAnsi="GHEA Grapalat"/>
                <w:sz w:val="24"/>
              </w:rPr>
              <w:t>point</w:t>
            </w:r>
          </w:p>
        </w:tc>
      </w:tr>
      <w:tr w:rsidR="00792DEB" w:rsidRPr="00A936F8" w14:paraId="33481C7D" w14:textId="77777777" w:rsidTr="00792DEB">
        <w:trPr>
          <w:trHeight w:hRule="exact" w:val="397"/>
        </w:trPr>
        <w:tc>
          <w:tcPr>
            <w:tcW w:w="3118" w:type="dxa"/>
            <w:shd w:val="clear" w:color="auto" w:fill="auto"/>
            <w:vAlign w:val="center"/>
          </w:tcPr>
          <w:p w14:paraId="7ED975F1" w14:textId="77777777" w:rsidR="00792DEB" w:rsidRPr="00A936F8" w:rsidRDefault="00792DEB" w:rsidP="00792DEB">
            <w:pPr>
              <w:spacing w:after="0" w:line="360" w:lineRule="auto"/>
              <w:rPr>
                <w:rFonts w:ascii="GHEA Grapalat" w:hAnsi="GHEA Grapalat"/>
                <w:sz w:val="24"/>
              </w:rPr>
            </w:pPr>
          </w:p>
        </w:tc>
        <w:tc>
          <w:tcPr>
            <w:tcW w:w="1701" w:type="dxa"/>
            <w:shd w:val="clear" w:color="auto" w:fill="auto"/>
            <w:vAlign w:val="center"/>
          </w:tcPr>
          <w:p w14:paraId="778E9070" w14:textId="77777777" w:rsidR="00792DEB" w:rsidRPr="00A936F8" w:rsidRDefault="00792DEB" w:rsidP="00792DEB">
            <w:pPr>
              <w:spacing w:after="0" w:line="360" w:lineRule="auto"/>
              <w:jc w:val="center"/>
              <w:rPr>
                <w:rFonts w:ascii="GHEA Grapalat" w:hAnsi="GHEA Grapalat"/>
                <w:sz w:val="24"/>
              </w:rPr>
            </w:pPr>
            <w:r w:rsidRPr="00A936F8">
              <w:rPr>
                <w:rFonts w:ascii="GHEA Grapalat" w:hAnsi="GHEA Grapalat"/>
                <w:sz w:val="24"/>
              </w:rPr>
              <w:t xml:space="preserve">5 </w:t>
            </w:r>
            <w:r>
              <w:rPr>
                <w:rFonts w:ascii="GHEA Grapalat" w:hAnsi="GHEA Grapalat"/>
                <w:sz w:val="24"/>
              </w:rPr>
              <w:t>point</w:t>
            </w:r>
          </w:p>
        </w:tc>
      </w:tr>
      <w:tr w:rsidR="00792DEB" w:rsidRPr="00A936F8" w14:paraId="6A894BAD" w14:textId="77777777" w:rsidTr="00792DEB">
        <w:trPr>
          <w:trHeight w:hRule="exact" w:val="397"/>
        </w:trPr>
        <w:tc>
          <w:tcPr>
            <w:tcW w:w="3118" w:type="dxa"/>
            <w:shd w:val="clear" w:color="auto" w:fill="auto"/>
            <w:vAlign w:val="center"/>
          </w:tcPr>
          <w:p w14:paraId="7079AE5D" w14:textId="77777777" w:rsidR="00792DEB" w:rsidRPr="00A936F8" w:rsidRDefault="00792DEB" w:rsidP="00792DEB">
            <w:pPr>
              <w:spacing w:after="0" w:line="360" w:lineRule="auto"/>
              <w:rPr>
                <w:rFonts w:ascii="GHEA Grapalat" w:hAnsi="GHEA Grapalat"/>
                <w:sz w:val="24"/>
              </w:rPr>
            </w:pPr>
          </w:p>
        </w:tc>
        <w:tc>
          <w:tcPr>
            <w:tcW w:w="1701" w:type="dxa"/>
            <w:shd w:val="clear" w:color="auto" w:fill="auto"/>
            <w:vAlign w:val="center"/>
          </w:tcPr>
          <w:p w14:paraId="07232684" w14:textId="77777777" w:rsidR="00792DEB" w:rsidRPr="00A936F8" w:rsidRDefault="00792DEB" w:rsidP="00792DEB">
            <w:pPr>
              <w:spacing w:after="0" w:line="360" w:lineRule="auto"/>
              <w:jc w:val="center"/>
              <w:rPr>
                <w:rFonts w:ascii="GHEA Grapalat" w:hAnsi="GHEA Grapalat"/>
                <w:sz w:val="24"/>
              </w:rPr>
            </w:pPr>
            <w:r w:rsidRPr="00A936F8">
              <w:rPr>
                <w:rFonts w:ascii="GHEA Grapalat" w:hAnsi="GHEA Grapalat"/>
                <w:sz w:val="24"/>
              </w:rPr>
              <w:t xml:space="preserve">4 </w:t>
            </w:r>
            <w:r>
              <w:rPr>
                <w:rFonts w:ascii="GHEA Grapalat" w:hAnsi="GHEA Grapalat"/>
                <w:sz w:val="24"/>
              </w:rPr>
              <w:t>point</w:t>
            </w:r>
          </w:p>
        </w:tc>
      </w:tr>
      <w:tr w:rsidR="00792DEB" w:rsidRPr="00A936F8" w14:paraId="3CD500D5" w14:textId="77777777" w:rsidTr="00792DEB">
        <w:trPr>
          <w:trHeight w:hRule="exact" w:val="397"/>
        </w:trPr>
        <w:tc>
          <w:tcPr>
            <w:tcW w:w="3118" w:type="dxa"/>
            <w:shd w:val="clear" w:color="auto" w:fill="auto"/>
            <w:vAlign w:val="center"/>
          </w:tcPr>
          <w:p w14:paraId="30290EC1" w14:textId="77777777" w:rsidR="00792DEB" w:rsidRPr="00A936F8" w:rsidRDefault="00792DEB" w:rsidP="00792DEB">
            <w:pPr>
              <w:spacing w:after="0" w:line="360" w:lineRule="auto"/>
              <w:rPr>
                <w:rFonts w:ascii="GHEA Grapalat" w:hAnsi="GHEA Grapalat"/>
                <w:sz w:val="24"/>
              </w:rPr>
            </w:pPr>
          </w:p>
        </w:tc>
        <w:tc>
          <w:tcPr>
            <w:tcW w:w="1701" w:type="dxa"/>
            <w:shd w:val="clear" w:color="auto" w:fill="auto"/>
            <w:vAlign w:val="center"/>
          </w:tcPr>
          <w:p w14:paraId="3227D2F6" w14:textId="77777777" w:rsidR="00792DEB" w:rsidRPr="00A936F8" w:rsidRDefault="00792DEB" w:rsidP="00792DEB">
            <w:pPr>
              <w:spacing w:after="0" w:line="360" w:lineRule="auto"/>
              <w:jc w:val="center"/>
              <w:rPr>
                <w:rFonts w:ascii="GHEA Grapalat" w:hAnsi="GHEA Grapalat"/>
                <w:sz w:val="24"/>
              </w:rPr>
            </w:pPr>
            <w:r w:rsidRPr="00A936F8">
              <w:rPr>
                <w:rFonts w:ascii="GHEA Grapalat" w:hAnsi="GHEA Grapalat"/>
                <w:sz w:val="24"/>
              </w:rPr>
              <w:t xml:space="preserve">3 </w:t>
            </w:r>
            <w:r>
              <w:rPr>
                <w:rFonts w:ascii="GHEA Grapalat" w:hAnsi="GHEA Grapalat"/>
                <w:sz w:val="24"/>
              </w:rPr>
              <w:t>point</w:t>
            </w:r>
          </w:p>
        </w:tc>
      </w:tr>
      <w:tr w:rsidR="00792DEB" w:rsidRPr="00A936F8" w14:paraId="5979189F" w14:textId="77777777" w:rsidTr="00792DEB">
        <w:trPr>
          <w:trHeight w:hRule="exact" w:val="397"/>
        </w:trPr>
        <w:tc>
          <w:tcPr>
            <w:tcW w:w="3118" w:type="dxa"/>
            <w:shd w:val="clear" w:color="auto" w:fill="auto"/>
            <w:vAlign w:val="center"/>
          </w:tcPr>
          <w:p w14:paraId="528DC092" w14:textId="77777777" w:rsidR="00792DEB" w:rsidRPr="00A936F8" w:rsidRDefault="00792DEB" w:rsidP="00792DEB">
            <w:pPr>
              <w:spacing w:after="0" w:line="360" w:lineRule="auto"/>
              <w:rPr>
                <w:rFonts w:ascii="GHEA Grapalat" w:hAnsi="GHEA Grapalat"/>
                <w:sz w:val="24"/>
              </w:rPr>
            </w:pPr>
          </w:p>
        </w:tc>
        <w:tc>
          <w:tcPr>
            <w:tcW w:w="1701" w:type="dxa"/>
            <w:shd w:val="clear" w:color="auto" w:fill="auto"/>
            <w:vAlign w:val="center"/>
          </w:tcPr>
          <w:p w14:paraId="23218F09" w14:textId="77777777" w:rsidR="00792DEB" w:rsidRPr="00A936F8" w:rsidRDefault="00792DEB" w:rsidP="00792DEB">
            <w:pPr>
              <w:spacing w:after="0" w:line="360" w:lineRule="auto"/>
              <w:jc w:val="center"/>
              <w:rPr>
                <w:rFonts w:ascii="GHEA Grapalat" w:hAnsi="GHEA Grapalat"/>
                <w:sz w:val="24"/>
              </w:rPr>
            </w:pPr>
            <w:r w:rsidRPr="00A936F8">
              <w:rPr>
                <w:rFonts w:ascii="GHEA Grapalat" w:hAnsi="GHEA Grapalat"/>
                <w:sz w:val="24"/>
              </w:rPr>
              <w:t xml:space="preserve">2 </w:t>
            </w:r>
            <w:r>
              <w:rPr>
                <w:rFonts w:ascii="GHEA Grapalat" w:hAnsi="GHEA Grapalat"/>
                <w:sz w:val="24"/>
              </w:rPr>
              <w:t>point</w:t>
            </w:r>
          </w:p>
        </w:tc>
      </w:tr>
      <w:tr w:rsidR="00792DEB" w:rsidRPr="00A936F8" w14:paraId="22BC75A7" w14:textId="77777777" w:rsidTr="00792DEB">
        <w:trPr>
          <w:trHeight w:hRule="exact" w:val="397"/>
        </w:trPr>
        <w:tc>
          <w:tcPr>
            <w:tcW w:w="3118" w:type="dxa"/>
            <w:shd w:val="clear" w:color="auto" w:fill="auto"/>
            <w:vAlign w:val="center"/>
          </w:tcPr>
          <w:p w14:paraId="15B26920" w14:textId="77777777" w:rsidR="00792DEB" w:rsidRPr="00A936F8" w:rsidRDefault="00792DEB" w:rsidP="00792DEB">
            <w:pPr>
              <w:spacing w:after="0" w:line="360" w:lineRule="auto"/>
              <w:rPr>
                <w:rFonts w:ascii="GHEA Grapalat" w:hAnsi="GHEA Grapalat"/>
                <w:sz w:val="24"/>
              </w:rPr>
            </w:pPr>
            <w:r>
              <w:rPr>
                <w:rFonts w:ascii="GHEA Grapalat" w:hAnsi="GHEA Grapalat"/>
                <w:sz w:val="24"/>
              </w:rPr>
              <w:t>Minimum result*</w:t>
            </w:r>
          </w:p>
        </w:tc>
        <w:tc>
          <w:tcPr>
            <w:tcW w:w="1701" w:type="dxa"/>
            <w:shd w:val="clear" w:color="auto" w:fill="auto"/>
            <w:vAlign w:val="center"/>
          </w:tcPr>
          <w:p w14:paraId="7877B089" w14:textId="77777777" w:rsidR="00792DEB" w:rsidRPr="00A936F8" w:rsidRDefault="00792DEB" w:rsidP="00792DEB">
            <w:pPr>
              <w:spacing w:after="0" w:line="360" w:lineRule="auto"/>
              <w:jc w:val="center"/>
              <w:rPr>
                <w:rFonts w:ascii="GHEA Grapalat" w:hAnsi="GHEA Grapalat"/>
                <w:sz w:val="24"/>
              </w:rPr>
            </w:pPr>
            <w:r w:rsidRPr="00A936F8">
              <w:rPr>
                <w:rFonts w:ascii="GHEA Grapalat" w:hAnsi="GHEA Grapalat"/>
                <w:sz w:val="24"/>
              </w:rPr>
              <w:t xml:space="preserve">1 </w:t>
            </w:r>
            <w:r>
              <w:rPr>
                <w:rFonts w:ascii="GHEA Grapalat" w:hAnsi="GHEA Grapalat"/>
                <w:sz w:val="24"/>
              </w:rPr>
              <w:t>point</w:t>
            </w:r>
          </w:p>
        </w:tc>
      </w:tr>
    </w:tbl>
    <w:p w14:paraId="32FA4124" w14:textId="77777777" w:rsidR="00792DEB" w:rsidRDefault="00792DEB" w:rsidP="00792DEB">
      <w:pPr>
        <w:spacing w:after="0"/>
        <w:ind w:left="776" w:right="4"/>
        <w:jc w:val="both"/>
        <w:rPr>
          <w:rFonts w:eastAsia="Sylfaen" w:cstheme="minorHAnsi"/>
          <w:sz w:val="24"/>
          <w:szCs w:val="24"/>
        </w:rPr>
      </w:pPr>
      <w:r>
        <w:rPr>
          <w:rFonts w:eastAsia="Sylfaen" w:cstheme="minorHAnsi"/>
          <w:sz w:val="24"/>
          <w:szCs w:val="24"/>
        </w:rPr>
        <w:t xml:space="preserve"> * </w:t>
      </w:r>
      <w:r w:rsidRPr="00C06DAF">
        <w:rPr>
          <w:rFonts w:eastAsia="Sylfaen" w:cstheme="minorHAnsi"/>
          <w:sz w:val="24"/>
          <w:szCs w:val="24"/>
        </w:rPr>
        <w:t>in case of 7 primary dealers. In case of n number of primary dealers, the maximum result shall equal to n, and every next result shall be 1</w:t>
      </w:r>
      <w:r>
        <w:rPr>
          <w:rFonts w:eastAsia="Sylfaen" w:cstheme="minorHAnsi"/>
          <w:sz w:val="24"/>
          <w:szCs w:val="24"/>
        </w:rPr>
        <w:t xml:space="preserve"> </w:t>
      </w:r>
      <w:r w:rsidRPr="00C06DAF">
        <w:rPr>
          <w:rFonts w:eastAsia="Sylfaen" w:cstheme="minorHAnsi"/>
          <w:sz w:val="24"/>
          <w:szCs w:val="24"/>
        </w:rPr>
        <w:t>less.</w:t>
      </w:r>
    </w:p>
    <w:p w14:paraId="45A1C1C4" w14:textId="77777777" w:rsidR="00792DEB" w:rsidRPr="009A6F39" w:rsidRDefault="00792DEB" w:rsidP="00792DEB">
      <w:pPr>
        <w:spacing w:after="0"/>
        <w:ind w:left="776" w:right="4"/>
        <w:jc w:val="both"/>
        <w:rPr>
          <w:rFonts w:eastAsia="Sylfaen" w:cstheme="minorHAnsi"/>
          <w:sz w:val="24"/>
          <w:szCs w:val="24"/>
        </w:rPr>
      </w:pPr>
      <w:r w:rsidRPr="009A6F39">
        <w:rPr>
          <w:rFonts w:eastAsia="Sylfaen" w:cstheme="minorHAnsi"/>
          <w:sz w:val="24"/>
          <w:szCs w:val="24"/>
        </w:rPr>
        <w:t xml:space="preserve">5) The score for each indicator of </w:t>
      </w:r>
      <w:r>
        <w:rPr>
          <w:rFonts w:eastAsia="Sylfaen" w:cstheme="minorHAnsi"/>
          <w:sz w:val="24"/>
          <w:szCs w:val="24"/>
        </w:rPr>
        <w:t xml:space="preserve">a </w:t>
      </w:r>
      <w:r w:rsidRPr="009A6F39">
        <w:rPr>
          <w:rFonts w:eastAsia="Sylfaen" w:cstheme="minorHAnsi"/>
          <w:sz w:val="24"/>
          <w:szCs w:val="24"/>
        </w:rPr>
        <w:t>dealer shall be weighted with the share of the relevant area,</w:t>
      </w:r>
    </w:p>
    <w:p w14:paraId="6993652D" w14:textId="77777777" w:rsidR="00792DEB" w:rsidRPr="007F5DCE" w:rsidRDefault="00792DEB" w:rsidP="00792DEB">
      <w:pPr>
        <w:spacing w:after="0"/>
        <w:ind w:left="776" w:right="4"/>
        <w:jc w:val="both"/>
        <w:rPr>
          <w:rFonts w:eastAsia="Sylfaen" w:cstheme="minorHAnsi"/>
          <w:sz w:val="24"/>
          <w:szCs w:val="24"/>
        </w:rPr>
      </w:pPr>
      <w:r w:rsidRPr="009A6F39">
        <w:rPr>
          <w:rFonts w:eastAsia="Sylfaen" w:cstheme="minorHAnsi"/>
          <w:sz w:val="24"/>
          <w:szCs w:val="24"/>
        </w:rPr>
        <w:t>6) The total score shall be reduced with the indicator of the number of violations of quotation rules.</w:t>
      </w:r>
    </w:p>
    <w:p w14:paraId="569D5B8B" w14:textId="77777777" w:rsidR="00792DEB" w:rsidRDefault="00792DEB" w:rsidP="00792DEB">
      <w:pPr>
        <w:ind w:right="4"/>
      </w:pPr>
      <w:r>
        <w:br w:type="page"/>
      </w:r>
    </w:p>
    <w:p w14:paraId="6DCDC86C" w14:textId="77777777" w:rsidR="00792DEB" w:rsidRPr="00587CAF" w:rsidRDefault="00792DEB" w:rsidP="00792DEB">
      <w:pPr>
        <w:ind w:right="4"/>
        <w:rPr>
          <w:b/>
        </w:rPr>
      </w:pPr>
      <w:r w:rsidRPr="00587CAF">
        <w:rPr>
          <w:b/>
        </w:rPr>
        <w:lastRenderedPageBreak/>
        <w:t xml:space="preserve">Appendix </w:t>
      </w:r>
      <w:r>
        <w:rPr>
          <w:b/>
        </w:rPr>
        <w:t>2</w:t>
      </w:r>
      <w:r w:rsidRPr="00587CAF">
        <w:rPr>
          <w:b/>
        </w:rPr>
        <w:t>: Evaluation Framework for Potential Participants</w:t>
      </w:r>
    </w:p>
    <w:p w14:paraId="0A8ECAC7" w14:textId="77777777" w:rsidR="00792DEB" w:rsidRPr="007F5DCE" w:rsidRDefault="00792DEB" w:rsidP="00792DEB">
      <w:pPr>
        <w:spacing w:before="49" w:after="0"/>
        <w:ind w:right="4"/>
        <w:jc w:val="both"/>
        <w:rPr>
          <w:rFonts w:eastAsia="Sylfaen" w:cstheme="minorHAnsi"/>
          <w:sz w:val="24"/>
          <w:szCs w:val="24"/>
        </w:rPr>
      </w:pPr>
      <w:r w:rsidRPr="007F5DCE">
        <w:rPr>
          <w:rFonts w:eastAsia="Sylfaen" w:cstheme="minorHAnsi"/>
          <w:sz w:val="24"/>
          <w:szCs w:val="24"/>
        </w:rPr>
        <w:t>The activities of the potential participants are evaluated by the indicator characterizing the activity of the participant in the secondary market:</w:t>
      </w:r>
    </w:p>
    <w:p w14:paraId="2305EB38" w14:textId="77777777" w:rsidR="00792DEB" w:rsidRPr="00FE54DD" w:rsidRDefault="00792DEB" w:rsidP="00792DEB">
      <w:pPr>
        <w:spacing w:after="0"/>
        <w:ind w:left="769" w:right="4"/>
        <w:rPr>
          <w:rFonts w:eastAsia="Sylfaen" w:cstheme="minorHAnsi"/>
          <w:b/>
          <w:sz w:val="24"/>
          <w:szCs w:val="24"/>
        </w:rPr>
      </w:pPr>
      <w:r w:rsidRPr="00FE54DD">
        <w:rPr>
          <w:rFonts w:eastAsia="Sylfaen" w:cstheme="minorHAnsi"/>
          <w:b/>
          <w:sz w:val="24"/>
          <w:szCs w:val="24"/>
        </w:rPr>
        <w:t>indicator for the share in the volume of operations:</w:t>
      </w:r>
    </w:p>
    <w:p w14:paraId="351D7C4A" w14:textId="77777777" w:rsidR="00792DEB" w:rsidRPr="00FE54DD" w:rsidRDefault="00792DEB" w:rsidP="00792DEB">
      <w:pPr>
        <w:spacing w:before="6" w:after="0" w:line="170" w:lineRule="exact"/>
        <w:ind w:right="4"/>
        <w:rPr>
          <w:rFonts w:cstheme="minorHAnsi"/>
          <w:b/>
          <w:sz w:val="17"/>
          <w:szCs w:val="17"/>
        </w:rPr>
      </w:pPr>
    </w:p>
    <w:p w14:paraId="4735FE85" w14:textId="77777777" w:rsidR="00792DEB" w:rsidRPr="007F5DCE" w:rsidRDefault="00792DEB" w:rsidP="00792DEB">
      <w:pPr>
        <w:spacing w:before="12" w:after="0"/>
        <w:ind w:left="776" w:right="4" w:firstLine="34"/>
        <w:jc w:val="center"/>
        <w:rPr>
          <w:rFonts w:eastAsia="Sylfaen" w:cstheme="minorHAnsi"/>
          <w:sz w:val="26"/>
          <w:szCs w:val="26"/>
        </w:rPr>
      </w:pPr>
      <w:r w:rsidRPr="00FE54DD">
        <w:rPr>
          <w:rFonts w:eastAsia="Sylfaen" w:cstheme="minorHAnsi"/>
          <w:b/>
          <w:sz w:val="26"/>
          <w:szCs w:val="26"/>
        </w:rPr>
        <w:t>I</w:t>
      </w:r>
      <w:r w:rsidRPr="00FE54DD">
        <w:rPr>
          <w:rFonts w:eastAsia="Sylfaen" w:cstheme="minorHAnsi"/>
          <w:b/>
          <w:sz w:val="14"/>
          <w:szCs w:val="14"/>
        </w:rPr>
        <w:t xml:space="preserve">5 </w:t>
      </w:r>
      <w:r w:rsidRPr="00FE54DD">
        <w:rPr>
          <w:rFonts w:eastAsia="Sylfaen" w:cstheme="minorHAnsi"/>
          <w:b/>
          <w:sz w:val="26"/>
          <w:szCs w:val="26"/>
        </w:rPr>
        <w:t xml:space="preserve">= </w:t>
      </w:r>
      <w:r w:rsidRPr="00FE54DD">
        <w:rPr>
          <w:rFonts w:eastAsia="Sylfaen" w:cstheme="minorHAnsi"/>
          <w:b/>
          <w:sz w:val="24"/>
          <w:szCs w:val="24"/>
        </w:rPr>
        <w:t xml:space="preserve">∑ </w:t>
      </w:r>
      <w:r w:rsidRPr="00FE54DD">
        <w:rPr>
          <w:rFonts w:eastAsia="Sylfaen" w:cstheme="minorHAnsi"/>
          <w:b/>
          <w:position w:val="7"/>
          <w:sz w:val="24"/>
          <w:szCs w:val="24"/>
          <w:vertAlign w:val="superscript"/>
        </w:rPr>
        <w:t>N</w:t>
      </w:r>
      <w:r w:rsidRPr="00FE54DD">
        <w:rPr>
          <w:rFonts w:eastAsia="Sylfaen" w:cstheme="minorHAnsi"/>
          <w:b/>
          <w:sz w:val="14"/>
          <w:szCs w:val="14"/>
        </w:rPr>
        <w:t xml:space="preserve"> i = 1 </w:t>
      </w:r>
      <w:r w:rsidRPr="00FE54DD">
        <w:rPr>
          <w:rFonts w:eastAsia="Sylfaen" w:cstheme="minorHAnsi"/>
          <w:b/>
          <w:sz w:val="26"/>
          <w:szCs w:val="26"/>
        </w:rPr>
        <w:t>(ET * 0.6 + OET * 0.4)</w:t>
      </w:r>
    </w:p>
    <w:p w14:paraId="7D7213C6" w14:textId="77777777" w:rsidR="00792DEB" w:rsidRPr="007F5DCE" w:rsidRDefault="00792DEB" w:rsidP="00792DEB">
      <w:pPr>
        <w:spacing w:before="8" w:after="0" w:line="180" w:lineRule="exact"/>
        <w:ind w:right="4"/>
        <w:rPr>
          <w:rFonts w:cstheme="minorHAnsi"/>
          <w:sz w:val="18"/>
          <w:szCs w:val="18"/>
        </w:rPr>
      </w:pPr>
    </w:p>
    <w:p w14:paraId="1C6D7C82" w14:textId="77777777" w:rsidR="00792DEB" w:rsidRPr="007F5DCE" w:rsidRDefault="00792DEB" w:rsidP="00792DEB">
      <w:pPr>
        <w:spacing w:after="0"/>
        <w:ind w:left="776" w:right="4"/>
        <w:rPr>
          <w:rFonts w:eastAsia="Sylfaen" w:cstheme="minorHAnsi"/>
          <w:sz w:val="24"/>
          <w:szCs w:val="24"/>
        </w:rPr>
      </w:pPr>
      <w:r w:rsidRPr="007F5DCE">
        <w:rPr>
          <w:rFonts w:eastAsia="Sylfaen" w:cstheme="minorHAnsi"/>
          <w:sz w:val="24"/>
          <w:szCs w:val="24"/>
        </w:rPr>
        <w:t>where:</w:t>
      </w:r>
    </w:p>
    <w:p w14:paraId="2F4E3828" w14:textId="77777777" w:rsidR="00792DEB" w:rsidRPr="007F5DCE" w:rsidRDefault="00792DEB" w:rsidP="00792DEB">
      <w:pPr>
        <w:spacing w:after="0"/>
        <w:ind w:left="776" w:right="4"/>
        <w:jc w:val="both"/>
        <w:rPr>
          <w:rFonts w:eastAsia="Sylfaen" w:cstheme="minorHAnsi"/>
          <w:sz w:val="24"/>
          <w:szCs w:val="24"/>
        </w:rPr>
      </w:pPr>
      <w:r w:rsidRPr="007F5DCE">
        <w:rPr>
          <w:rFonts w:eastAsia="Sylfaen" w:cstheme="minorHAnsi"/>
          <w:position w:val="2"/>
          <w:sz w:val="24"/>
          <w:szCs w:val="24"/>
        </w:rPr>
        <w:t>n is the number of working days in the given quarter</w:t>
      </w:r>
      <w:r w:rsidRPr="007F5DCE">
        <w:rPr>
          <w:rFonts w:eastAsia="Sylfaen" w:cstheme="minorHAnsi"/>
          <w:sz w:val="24"/>
          <w:szCs w:val="24"/>
        </w:rPr>
        <w:t>,</w:t>
      </w:r>
    </w:p>
    <w:p w14:paraId="66CD2175" w14:textId="77777777" w:rsidR="00792DEB" w:rsidRPr="007F5DCE" w:rsidRDefault="00792DEB" w:rsidP="00792DEB">
      <w:pPr>
        <w:spacing w:after="0"/>
        <w:ind w:left="776" w:right="4"/>
        <w:jc w:val="both"/>
        <w:rPr>
          <w:rFonts w:eastAsia="Sylfaen" w:cstheme="minorHAnsi"/>
          <w:sz w:val="24"/>
          <w:szCs w:val="24"/>
        </w:rPr>
      </w:pPr>
      <w:r w:rsidRPr="007F5DCE">
        <w:rPr>
          <w:rFonts w:eastAsia="Sylfaen" w:cstheme="minorHAnsi"/>
          <w:position w:val="3"/>
          <w:sz w:val="24"/>
          <w:szCs w:val="24"/>
        </w:rPr>
        <w:t>ET and OET are the share of the exchange and off-exchange trading operations carried out by the potential participant in the total daily volume of operations.</w:t>
      </w:r>
    </w:p>
    <w:p w14:paraId="668977EB" w14:textId="77777777" w:rsidR="00792DEB" w:rsidRDefault="00792DEB" w:rsidP="00792DEB">
      <w:pPr>
        <w:ind w:right="4"/>
        <w:jc w:val="both"/>
      </w:pPr>
      <w:r w:rsidRPr="007F5DCE">
        <w:rPr>
          <w:rFonts w:eastAsia="Sylfaen" w:cstheme="minorHAnsi"/>
          <w:position w:val="3"/>
          <w:sz w:val="24"/>
          <w:szCs w:val="24"/>
        </w:rPr>
        <w:t>I</w:t>
      </w:r>
      <w:r w:rsidRPr="007F5DCE">
        <w:rPr>
          <w:rFonts w:eastAsia="Sylfaen" w:cstheme="minorHAnsi"/>
          <w:position w:val="3"/>
          <w:sz w:val="24"/>
          <w:szCs w:val="24"/>
          <w:vertAlign w:val="subscript"/>
        </w:rPr>
        <w:t>5</w:t>
      </w:r>
      <w:r w:rsidRPr="007F5DCE">
        <w:rPr>
          <w:rFonts w:eastAsia="Sylfaen" w:cstheme="minorHAnsi"/>
          <w:position w:val="3"/>
          <w:sz w:val="24"/>
          <w:szCs w:val="24"/>
        </w:rPr>
        <w:t xml:space="preserve"> indicator is calculated by the Central Bank of RA and provided to the issuer within five working days upon the end of each quarter.</w:t>
      </w:r>
      <w:r>
        <w:t xml:space="preserve"> </w:t>
      </w:r>
    </w:p>
    <w:p w14:paraId="42CA5A39" w14:textId="77777777" w:rsidR="00792DEB" w:rsidRDefault="00792DEB" w:rsidP="00792DEB">
      <w:pPr>
        <w:ind w:right="4"/>
      </w:pPr>
    </w:p>
    <w:p w14:paraId="767129A0" w14:textId="6E56E8FE" w:rsidR="008A140D" w:rsidRDefault="008A140D" w:rsidP="00D62B6C">
      <w:pPr>
        <w:spacing w:after="0"/>
        <w:ind w:right="632"/>
        <w:rPr>
          <w:rFonts w:eastAsia="Sylfaen" w:cstheme="minorHAnsi"/>
          <w:sz w:val="24"/>
          <w:szCs w:val="24"/>
        </w:rPr>
      </w:pPr>
    </w:p>
    <w:sectPr w:rsidR="008A14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4F7F3" w14:textId="77777777" w:rsidR="009C1B2F" w:rsidRDefault="009C1B2F" w:rsidP="00FD21C7">
      <w:pPr>
        <w:spacing w:after="0" w:line="240" w:lineRule="auto"/>
      </w:pPr>
      <w:r>
        <w:separator/>
      </w:r>
    </w:p>
  </w:endnote>
  <w:endnote w:type="continuationSeparator" w:id="0">
    <w:p w14:paraId="09AE0836" w14:textId="77777777" w:rsidR="009C1B2F" w:rsidRDefault="009C1B2F" w:rsidP="00FD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3441C" w14:textId="77777777" w:rsidR="009C1B2F" w:rsidRDefault="009C1B2F" w:rsidP="00FD21C7">
      <w:pPr>
        <w:spacing w:after="0" w:line="240" w:lineRule="auto"/>
      </w:pPr>
      <w:r>
        <w:separator/>
      </w:r>
    </w:p>
  </w:footnote>
  <w:footnote w:type="continuationSeparator" w:id="0">
    <w:p w14:paraId="7E76DF96" w14:textId="77777777" w:rsidR="009C1B2F" w:rsidRDefault="009C1B2F" w:rsidP="00FD21C7">
      <w:pPr>
        <w:spacing w:after="0" w:line="240" w:lineRule="auto"/>
      </w:pPr>
      <w:r>
        <w:continuationSeparator/>
      </w:r>
    </w:p>
  </w:footnote>
  <w:footnote w:id="1">
    <w:p w14:paraId="1D4F0FD3" w14:textId="3DC2E144" w:rsidR="009C1B2F" w:rsidRPr="00FD21C7" w:rsidRDefault="009C1B2F">
      <w:pPr>
        <w:pStyle w:val="FootnoteText"/>
        <w:rPr>
          <w:lang w:val="en-GB"/>
        </w:rPr>
      </w:pPr>
      <w:r>
        <w:rPr>
          <w:rStyle w:val="FootnoteReference"/>
        </w:rPr>
        <w:footnoteRef/>
      </w:r>
      <w:r>
        <w:t xml:space="preserve"> </w:t>
      </w:r>
      <w:r>
        <w:rPr>
          <w:lang w:val="en-GB"/>
        </w:rPr>
        <w:t>This section has been drawn upon from “Primary Dealer System”, GEMLOC Advisory Services, World Bank,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8CA"/>
    <w:multiLevelType w:val="hybridMultilevel"/>
    <w:tmpl w:val="F9B0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BD"/>
    <w:rsid w:val="00023FD5"/>
    <w:rsid w:val="00093088"/>
    <w:rsid w:val="00096A87"/>
    <w:rsid w:val="000A22BD"/>
    <w:rsid w:val="000A685E"/>
    <w:rsid w:val="000B261E"/>
    <w:rsid w:val="000B477F"/>
    <w:rsid w:val="000C0470"/>
    <w:rsid w:val="000D2E18"/>
    <w:rsid w:val="000D34A5"/>
    <w:rsid w:val="000F7BDC"/>
    <w:rsid w:val="00100D0C"/>
    <w:rsid w:val="00100EBE"/>
    <w:rsid w:val="001565E2"/>
    <w:rsid w:val="00176691"/>
    <w:rsid w:val="001B2E38"/>
    <w:rsid w:val="001B31BE"/>
    <w:rsid w:val="001E21D1"/>
    <w:rsid w:val="001F5202"/>
    <w:rsid w:val="002270A0"/>
    <w:rsid w:val="00255635"/>
    <w:rsid w:val="00260886"/>
    <w:rsid w:val="002A4450"/>
    <w:rsid w:val="002F32F3"/>
    <w:rsid w:val="00316EF7"/>
    <w:rsid w:val="003200BF"/>
    <w:rsid w:val="00323B3E"/>
    <w:rsid w:val="003508B1"/>
    <w:rsid w:val="003644DC"/>
    <w:rsid w:val="003B126F"/>
    <w:rsid w:val="003B7AF4"/>
    <w:rsid w:val="003F6D4B"/>
    <w:rsid w:val="004015C8"/>
    <w:rsid w:val="00422008"/>
    <w:rsid w:val="0042515C"/>
    <w:rsid w:val="0044298A"/>
    <w:rsid w:val="004431DD"/>
    <w:rsid w:val="0044637E"/>
    <w:rsid w:val="00455058"/>
    <w:rsid w:val="004761F2"/>
    <w:rsid w:val="0048335A"/>
    <w:rsid w:val="00485F0E"/>
    <w:rsid w:val="004F1259"/>
    <w:rsid w:val="004F1ABD"/>
    <w:rsid w:val="005302D3"/>
    <w:rsid w:val="0053072D"/>
    <w:rsid w:val="00550D5F"/>
    <w:rsid w:val="00587CAF"/>
    <w:rsid w:val="005C55CB"/>
    <w:rsid w:val="00601580"/>
    <w:rsid w:val="0064644D"/>
    <w:rsid w:val="00671D1D"/>
    <w:rsid w:val="00680404"/>
    <w:rsid w:val="0068375E"/>
    <w:rsid w:val="0069096D"/>
    <w:rsid w:val="00697CC5"/>
    <w:rsid w:val="006A11EF"/>
    <w:rsid w:val="006B4B8C"/>
    <w:rsid w:val="006C3C48"/>
    <w:rsid w:val="00701039"/>
    <w:rsid w:val="00756545"/>
    <w:rsid w:val="00776018"/>
    <w:rsid w:val="00792DEB"/>
    <w:rsid w:val="007B3C39"/>
    <w:rsid w:val="007B7643"/>
    <w:rsid w:val="007C42CF"/>
    <w:rsid w:val="007C52F0"/>
    <w:rsid w:val="007D1D8B"/>
    <w:rsid w:val="007D2708"/>
    <w:rsid w:val="008036F4"/>
    <w:rsid w:val="00820B34"/>
    <w:rsid w:val="00841CBB"/>
    <w:rsid w:val="008504B7"/>
    <w:rsid w:val="00853CF5"/>
    <w:rsid w:val="0085588B"/>
    <w:rsid w:val="008819BE"/>
    <w:rsid w:val="00890DF4"/>
    <w:rsid w:val="008968D4"/>
    <w:rsid w:val="008A0828"/>
    <w:rsid w:val="008A140D"/>
    <w:rsid w:val="008B06A0"/>
    <w:rsid w:val="008C7A4D"/>
    <w:rsid w:val="008F57FF"/>
    <w:rsid w:val="00924818"/>
    <w:rsid w:val="00936037"/>
    <w:rsid w:val="00971EB2"/>
    <w:rsid w:val="00973689"/>
    <w:rsid w:val="00982159"/>
    <w:rsid w:val="00983EF5"/>
    <w:rsid w:val="009A5D39"/>
    <w:rsid w:val="009C1B2F"/>
    <w:rsid w:val="009C40A0"/>
    <w:rsid w:val="009C619A"/>
    <w:rsid w:val="009F2BEC"/>
    <w:rsid w:val="00A264A0"/>
    <w:rsid w:val="00A32DC3"/>
    <w:rsid w:val="00A6214C"/>
    <w:rsid w:val="00A847A4"/>
    <w:rsid w:val="00A92260"/>
    <w:rsid w:val="00AA0231"/>
    <w:rsid w:val="00AD25DF"/>
    <w:rsid w:val="00AE7E6F"/>
    <w:rsid w:val="00B45E27"/>
    <w:rsid w:val="00B4636C"/>
    <w:rsid w:val="00B77C57"/>
    <w:rsid w:val="00B8001F"/>
    <w:rsid w:val="00B95EBB"/>
    <w:rsid w:val="00BD0D71"/>
    <w:rsid w:val="00BE61D5"/>
    <w:rsid w:val="00C73DD9"/>
    <w:rsid w:val="00C7709C"/>
    <w:rsid w:val="00C92972"/>
    <w:rsid w:val="00CE1692"/>
    <w:rsid w:val="00D03149"/>
    <w:rsid w:val="00D17173"/>
    <w:rsid w:val="00D62B6C"/>
    <w:rsid w:val="00D64F21"/>
    <w:rsid w:val="00D65F4D"/>
    <w:rsid w:val="00D82E02"/>
    <w:rsid w:val="00D926B0"/>
    <w:rsid w:val="00DE68F4"/>
    <w:rsid w:val="00E03A71"/>
    <w:rsid w:val="00E10A7E"/>
    <w:rsid w:val="00E10C95"/>
    <w:rsid w:val="00E1531C"/>
    <w:rsid w:val="00E2795C"/>
    <w:rsid w:val="00E554C8"/>
    <w:rsid w:val="00E83907"/>
    <w:rsid w:val="00E94448"/>
    <w:rsid w:val="00EA1B43"/>
    <w:rsid w:val="00EB1A97"/>
    <w:rsid w:val="00EE5C81"/>
    <w:rsid w:val="00EF44B6"/>
    <w:rsid w:val="00F268EE"/>
    <w:rsid w:val="00FA2A4C"/>
    <w:rsid w:val="00FD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2B6C"/>
    <w:rPr>
      <w:rFonts w:ascii="Courier New" w:eastAsia="Times New Roman" w:hAnsi="Courier New" w:cs="Courier New"/>
      <w:sz w:val="20"/>
      <w:szCs w:val="20"/>
    </w:rPr>
  </w:style>
  <w:style w:type="paragraph" w:styleId="ListParagraph">
    <w:name w:val="List Paragraph"/>
    <w:basedOn w:val="Normal"/>
    <w:uiPriority w:val="34"/>
    <w:qFormat/>
    <w:rsid w:val="00D62B6C"/>
    <w:pPr>
      <w:ind w:left="720"/>
      <w:contextualSpacing/>
    </w:pPr>
  </w:style>
  <w:style w:type="character" w:styleId="CommentReference">
    <w:name w:val="annotation reference"/>
    <w:basedOn w:val="DefaultParagraphFont"/>
    <w:uiPriority w:val="99"/>
    <w:semiHidden/>
    <w:unhideWhenUsed/>
    <w:rsid w:val="000F7BDC"/>
    <w:rPr>
      <w:sz w:val="16"/>
      <w:szCs w:val="16"/>
    </w:rPr>
  </w:style>
  <w:style w:type="paragraph" w:styleId="CommentText">
    <w:name w:val="annotation text"/>
    <w:basedOn w:val="Normal"/>
    <w:link w:val="CommentTextChar"/>
    <w:uiPriority w:val="99"/>
    <w:semiHidden/>
    <w:unhideWhenUsed/>
    <w:rsid w:val="000F7BDC"/>
    <w:pPr>
      <w:spacing w:line="240" w:lineRule="auto"/>
    </w:pPr>
    <w:rPr>
      <w:sz w:val="20"/>
      <w:szCs w:val="20"/>
    </w:rPr>
  </w:style>
  <w:style w:type="character" w:customStyle="1" w:styleId="CommentTextChar">
    <w:name w:val="Comment Text Char"/>
    <w:basedOn w:val="DefaultParagraphFont"/>
    <w:link w:val="CommentText"/>
    <w:uiPriority w:val="99"/>
    <w:semiHidden/>
    <w:rsid w:val="000F7BDC"/>
    <w:rPr>
      <w:sz w:val="20"/>
      <w:szCs w:val="20"/>
    </w:rPr>
  </w:style>
  <w:style w:type="paragraph" w:styleId="CommentSubject">
    <w:name w:val="annotation subject"/>
    <w:basedOn w:val="CommentText"/>
    <w:next w:val="CommentText"/>
    <w:link w:val="CommentSubjectChar"/>
    <w:uiPriority w:val="99"/>
    <w:semiHidden/>
    <w:unhideWhenUsed/>
    <w:rsid w:val="000F7BDC"/>
    <w:rPr>
      <w:b/>
      <w:bCs/>
    </w:rPr>
  </w:style>
  <w:style w:type="character" w:customStyle="1" w:styleId="CommentSubjectChar">
    <w:name w:val="Comment Subject Char"/>
    <w:basedOn w:val="CommentTextChar"/>
    <w:link w:val="CommentSubject"/>
    <w:uiPriority w:val="99"/>
    <w:semiHidden/>
    <w:rsid w:val="000F7BDC"/>
    <w:rPr>
      <w:b/>
      <w:bCs/>
      <w:sz w:val="20"/>
      <w:szCs w:val="20"/>
    </w:rPr>
  </w:style>
  <w:style w:type="paragraph" w:styleId="BalloonText">
    <w:name w:val="Balloon Text"/>
    <w:basedOn w:val="Normal"/>
    <w:link w:val="BalloonTextChar"/>
    <w:uiPriority w:val="99"/>
    <w:semiHidden/>
    <w:unhideWhenUsed/>
    <w:rsid w:val="000F7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DC"/>
    <w:rPr>
      <w:rFonts w:ascii="Segoe UI" w:hAnsi="Segoe UI" w:cs="Segoe UI"/>
      <w:sz w:val="18"/>
      <w:szCs w:val="18"/>
    </w:rPr>
  </w:style>
  <w:style w:type="table" w:styleId="TableGrid">
    <w:name w:val="Table Grid"/>
    <w:basedOn w:val="TableNormal"/>
    <w:uiPriority w:val="39"/>
    <w:rsid w:val="00D8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335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D2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1C7"/>
    <w:rPr>
      <w:sz w:val="20"/>
      <w:szCs w:val="20"/>
    </w:rPr>
  </w:style>
  <w:style w:type="character" w:styleId="FootnoteReference">
    <w:name w:val="footnote reference"/>
    <w:basedOn w:val="DefaultParagraphFont"/>
    <w:uiPriority w:val="99"/>
    <w:semiHidden/>
    <w:unhideWhenUsed/>
    <w:rsid w:val="00FD21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2B6C"/>
    <w:rPr>
      <w:rFonts w:ascii="Courier New" w:eastAsia="Times New Roman" w:hAnsi="Courier New" w:cs="Courier New"/>
      <w:sz w:val="20"/>
      <w:szCs w:val="20"/>
    </w:rPr>
  </w:style>
  <w:style w:type="paragraph" w:styleId="ListParagraph">
    <w:name w:val="List Paragraph"/>
    <w:basedOn w:val="Normal"/>
    <w:uiPriority w:val="34"/>
    <w:qFormat/>
    <w:rsid w:val="00D62B6C"/>
    <w:pPr>
      <w:ind w:left="720"/>
      <w:contextualSpacing/>
    </w:pPr>
  </w:style>
  <w:style w:type="character" w:styleId="CommentReference">
    <w:name w:val="annotation reference"/>
    <w:basedOn w:val="DefaultParagraphFont"/>
    <w:uiPriority w:val="99"/>
    <w:semiHidden/>
    <w:unhideWhenUsed/>
    <w:rsid w:val="000F7BDC"/>
    <w:rPr>
      <w:sz w:val="16"/>
      <w:szCs w:val="16"/>
    </w:rPr>
  </w:style>
  <w:style w:type="paragraph" w:styleId="CommentText">
    <w:name w:val="annotation text"/>
    <w:basedOn w:val="Normal"/>
    <w:link w:val="CommentTextChar"/>
    <w:uiPriority w:val="99"/>
    <w:semiHidden/>
    <w:unhideWhenUsed/>
    <w:rsid w:val="000F7BDC"/>
    <w:pPr>
      <w:spacing w:line="240" w:lineRule="auto"/>
    </w:pPr>
    <w:rPr>
      <w:sz w:val="20"/>
      <w:szCs w:val="20"/>
    </w:rPr>
  </w:style>
  <w:style w:type="character" w:customStyle="1" w:styleId="CommentTextChar">
    <w:name w:val="Comment Text Char"/>
    <w:basedOn w:val="DefaultParagraphFont"/>
    <w:link w:val="CommentText"/>
    <w:uiPriority w:val="99"/>
    <w:semiHidden/>
    <w:rsid w:val="000F7BDC"/>
    <w:rPr>
      <w:sz w:val="20"/>
      <w:szCs w:val="20"/>
    </w:rPr>
  </w:style>
  <w:style w:type="paragraph" w:styleId="CommentSubject">
    <w:name w:val="annotation subject"/>
    <w:basedOn w:val="CommentText"/>
    <w:next w:val="CommentText"/>
    <w:link w:val="CommentSubjectChar"/>
    <w:uiPriority w:val="99"/>
    <w:semiHidden/>
    <w:unhideWhenUsed/>
    <w:rsid w:val="000F7BDC"/>
    <w:rPr>
      <w:b/>
      <w:bCs/>
    </w:rPr>
  </w:style>
  <w:style w:type="character" w:customStyle="1" w:styleId="CommentSubjectChar">
    <w:name w:val="Comment Subject Char"/>
    <w:basedOn w:val="CommentTextChar"/>
    <w:link w:val="CommentSubject"/>
    <w:uiPriority w:val="99"/>
    <w:semiHidden/>
    <w:rsid w:val="000F7BDC"/>
    <w:rPr>
      <w:b/>
      <w:bCs/>
      <w:sz w:val="20"/>
      <w:szCs w:val="20"/>
    </w:rPr>
  </w:style>
  <w:style w:type="paragraph" w:styleId="BalloonText">
    <w:name w:val="Balloon Text"/>
    <w:basedOn w:val="Normal"/>
    <w:link w:val="BalloonTextChar"/>
    <w:uiPriority w:val="99"/>
    <w:semiHidden/>
    <w:unhideWhenUsed/>
    <w:rsid w:val="000F7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DC"/>
    <w:rPr>
      <w:rFonts w:ascii="Segoe UI" w:hAnsi="Segoe UI" w:cs="Segoe UI"/>
      <w:sz w:val="18"/>
      <w:szCs w:val="18"/>
    </w:rPr>
  </w:style>
  <w:style w:type="table" w:styleId="TableGrid">
    <w:name w:val="Table Grid"/>
    <w:basedOn w:val="TableNormal"/>
    <w:uiPriority w:val="39"/>
    <w:rsid w:val="00D8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335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D2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1C7"/>
    <w:rPr>
      <w:sz w:val="20"/>
      <w:szCs w:val="20"/>
    </w:rPr>
  </w:style>
  <w:style w:type="character" w:styleId="FootnoteReference">
    <w:name w:val="footnote reference"/>
    <w:basedOn w:val="DefaultParagraphFont"/>
    <w:uiPriority w:val="99"/>
    <w:semiHidden/>
    <w:unhideWhenUsed/>
    <w:rsid w:val="00FD2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341">
      <w:bodyDiv w:val="1"/>
      <w:marLeft w:val="0"/>
      <w:marRight w:val="0"/>
      <w:marTop w:val="0"/>
      <w:marBottom w:val="0"/>
      <w:divBdr>
        <w:top w:val="none" w:sz="0" w:space="0" w:color="auto"/>
        <w:left w:val="none" w:sz="0" w:space="0" w:color="auto"/>
        <w:bottom w:val="none" w:sz="0" w:space="0" w:color="auto"/>
        <w:right w:val="none" w:sz="0" w:space="0" w:color="auto"/>
      </w:divBdr>
    </w:div>
    <w:div w:id="1107312794">
      <w:bodyDiv w:val="1"/>
      <w:marLeft w:val="0"/>
      <w:marRight w:val="0"/>
      <w:marTop w:val="0"/>
      <w:marBottom w:val="0"/>
      <w:divBdr>
        <w:top w:val="none" w:sz="0" w:space="0" w:color="auto"/>
        <w:left w:val="none" w:sz="0" w:space="0" w:color="auto"/>
        <w:bottom w:val="none" w:sz="0" w:space="0" w:color="auto"/>
        <w:right w:val="none" w:sz="0" w:space="0" w:color="auto"/>
      </w:divBdr>
    </w:div>
    <w:div w:id="1136944613">
      <w:bodyDiv w:val="1"/>
      <w:marLeft w:val="0"/>
      <w:marRight w:val="0"/>
      <w:marTop w:val="0"/>
      <w:marBottom w:val="0"/>
      <w:divBdr>
        <w:top w:val="none" w:sz="0" w:space="0" w:color="auto"/>
        <w:left w:val="none" w:sz="0" w:space="0" w:color="auto"/>
        <w:bottom w:val="none" w:sz="0" w:space="0" w:color="auto"/>
        <w:right w:val="none" w:sz="0" w:space="0" w:color="auto"/>
      </w:divBdr>
    </w:div>
    <w:div w:id="14668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INDAM\Documents\My%20Work\ADB\Armenia\Resources\Domestic%20Debt\2018%20June_amsakan_vijakagrakan_texekagir_e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RINDAM\Documents\My%20Work\ADB\Armenia\Resources\Primary%20Dealers\PM_Bids(69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RINDAM\Documents\My%20Work\ADB\Armenia\Resources\Primary%20Dealers\CBA%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RINDAM\Documents\My%20Work\ADB\Armenia\Resources\Primary%20Dealers\CB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EE5-4F72-90AB-D244739E2F7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EE5-4F72-90AB-D244739E2F7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EE5-4F72-90AB-D244739E2F7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EE5-4F72-90AB-D244739E2F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'Treasury Securities Structure'!$J$25:$J$28</c:f>
              <c:strCache>
                <c:ptCount val="4"/>
                <c:pt idx="0">
                  <c:v>Central Bank of RA</c:v>
                </c:pt>
                <c:pt idx="1">
                  <c:v>Dealer Banks</c:v>
                </c:pt>
                <c:pt idx="2">
                  <c:v>Non-Dealer Banks</c:v>
                </c:pt>
                <c:pt idx="3">
                  <c:v>Other Investors</c:v>
                </c:pt>
              </c:strCache>
            </c:strRef>
          </c:cat>
          <c:val>
            <c:numRef>
              <c:f>'Treasury Securities Structure'!$K$25:$K$28</c:f>
              <c:numCache>
                <c:formatCode>_(* #,##0.00_);_(* \(#,##0.00\);_(* "-"??_);_(@_)</c:formatCode>
                <c:ptCount val="4"/>
                <c:pt idx="0">
                  <c:v>10.5980527451076</c:v>
                </c:pt>
                <c:pt idx="1">
                  <c:v>34.995049451682604</c:v>
                </c:pt>
                <c:pt idx="2">
                  <c:v>33.388639645585499</c:v>
                </c:pt>
                <c:pt idx="3">
                  <c:v>21.018258157624199</c:v>
                </c:pt>
              </c:numCache>
            </c:numRef>
          </c:val>
          <c:extLst xmlns:c16r2="http://schemas.microsoft.com/office/drawing/2015/06/chart">
            <c:ext xmlns:c16="http://schemas.microsoft.com/office/drawing/2014/chart" uri="{C3380CC4-5D6E-409C-BE32-E72D297353CC}">
              <c16:uniqueId val="{00000008-0EE5-4F72-90AB-D244739E2F79}"/>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Sheet1!$M$3</c:f>
              <c:strCache>
                <c:ptCount val="1"/>
                <c:pt idx="0">
                  <c:v>Own A/c</c:v>
                </c:pt>
              </c:strCache>
            </c:strRef>
          </c:tx>
          <c:spPr>
            <a:solidFill>
              <a:schemeClr val="accent1"/>
            </a:solidFill>
            <a:ln>
              <a:noFill/>
            </a:ln>
            <a:effectLst/>
            <a:sp3d/>
          </c:spPr>
          <c:invertIfNegative val="0"/>
          <c:cat>
            <c:strRef>
              <c:f>Sheet1!$L$4:$L$8</c:f>
              <c:strCache>
                <c:ptCount val="5"/>
                <c:pt idx="0">
                  <c:v>2013</c:v>
                </c:pt>
                <c:pt idx="1">
                  <c:v>2014</c:v>
                </c:pt>
                <c:pt idx="2">
                  <c:v>2015</c:v>
                </c:pt>
                <c:pt idx="3">
                  <c:v>2016</c:v>
                </c:pt>
                <c:pt idx="4">
                  <c:v>2017*</c:v>
                </c:pt>
              </c:strCache>
            </c:strRef>
          </c:cat>
          <c:val>
            <c:numRef>
              <c:f>Sheet1!$M$4:$M$8</c:f>
              <c:numCache>
                <c:formatCode>0.0</c:formatCode>
                <c:ptCount val="5"/>
                <c:pt idx="0">
                  <c:v>94.452256313817955</c:v>
                </c:pt>
                <c:pt idx="1">
                  <c:v>93.058366206807108</c:v>
                </c:pt>
                <c:pt idx="2">
                  <c:v>74.749749096087299</c:v>
                </c:pt>
                <c:pt idx="3">
                  <c:v>70.486136874628613</c:v>
                </c:pt>
                <c:pt idx="4">
                  <c:v>84.100113212573248</c:v>
                </c:pt>
              </c:numCache>
            </c:numRef>
          </c:val>
          <c:extLst xmlns:c16r2="http://schemas.microsoft.com/office/drawing/2015/06/chart">
            <c:ext xmlns:c16="http://schemas.microsoft.com/office/drawing/2014/chart" uri="{C3380CC4-5D6E-409C-BE32-E72D297353CC}">
              <c16:uniqueId val="{00000000-CCAA-4B4D-A3A4-5F8D28F01C00}"/>
            </c:ext>
          </c:extLst>
        </c:ser>
        <c:ser>
          <c:idx val="1"/>
          <c:order val="1"/>
          <c:tx>
            <c:strRef>
              <c:f>Sheet1!$N$3</c:f>
              <c:strCache>
                <c:ptCount val="1"/>
                <c:pt idx="0">
                  <c:v>Inv A/c</c:v>
                </c:pt>
              </c:strCache>
            </c:strRef>
          </c:tx>
          <c:spPr>
            <a:solidFill>
              <a:schemeClr val="accent2"/>
            </a:solidFill>
            <a:ln>
              <a:noFill/>
            </a:ln>
            <a:effectLst/>
            <a:sp3d/>
          </c:spPr>
          <c:invertIfNegative val="0"/>
          <c:cat>
            <c:strRef>
              <c:f>Sheet1!$L$4:$L$8</c:f>
              <c:strCache>
                <c:ptCount val="5"/>
                <c:pt idx="0">
                  <c:v>2013</c:v>
                </c:pt>
                <c:pt idx="1">
                  <c:v>2014</c:v>
                </c:pt>
                <c:pt idx="2">
                  <c:v>2015</c:v>
                </c:pt>
                <c:pt idx="3">
                  <c:v>2016</c:v>
                </c:pt>
                <c:pt idx="4">
                  <c:v>2017*</c:v>
                </c:pt>
              </c:strCache>
            </c:strRef>
          </c:cat>
          <c:val>
            <c:numRef>
              <c:f>Sheet1!$N$4:$N$8</c:f>
              <c:numCache>
                <c:formatCode>0.0</c:formatCode>
                <c:ptCount val="5"/>
                <c:pt idx="0">
                  <c:v>5.5477436861820415</c:v>
                </c:pt>
                <c:pt idx="1">
                  <c:v>6.9416337931928975</c:v>
                </c:pt>
                <c:pt idx="2">
                  <c:v>25.250250903912701</c:v>
                </c:pt>
                <c:pt idx="3">
                  <c:v>29.513863125371383</c:v>
                </c:pt>
                <c:pt idx="4">
                  <c:v>15.899886787426745</c:v>
                </c:pt>
              </c:numCache>
            </c:numRef>
          </c:val>
          <c:extLst xmlns:c16r2="http://schemas.microsoft.com/office/drawing/2015/06/chart">
            <c:ext xmlns:c16="http://schemas.microsoft.com/office/drawing/2014/chart" uri="{C3380CC4-5D6E-409C-BE32-E72D297353CC}">
              <c16:uniqueId val="{00000001-CCAA-4B4D-A3A4-5F8D28F01C00}"/>
            </c:ext>
          </c:extLst>
        </c:ser>
        <c:dLbls>
          <c:showLegendKey val="0"/>
          <c:showVal val="0"/>
          <c:showCatName val="0"/>
          <c:showSerName val="0"/>
          <c:showPercent val="0"/>
          <c:showBubbleSize val="0"/>
        </c:dLbls>
        <c:gapWidth val="150"/>
        <c:shape val="box"/>
        <c:axId val="238360064"/>
        <c:axId val="238361600"/>
        <c:axId val="0"/>
      </c:bar3DChart>
      <c:catAx>
        <c:axId val="238360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61600"/>
        <c:crosses val="autoZero"/>
        <c:auto val="1"/>
        <c:lblAlgn val="ctr"/>
        <c:lblOffset val="100"/>
        <c:noMultiLvlLbl val="0"/>
      </c:catAx>
      <c:valAx>
        <c:axId val="238361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60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TABLE14!$J$37</c:f>
              <c:strCache>
                <c:ptCount val="1"/>
                <c:pt idx="0">
                  <c:v>AFS</c:v>
                </c:pt>
              </c:strCache>
            </c:strRef>
          </c:tx>
          <c:spPr>
            <a:solidFill>
              <a:schemeClr val="accent1"/>
            </a:solidFill>
            <a:ln>
              <a:noFill/>
            </a:ln>
            <a:effectLst/>
            <a:sp3d/>
          </c:spPr>
          <c:invertIfNegative val="0"/>
          <c:cat>
            <c:strRef>
              <c:f>TABLE14!$I$38:$I$40</c:f>
              <c:strCache>
                <c:ptCount val="3"/>
                <c:pt idx="0">
                  <c:v>2016</c:v>
                </c:pt>
                <c:pt idx="1">
                  <c:v>2017</c:v>
                </c:pt>
                <c:pt idx="2">
                  <c:v>2018*</c:v>
                </c:pt>
              </c:strCache>
            </c:strRef>
          </c:cat>
          <c:val>
            <c:numRef>
              <c:f>TABLE14!$J$38:$J$40</c:f>
              <c:numCache>
                <c:formatCode>0.0</c:formatCode>
                <c:ptCount val="3"/>
                <c:pt idx="0">
                  <c:v>83.226531418815568</c:v>
                </c:pt>
                <c:pt idx="1">
                  <c:v>77.746715239143711</c:v>
                </c:pt>
                <c:pt idx="2">
                  <c:v>60.892053481163188</c:v>
                </c:pt>
              </c:numCache>
            </c:numRef>
          </c:val>
          <c:extLst xmlns:c16r2="http://schemas.microsoft.com/office/drawing/2015/06/chart">
            <c:ext xmlns:c16="http://schemas.microsoft.com/office/drawing/2014/chart" uri="{C3380CC4-5D6E-409C-BE32-E72D297353CC}">
              <c16:uniqueId val="{00000000-B10E-40E4-9DA7-0393EDA2ED93}"/>
            </c:ext>
          </c:extLst>
        </c:ser>
        <c:ser>
          <c:idx val="1"/>
          <c:order val="1"/>
          <c:tx>
            <c:strRef>
              <c:f>TABLE14!$K$37</c:f>
              <c:strCache>
                <c:ptCount val="1"/>
                <c:pt idx="0">
                  <c:v>HFT</c:v>
                </c:pt>
              </c:strCache>
            </c:strRef>
          </c:tx>
          <c:spPr>
            <a:solidFill>
              <a:schemeClr val="accent2"/>
            </a:solidFill>
            <a:ln>
              <a:noFill/>
            </a:ln>
            <a:effectLst/>
            <a:sp3d/>
          </c:spPr>
          <c:invertIfNegative val="0"/>
          <c:cat>
            <c:strRef>
              <c:f>TABLE14!$I$38:$I$40</c:f>
              <c:strCache>
                <c:ptCount val="3"/>
                <c:pt idx="0">
                  <c:v>2016</c:v>
                </c:pt>
                <c:pt idx="1">
                  <c:v>2017</c:v>
                </c:pt>
                <c:pt idx="2">
                  <c:v>2018*</c:v>
                </c:pt>
              </c:strCache>
            </c:strRef>
          </c:cat>
          <c:val>
            <c:numRef>
              <c:f>TABLE14!$K$38:$K$40</c:f>
              <c:numCache>
                <c:formatCode>0.0</c:formatCode>
                <c:ptCount val="3"/>
                <c:pt idx="0">
                  <c:v>1.282786395674149</c:v>
                </c:pt>
                <c:pt idx="1">
                  <c:v>1.0753509038203086</c:v>
                </c:pt>
                <c:pt idx="2">
                  <c:v>1.6880179443550229</c:v>
                </c:pt>
              </c:numCache>
            </c:numRef>
          </c:val>
          <c:extLst xmlns:c16r2="http://schemas.microsoft.com/office/drawing/2015/06/chart">
            <c:ext xmlns:c16="http://schemas.microsoft.com/office/drawing/2014/chart" uri="{C3380CC4-5D6E-409C-BE32-E72D297353CC}">
              <c16:uniqueId val="{00000001-B10E-40E4-9DA7-0393EDA2ED93}"/>
            </c:ext>
          </c:extLst>
        </c:ser>
        <c:ser>
          <c:idx val="2"/>
          <c:order val="2"/>
          <c:tx>
            <c:strRef>
              <c:f>TABLE14!$L$37</c:f>
              <c:strCache>
                <c:ptCount val="1"/>
                <c:pt idx="0">
                  <c:v>HTM</c:v>
                </c:pt>
              </c:strCache>
            </c:strRef>
          </c:tx>
          <c:spPr>
            <a:solidFill>
              <a:schemeClr val="accent3"/>
            </a:solidFill>
            <a:ln>
              <a:noFill/>
            </a:ln>
            <a:effectLst/>
            <a:sp3d/>
          </c:spPr>
          <c:invertIfNegative val="0"/>
          <c:cat>
            <c:strRef>
              <c:f>TABLE14!$I$38:$I$40</c:f>
              <c:strCache>
                <c:ptCount val="3"/>
                <c:pt idx="0">
                  <c:v>2016</c:v>
                </c:pt>
                <c:pt idx="1">
                  <c:v>2017</c:v>
                </c:pt>
                <c:pt idx="2">
                  <c:v>2018*</c:v>
                </c:pt>
              </c:strCache>
            </c:strRef>
          </c:cat>
          <c:val>
            <c:numRef>
              <c:f>TABLE14!$L$38:$L$40</c:f>
              <c:numCache>
                <c:formatCode>0.0</c:formatCode>
                <c:ptCount val="3"/>
                <c:pt idx="0">
                  <c:v>15.490682185510304</c:v>
                </c:pt>
                <c:pt idx="1">
                  <c:v>21.177933857036006</c:v>
                </c:pt>
                <c:pt idx="2">
                  <c:v>37.419928574481816</c:v>
                </c:pt>
              </c:numCache>
            </c:numRef>
          </c:val>
          <c:extLst xmlns:c16r2="http://schemas.microsoft.com/office/drawing/2015/06/chart">
            <c:ext xmlns:c16="http://schemas.microsoft.com/office/drawing/2014/chart" uri="{C3380CC4-5D6E-409C-BE32-E72D297353CC}">
              <c16:uniqueId val="{00000002-B10E-40E4-9DA7-0393EDA2ED93}"/>
            </c:ext>
          </c:extLst>
        </c:ser>
        <c:dLbls>
          <c:showLegendKey val="0"/>
          <c:showVal val="0"/>
          <c:showCatName val="0"/>
          <c:showSerName val="0"/>
          <c:showPercent val="0"/>
          <c:showBubbleSize val="0"/>
        </c:dLbls>
        <c:gapWidth val="150"/>
        <c:shape val="box"/>
        <c:axId val="186730752"/>
        <c:axId val="186732544"/>
        <c:axId val="0"/>
      </c:bar3DChart>
      <c:catAx>
        <c:axId val="186730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32544"/>
        <c:crosses val="autoZero"/>
        <c:auto val="1"/>
        <c:lblAlgn val="ctr"/>
        <c:lblOffset val="100"/>
        <c:noMultiLvlLbl val="0"/>
      </c:catAx>
      <c:valAx>
        <c:axId val="1867325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30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TABLE14!$M$41</c:f>
              <c:strCache>
                <c:ptCount val="1"/>
                <c:pt idx="0">
                  <c:v>AFS</c:v>
                </c:pt>
              </c:strCache>
            </c:strRef>
          </c:tx>
          <c:spPr>
            <a:solidFill>
              <a:schemeClr val="accent1"/>
            </a:solidFill>
            <a:ln>
              <a:noFill/>
            </a:ln>
            <a:effectLst/>
            <a:sp3d/>
          </c:spPr>
          <c:invertIfNegative val="0"/>
          <c:cat>
            <c:strRef>
              <c:f>TABLE14!$L$42:$L$44</c:f>
              <c:strCache>
                <c:ptCount val="3"/>
                <c:pt idx="0">
                  <c:v>2016</c:v>
                </c:pt>
                <c:pt idx="1">
                  <c:v>2017</c:v>
                </c:pt>
                <c:pt idx="2">
                  <c:v>2018*</c:v>
                </c:pt>
              </c:strCache>
            </c:strRef>
          </c:cat>
          <c:val>
            <c:numRef>
              <c:f>TABLE14!$M$42:$M$44</c:f>
              <c:numCache>
                <c:formatCode>0.0</c:formatCode>
                <c:ptCount val="3"/>
                <c:pt idx="0">
                  <c:v>68.654904585469581</c:v>
                </c:pt>
                <c:pt idx="1">
                  <c:v>80.029096754308171</c:v>
                </c:pt>
                <c:pt idx="2">
                  <c:v>62.968902696457867</c:v>
                </c:pt>
              </c:numCache>
            </c:numRef>
          </c:val>
          <c:extLst xmlns:c16r2="http://schemas.microsoft.com/office/drawing/2015/06/chart">
            <c:ext xmlns:c16="http://schemas.microsoft.com/office/drawing/2014/chart" uri="{C3380CC4-5D6E-409C-BE32-E72D297353CC}">
              <c16:uniqueId val="{00000000-3EAF-4602-A5FE-01C65C659C89}"/>
            </c:ext>
          </c:extLst>
        </c:ser>
        <c:ser>
          <c:idx val="1"/>
          <c:order val="1"/>
          <c:tx>
            <c:strRef>
              <c:f>TABLE14!$N$41</c:f>
              <c:strCache>
                <c:ptCount val="1"/>
                <c:pt idx="0">
                  <c:v>HFT</c:v>
                </c:pt>
              </c:strCache>
            </c:strRef>
          </c:tx>
          <c:spPr>
            <a:solidFill>
              <a:schemeClr val="accent2"/>
            </a:solidFill>
            <a:ln>
              <a:noFill/>
            </a:ln>
            <a:effectLst/>
            <a:sp3d/>
          </c:spPr>
          <c:invertIfNegative val="0"/>
          <c:cat>
            <c:strRef>
              <c:f>TABLE14!$L$42:$L$44</c:f>
              <c:strCache>
                <c:ptCount val="3"/>
                <c:pt idx="0">
                  <c:v>2016</c:v>
                </c:pt>
                <c:pt idx="1">
                  <c:v>2017</c:v>
                </c:pt>
                <c:pt idx="2">
                  <c:v>2018*</c:v>
                </c:pt>
              </c:strCache>
            </c:strRef>
          </c:cat>
          <c:val>
            <c:numRef>
              <c:f>TABLE14!$N$42:$N$44</c:f>
              <c:numCache>
                <c:formatCode>0.0</c:formatCode>
                <c:ptCount val="3"/>
                <c:pt idx="0">
                  <c:v>5.5359206448042748</c:v>
                </c:pt>
                <c:pt idx="1">
                  <c:v>1.2818591269936093</c:v>
                </c:pt>
                <c:pt idx="2">
                  <c:v>4.9972507966911142</c:v>
                </c:pt>
              </c:numCache>
            </c:numRef>
          </c:val>
          <c:extLst xmlns:c16r2="http://schemas.microsoft.com/office/drawing/2015/06/chart">
            <c:ext xmlns:c16="http://schemas.microsoft.com/office/drawing/2014/chart" uri="{C3380CC4-5D6E-409C-BE32-E72D297353CC}">
              <c16:uniqueId val="{00000001-3EAF-4602-A5FE-01C65C659C89}"/>
            </c:ext>
          </c:extLst>
        </c:ser>
        <c:ser>
          <c:idx val="2"/>
          <c:order val="2"/>
          <c:tx>
            <c:strRef>
              <c:f>TABLE14!$O$41</c:f>
              <c:strCache>
                <c:ptCount val="1"/>
                <c:pt idx="0">
                  <c:v>HTM</c:v>
                </c:pt>
              </c:strCache>
            </c:strRef>
          </c:tx>
          <c:spPr>
            <a:solidFill>
              <a:schemeClr val="accent3"/>
            </a:solidFill>
            <a:ln>
              <a:noFill/>
            </a:ln>
            <a:effectLst/>
            <a:sp3d/>
          </c:spPr>
          <c:invertIfNegative val="0"/>
          <c:cat>
            <c:strRef>
              <c:f>TABLE14!$L$42:$L$44</c:f>
              <c:strCache>
                <c:ptCount val="3"/>
                <c:pt idx="0">
                  <c:v>2016</c:v>
                </c:pt>
                <c:pt idx="1">
                  <c:v>2017</c:v>
                </c:pt>
                <c:pt idx="2">
                  <c:v>2018*</c:v>
                </c:pt>
              </c:strCache>
            </c:strRef>
          </c:cat>
          <c:val>
            <c:numRef>
              <c:f>TABLE14!$O$42:$O$44</c:f>
              <c:numCache>
                <c:formatCode>0.0</c:formatCode>
                <c:ptCount val="3"/>
                <c:pt idx="0">
                  <c:v>25.809174769726123</c:v>
                </c:pt>
                <c:pt idx="1">
                  <c:v>18.689044118698231</c:v>
                </c:pt>
                <c:pt idx="2">
                  <c:v>32.03384650685102</c:v>
                </c:pt>
              </c:numCache>
            </c:numRef>
          </c:val>
          <c:extLst xmlns:c16r2="http://schemas.microsoft.com/office/drawing/2015/06/chart">
            <c:ext xmlns:c16="http://schemas.microsoft.com/office/drawing/2014/chart" uri="{C3380CC4-5D6E-409C-BE32-E72D297353CC}">
              <c16:uniqueId val="{00000002-3EAF-4602-A5FE-01C65C659C89}"/>
            </c:ext>
          </c:extLst>
        </c:ser>
        <c:dLbls>
          <c:showLegendKey val="0"/>
          <c:showVal val="0"/>
          <c:showCatName val="0"/>
          <c:showSerName val="0"/>
          <c:showPercent val="0"/>
          <c:showBubbleSize val="0"/>
        </c:dLbls>
        <c:gapWidth val="150"/>
        <c:shape val="box"/>
        <c:axId val="186760576"/>
        <c:axId val="186774656"/>
        <c:axId val="0"/>
      </c:bar3DChart>
      <c:catAx>
        <c:axId val="186760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74656"/>
        <c:crosses val="autoZero"/>
        <c:auto val="1"/>
        <c:lblAlgn val="ctr"/>
        <c:lblOffset val="100"/>
        <c:noMultiLvlLbl val="0"/>
      </c:catAx>
      <c:valAx>
        <c:axId val="186774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760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EDD6-DCC0-43FA-AEFB-6C19962E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 ROY</dc:creator>
  <cp:lastModifiedBy>Samvel Khanvelyan</cp:lastModifiedBy>
  <cp:revision>6</cp:revision>
  <dcterms:created xsi:type="dcterms:W3CDTF">2018-09-04T13:06:00Z</dcterms:created>
  <dcterms:modified xsi:type="dcterms:W3CDTF">2018-09-14T14:51:00Z</dcterms:modified>
</cp:coreProperties>
</file>